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J1⑥5：钱出入计（见钱三百六十）</w:t>
      </w:r>
    </w:p>
    <w:p>
      <w:pPr>
        <w:pStyle w:val="Heading1"/>
      </w:pPr>
      <w:r>
        <w:t>来源出处</w:t>
      </w:r>
    </w:p>
    <w:p>
      <w:r>
        <w:t>里耶古城一号井第六层出土，原整理号 6-5。</w:t>
      </w:r>
    </w:p>
    <w:p>
      <w:r>
        <w:t>释文、注释：《里耶秦简牍校释》第一卷，第 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452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452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9857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25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35431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521704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483677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850829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0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85957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357962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9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82704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千　</w:t>
      </w:r>
      <w:r>
        <w:t>十百也。从十从人。（《说文解字》卷三·十部）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36859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5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96695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17951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9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2413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處　</w:t>
      </w:r>
      <w:r>
        <w:t>止也。得几而止。从几从夂。（《说文解字》卷十四·几部）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392603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6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629485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4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8644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351724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pPr>
        <w:pStyle w:val="Caption"/>
      </w:pPr>
      <w:r>
        <w:t>图2  6-5 逐字字形与本义（共 20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除见钱三百六十</w:t>
      </w:r>
      <w:r>
        <w:rPr>
          <w:vertAlign w:val="superscript"/>
          <w:sz w:val="18"/>
          <w:szCs w:val="18"/>
        </w:rPr>
        <w:t xml:space="preserve">［1］</w:t>
      </w:r>
      <w:r>
        <w:t>，AⅠ钱千付令佐处</w:t>
      </w:r>
      <w:r>
        <w:rPr>
          <w:vertAlign w:val="superscript"/>
          <w:sz w:val="18"/>
          <w:szCs w:val="18"/>
        </w:rPr>
        <w:t xml:space="preserve">［2］</w:t>
      </w:r>
      <w:r>
        <w:t>，未出计</w:t>
      </w:r>
      <w:r>
        <w:rPr>
          <w:vertAlign w:val="superscript"/>
          <w:sz w:val="18"/>
          <w:szCs w:val="18"/>
        </w:rPr>
        <w:t xml:space="preserve">［3］</w:t>
      </w:r>
      <w:r>
        <w:t>。AⅡ</w:t>
      </w:r>
    </w:p>
    <w:p>
      <w:r>
        <w:t>·钱□〼BⅠ</w:t>
      </w:r>
    </w:p>
    <w:p>
      <w:r>
        <w:t>未出〼BⅡ6-5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见，现有。《汉书·王莽传下》“仓无见谷”，颜注：“见，谓见在也。”《汉书·王嘉传》：“是时外戚资千万者少耳，故少府水衡见钱多也。”颜注：“见在之钱也。”</w:t>
      </w:r>
    </w:p>
    <w:p>
      <w:r>
        <w:t>[2] 令佐，官名。处，人名。</w:t>
      </w:r>
    </w:p>
    <w:p>
      <w:r>
        <w:t>[3] 计，计簿。《战国策·齐策一》：“五官之计，不可不日听也而数览。”高诱注：“计，簿计也。”</w:t>
      </w:r>
    </w:p>
    <w:p>
      <w:pPr>
        <w:pStyle w:val="Heading1"/>
      </w:pPr>
      <w:r>
        <w:t>书法</w:t>
      </w:r>
    </w:p>
    <w:p>
      <w:r>
        <w:t>正面分栏书写，栏号以 AⅠ、AⅡ、BⅠ、BⅡ 标序；字小而匀，横画平直。（据图1）</w:t>
      </w:r>
    </w:p>
    <w:p>
      <w:pPr>
        <w:pStyle w:val="Heading1"/>
      </w:pPr>
      <w:r>
        <w:t>简牍形制</w:t>
      </w:r>
    </w:p>
    <w:p>
      <w:r>
        <w:t>残牍，单面书写，字分栏。（据图1）</w:t>
      </w:r>
    </w:p>
    <w:p>
      <w:pPr>
        <w:pStyle w:val="Heading1"/>
      </w:pPr>
      <w:r>
        <w:t>书写方式</w:t>
      </w:r>
    </w:p>
    <w:p>
      <w:r>
        <w:t>墨色中等，同一栏内笔迹一致。（据图1）</w:t>
      </w:r>
    </w:p>
    <w:p>
      <w:pPr>
        <w:pStyle w:val="Heading1"/>
      </w:pPr>
      <w:r>
        <w:t>美育价值</w:t>
      </w:r>
    </w:p>
    <w:p>
      <w:r>
        <w:t>「见钱三百六十」「钱千付令佐处」——一份钱的流水账。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