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J1⑧19：户籍簿（按爵位记户数）</w:t>
      </w:r>
    </w:p>
    <w:p>
      <w:pPr>
        <w:pStyle w:val="Heading1"/>
      </w:pPr>
      <w:r>
        <w:t>来源出处</w:t>
      </w:r>
    </w:p>
    <w:p>
      <w:r>
        <w:t>里耶古城一号井第八层出土，原整理号 8-19。</w:t>
      </w:r>
    </w:p>
    <w:p>
      <w:r>
        <w:t>释文、注释：《里耶秦简牍校释》第一卷，第 33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5869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869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8-19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72516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09363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9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15828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8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247272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夫=（大夫）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887400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7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30314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1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夫=（大夫）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92155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1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寡　</w:t>
      </w:r>
      <w:r>
        <w:t>少也。从宀从頒。頒，分賦也，故爲少。（《说文解字》卷七·宀部）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1783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635538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497250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54000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更　</w:t>
      </w:r>
      <w:r>
        <w:t>改也。从攴丙聲。（《说文解字》卷三·攴部）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77400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45062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0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29016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0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48800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造　</w:t>
      </w:r>
      <w:r>
        <w:t>就也。从辵告聲。譚長說：造，上士也。（《说文解字》卷二·辵部）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655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576521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641853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8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44064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6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公　</w:t>
      </w:r>
      <w:r>
        <w:t>平分也。从八从厶。(音司。)八猶背也。韓非曰：背厶爲公。（《说文解字》卷二·八部）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704727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4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55333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469199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421783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五（伍）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2086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636979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69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319909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365869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5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寇　</w:t>
      </w:r>
      <w:r>
        <w:t>暴也。从攴从完。（《说文解字》卷三·攴部）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803250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0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847384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47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户　</w:t>
      </w:r>
      <w:r>
        <w:t>護也。半門曰戶。象形。凡戶之屬皆从戶。（《说文解字》卷十二·戶部）</w:t>
      </w:r>
    </w:p>
    <w:p>
      <w:r>
        <w:drawing>
          <wp:inline xmlns:a="http://schemas.openxmlformats.org/drawingml/2006/main" xmlns:pic="http://schemas.openxmlformats.org/drawingml/2006/picture">
            <wp:extent cx="640465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4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385333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男　</w:t>
      </w:r>
      <w:r>
        <w:t>丈夫也。从田从力。言男用力於田也。凡男之屬皆从男。（《说文解字》卷十三·男部）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573750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大　</w:t>
      </w:r>
      <w:r>
        <w:t>天大，地大，人亦大。故大象人形。古文大(他達切)也。凡大之屬皆从大。（《说文解字》卷十·大部）</w:t>
      </w:r>
    </w:p>
    <w:p>
      <w:r>
        <w:drawing>
          <wp:inline xmlns:a="http://schemas.openxmlformats.org/drawingml/2006/main" xmlns:pic="http://schemas.openxmlformats.org/drawingml/2006/picture">
            <wp:extent cx="531169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1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女　</w:t>
      </w:r>
      <w:r>
        <w:t>婦人也。象形。王育說。凡女之屬皆从女。（《说文解字》卷十二·女部）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302561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25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886344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6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20036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00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凡　</w:t>
      </w:r>
      <w:r>
        <w:t>最括也。从二，二，偶也。从绅，绅，古文及。（《说文解字》卷十三·二部）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834545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3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38608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8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pPr>
        <w:pStyle w:val="Caption"/>
      </w:pPr>
      <w:r>
        <w:t>图2  8-19 逐字字形与本义（共 43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〼□二户</w:t>
      </w:r>
      <w:r>
        <w:rPr>
          <w:vertAlign w:val="superscript"/>
          <w:sz w:val="18"/>
          <w:szCs w:val="18"/>
        </w:rPr>
        <w:t xml:space="preserve">［1］</w:t>
      </w:r>
      <w:r>
        <w:t>。AⅠ</w:t>
      </w:r>
    </w:p>
    <w:p>
      <w:r>
        <w:t>大夫一户。AⅡ</w:t>
      </w:r>
    </w:p>
    <w:p>
      <w:r>
        <w:t>大夫寡三户</w:t>
      </w:r>
      <w:r>
        <w:rPr>
          <w:vertAlign w:val="superscript"/>
          <w:sz w:val="18"/>
          <w:szCs w:val="18"/>
        </w:rPr>
        <w:t xml:space="preserve">［2］</w:t>
      </w:r>
      <w:r>
        <w:t>。AⅢ</w:t>
      </w:r>
    </w:p>
    <w:p>
      <w:r>
        <w:t>不更一户。AⅣ</w:t>
      </w:r>
    </w:p>
    <w:p>
      <w:r>
        <w:t>小上造三户</w:t>
      </w:r>
      <w:r>
        <w:rPr>
          <w:vertAlign w:val="superscript"/>
          <w:sz w:val="18"/>
          <w:szCs w:val="18"/>
        </w:rPr>
        <w:t xml:space="preserve">［3］</w:t>
      </w:r>
      <w:r>
        <w:t>。AⅤ</w:t>
      </w:r>
    </w:p>
    <w:p>
      <w:r>
        <w:t>小公士一户。AⅥ</w:t>
      </w:r>
    </w:p>
    <w:p>
      <w:r>
        <w:t>士五（伍）七户。〼BⅠ</w:t>
      </w:r>
    </w:p>
    <w:p>
      <w:r>
        <w:t>司寇一【户】</w:t>
      </w:r>
      <w:r>
        <w:rPr>
          <w:vertAlign w:val="superscript"/>
          <w:sz w:val="18"/>
          <w:szCs w:val="18"/>
        </w:rPr>
        <w:t xml:space="preserve">［4］</w:t>
      </w:r>
      <w:r>
        <w:t>。〼BⅡ</w:t>
      </w:r>
    </w:p>
    <w:p>
      <w:r>
        <w:t>小男子□</w:t>
      </w:r>
      <w:r>
        <w:rPr>
          <w:vertAlign w:val="superscript"/>
          <w:sz w:val="18"/>
          <w:szCs w:val="18"/>
        </w:rPr>
        <w:t xml:space="preserve">［5］</w:t>
      </w:r>
      <w:r>
        <w:t>〼BⅢ</w:t>
      </w:r>
    </w:p>
    <w:p>
      <w:r>
        <w:t>大女子□〼BⅣ</w:t>
      </w:r>
    </w:p>
    <w:p>
      <w:r>
        <w:t>·凡廿五</w:t>
      </w:r>
      <w:r>
        <w:rPr>
          <w:vertAlign w:val="superscript"/>
          <w:sz w:val="18"/>
          <w:szCs w:val="18"/>
        </w:rPr>
        <w:t xml:space="preserve">［6］</w:t>
      </w:r>
      <w:r>
        <w:t>〼BⅤ8-19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此版头端涂黑。简文记录户数以等级为序，“二”上恐是“大夫”以上爵名。</w:t>
      </w:r>
    </w:p>
    <w:p>
      <w:r>
        <w:t>[2] 大夫寡，当是大夫死后留下的遗孀。《二年律令·置后律》386号简云：“寡为户后，予田宅，比子为后者爵。”荆州高台18号汉墓木牍称“新安户人大女燕关内侯寡”。可参看。</w:t>
      </w:r>
    </w:p>
    <w:p>
      <w:r>
        <w:t>[3] 上造，秦军功爵第二级。小上造，获得“上造”爵位的是未成年人。下文“小公士”亦相类似。</w:t>
      </w:r>
    </w:p>
    <w:p>
      <w:r>
        <w:t>[4] 司寇，睡虎地秦简《秦律十八种·司空律》“隶臣妾、城旦舂之司寇”整理小组注释云：“刑徒名，《汉旧仪》：‘司寇，男备守，女为作如司寇，皆作二岁。’”《二年律令·户律》312号简“司寇、隐官”并列，叙于“公卒、士伍、庶人”之后。</w:t>
      </w:r>
    </w:p>
    <w:p>
      <w:r>
        <w:t>[5] 小男子，又称“小男”。有学者根据秦汉简牍中的相关记载，推测十四岁以下男女称“小男”、“小女”，十五岁以上称“大男”、“大女”。</w:t>
      </w:r>
    </w:p>
    <w:p>
      <w:r>
        <w:t>[6] “五”后，依文意当有“户”字。简文有计数者共19户，而“小男子”、“大女子”之下残文均可见一横画，推测皆为“三户”。</w:t>
      </w:r>
    </w:p>
    <w:p>
      <w:pPr>
        <w:pStyle w:val="Heading1"/>
      </w:pPr>
      <w:r>
        <w:t>书法</w:t>
      </w:r>
    </w:p>
    <w:p>
      <w:r>
        <w:t>牍头端涂黑；正面分栏书写，栏号以 AⅠ、AⅡ……标序，每栏一句；字小而匀，行距紧。（据图1）</w:t>
      </w:r>
    </w:p>
    <w:p>
      <w:pPr>
        <w:pStyle w:val="Heading1"/>
      </w:pPr>
      <w:r>
        <w:t>简牍形制</w:t>
      </w:r>
    </w:p>
    <w:p>
      <w:r>
        <w:t w:space="preserve">木牍，单面书写，字分栏；头端涂黑。（《校释》注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墨色中等，各栏笔迹一致。（据图1）</w:t>
      </w:r>
    </w:p>
    <w:p>
      <w:pPr>
        <w:pStyle w:val="Heading1"/>
      </w:pPr>
      <w:r>
        <w:t>美育价值</w:t>
      </w:r>
    </w:p>
    <w:p>
      <w:r>
        <w:t>「大夫一户。大夫寡三户。不更一户。」按爵位记账，一份户籍簿的骨架。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