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J1⑧24：残简（四时志）</w:t>
      </w:r>
    </w:p>
    <w:p>
      <w:pPr>
        <w:pStyle w:val="Heading1"/>
      </w:pPr>
      <w:r>
        <w:t>来源出处</w:t>
      </w:r>
    </w:p>
    <w:p>
      <w:r>
        <w:t>里耶古城一号井第八层出土，原整理号 8-24。</w:t>
      </w:r>
    </w:p>
    <w:p>
      <w:r>
        <w:t>释文、注释：《里耶秦简牍校释》第一卷，第 34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5005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005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347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36033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3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時　</w:t>
      </w:r>
      <w:r>
        <w:t>四時也。从日寺聲。（《说文解字》卷七·日部）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1696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志　</w:t>
      </w:r>
      <w:r>
        <w:t>記誌也。从言志聲。（《说文解字》卷三·言部）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7618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1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會　</w:t>
      </w:r>
      <w:r>
        <w:t>合也。从亼，从曾省。曾，益也。凡會之屬皆从會。（《说文解字》卷五·會部）</w:t>
      </w:r>
    </w:p>
    <w:p>
      <w:pPr>
        <w:pStyle w:val="Caption"/>
      </w:pPr>
      <w:r>
        <w:t>图2  8-24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〼□四时志会□</w:t>
      </w:r>
      <w:r>
        <w:rPr>
          <w:vertAlign w:val="superscript"/>
          <w:sz w:val="18"/>
          <w:szCs w:val="18"/>
        </w:rPr>
        <w:t xml:space="preserve">［1］</w:t>
      </w:r>
      <w:r>
        <w:t>〼8-24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四时，四季。《易·恒》：“四时变化而能久成。”《礼记·孔子闲居》：“天有四时，春秋冬夏。”志，记录。里耶秦简有各种志，如事志（8-42）、群志（8-94）、田课志（8-383）、田官课志（8-479）、尉课志（8-482）、司空课志（8-486）、乡课志（8-483）、畜官课志（8-490+8-501）、仓课志（8-495）、人庸作志（8-949）。</w:t>
      </w:r>
    </w:p>
    <w:p>
      <w:pPr>
        <w:pStyle w:val="Heading1"/>
      </w:pPr>
      <w:r>
        <w:t>书法</w:t>
      </w:r>
    </w:p>
    <w:p>
      <w:r>
        <w:t>窄简一行，字小而密。（据图1）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里耶简里有各种「志」，是按季记事的账簿。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