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J1⑧25：残简（不与辞相应）</w:t>
      </w:r>
    </w:p>
    <w:p>
      <w:pPr>
        <w:pStyle w:val="Heading1"/>
      </w:pPr>
      <w:r>
        <w:t>来源出处</w:t>
      </w:r>
    </w:p>
    <w:p>
      <w:r>
        <w:t>里耶古城一号井第八层出土，原整理号 8-25。</w:t>
      </w:r>
    </w:p>
    <w:p>
      <w:r>
        <w:t>释文、注释：《里耶秦简牍校释》第一卷，第 34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85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85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715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0012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39033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3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辤（辭）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57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相　</w:t>
      </w:r>
      <w:r>
        <w:t>省視也。从目从木。《易》曰：“地可觀者，莫可觀於木。”《詩》曰：“相鼠有皮。”（《说文解字》卷四·目部）</w:t>
      </w:r>
    </w:p>
    <w:p>
      <w:r>
        <w:drawing>
          <wp:inline xmlns:a="http://schemas.openxmlformats.org/drawingml/2006/main" xmlns:pic="http://schemas.openxmlformats.org/drawingml/2006/picture">
            <wp:extent cx="252571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𤻮（應）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57504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5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是　</w:t>
      </w:r>
      <w:r>
        <w:t>直也。从日、正。凡是之屬皆从是。（《说文解字》卷二·是部）</w:t>
      </w:r>
    </w:p>
    <w:p>
      <w:pPr>
        <w:pStyle w:val="Caption"/>
      </w:pPr>
      <w:r>
        <w:t>图2  8-25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不与辞相</w:t>
      </w:r>
      <w:r>
        <w:drawing>
          <wp:inline xmlns:a="http://schemas.openxmlformats.org/drawingml/2006/main" xmlns:pic="http://schemas.openxmlformats.org/drawingml/2006/picture">
            <wp:extent cx="170100" cy="16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（应）是□</w:t>
      </w:r>
      <w:r>
        <w:rPr>
          <w:vertAlign w:val="superscript"/>
          <w:sz w:val="18"/>
          <w:szCs w:val="18"/>
        </w:rPr>
        <w:t xml:space="preserve">［1］</w:t>
      </w:r>
      <w:r>
        <w:t xml:space="preserve">〼8-25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相应，相符合。</w:t>
      </w:r>
    </w:p>
    <w:p>
      <w:pPr>
        <w:pStyle w:val="Heading1"/>
      </w:pPr>
      <w:r>
        <w:t>书法</w:t>
      </w:r>
    </w:p>
    <w:p>
      <w:r>
        <w:t>窄简一行，字小而匀；「应」字借「」表示。（据图1）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「不与辞相应」——口供和文书对不上，这是审案的用语。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