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简号 J1⑧3：启封记录（仓曹发）</w:t>
      </w:r>
    </w:p>
    <w:p>
      <w:pPr>
        <w:pStyle w:val="Heading1"/>
      </w:pPr>
      <w:r>
        <w:t>来源出处</w:t>
      </w:r>
    </w:p>
    <w:p>
      <w:r>
        <w:t>里耶古城一号井第八层出土，原整理号 8-3。</w:t>
      </w:r>
    </w:p>
    <w:p>
      <w:r>
        <w:t>释文、注释：《里耶秦简牍校释》第一卷，第 28 页。</w:t>
      </w:r>
    </w:p>
    <w:p>
      <w:r>
        <w:t>图版、单字字形：秦簡字形庫（www.kaom.net）《里耶1》。</w:t>
      </w:r>
    </w:p>
    <w:p>
      <w:pPr>
        <w:pStyle w:val="Heading1"/>
      </w:pPr>
      <w:r>
        <w:t>图片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440832" cy="468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-3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0832" cy="46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图1  里耶秦简 8-3 实物照片。出处：秦簡字形庫（www.kaom.net）《里耶1》图版。</w:t>
      </w:r>
    </w:p>
    <w:p>
      <w:r>
        <w:drawing>
          <wp:inline xmlns:a="http://schemas.openxmlformats.org/drawingml/2006/main" xmlns:pic="http://schemas.openxmlformats.org/drawingml/2006/picture">
            <wp:extent cx="273446" cy="612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3446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倉　</w:t>
      </w:r>
      <w:r>
        <w:t>榖藏也。倉黃取而藏之，故謂之倉。从食省，口象倉形。凡倉之屬皆从倉。（《说文解字》卷五·倉部）</w:t>
      </w:r>
    </w:p>
    <w:p>
      <w:r>
        <w:drawing>
          <wp:inline xmlns:a="http://schemas.openxmlformats.org/drawingml/2006/main" xmlns:pic="http://schemas.openxmlformats.org/drawingml/2006/picture">
            <wp:extent cx="340000" cy="612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400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曹　</w:t>
      </w:r>
      <w:r>
        <w:t>獄之兩曹也。在廷東。从㯥，治事者；从曰。（《说文解字》卷五·曰部）</w:t>
      </w:r>
    </w:p>
    <w:p>
      <w:r>
        <w:drawing>
          <wp:inline xmlns:a="http://schemas.openxmlformats.org/drawingml/2006/main" xmlns:pic="http://schemas.openxmlformats.org/drawingml/2006/picture">
            <wp:extent cx="404709" cy="612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04709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發　</w:t>
      </w:r>
      <w:r>
        <w:t>䠶發也。从弓癹聲。（《说文解字》卷十二·弓部）</w:t>
      </w:r>
    </w:p>
    <w:p>
      <w:pPr>
        <w:pStyle w:val="Caption"/>
      </w:pPr>
      <w:r>
        <w:t>图2  8-3 逐字字形与本义（共 3 字，按原简文字序）。字形出处：秦簡字形庫（www.kaom.net）《里耶1》；本义出处：《说文解字》大徐本。</w:t>
      </w:r>
    </w:p>
    <w:p>
      <w:pPr>
        <w:pStyle w:val="Heading1"/>
      </w:pPr>
      <w:r>
        <w:t>释文</w:t>
      </w:r>
    </w:p>
    <w:p>
      <w:r>
        <w:t>〼□【仓曹】发</w:t>
      </w:r>
      <w:r>
        <w:rPr>
          <w:vertAlign w:val="superscript"/>
          <w:sz w:val="18"/>
          <w:szCs w:val="18"/>
        </w:rPr>
        <w:t xml:space="preserve">［1］</w:t>
      </w:r>
      <w:r>
        <w:t>。8-3</w:t>
      </w:r>
    </w:p>
    <w:p>
      <w:pPr>
        <w:pStyle w:val="Heading1"/>
      </w:pPr>
      <w:r>
        <w:t>文字</w:t>
      </w:r>
    </w:p>
    <w:p>
      <w:r>
        <w:t>以下照录《里耶秦简牍校释》第一卷注文。</w:t>
      </w:r>
    </w:p>
    <w:p>
      <w:r>
        <w:t>[1] 仓曹，管理仓的机构。</w:t>
      </w:r>
    </w:p>
    <w:p>
      <w:pPr>
        <w:pStyle w:val="Heading1"/>
      </w:pPr>
      <w:r>
        <w:t>书法</w:t>
      </w:r>
    </w:p>
    <w:p>
      <w:r>
        <w:t>窄简，正面存「仓曹发」三字，字小而匀。（据图1）</w:t>
      </w:r>
    </w:p>
    <w:p>
      <w:pPr>
        <w:pStyle w:val="Heading1"/>
      </w:pPr>
      <w:r>
        <w:t>简牍形制</w:t>
      </w:r>
    </w:p>
    <w:p>
      <w:r>
        <w:t>窄简，单面书写。（据图1）</w:t>
      </w:r>
    </w:p>
    <w:p>
      <w:pPr>
        <w:pStyle w:val="Heading1"/>
      </w:pPr>
      <w:r>
        <w:t>书写方式</w:t>
      </w:r>
    </w:p>
    <w:p>
      <w:r>
        <w:t>墨色中等。（据图1）</w:t>
      </w:r>
    </w:p>
    <w:p>
      <w:pPr>
        <w:pStyle w:val="Heading1"/>
      </w:pPr>
      <w:r>
        <w:t>美育价值</w:t>
      </w:r>
    </w:p>
    <w:p>
      <w:r>
        <w:t>和 8-1 同一套格式：哪个曹拆的封，就写哪个曹。</w:t>
      </w:r>
    </w:p>
    <w:sectPr w:rsidR="00FC693F" w:rsidRPr="0006063C" w:rsidSect="00034616">
      <w:footerReference w:type="default" r:id="rId9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color w:val="000000"/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  <w:ind w:firstLine="480" w:firstLineChars="200"/>
      <w:jc w:val="both"/>
    </w:pPr>
    <w:rPr>
      <w:rFonts w:ascii="Times New Roman" w:hAnsi="Times New Roman" w:eastAsia="宋体"/>
      <w:b w:val="0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jc w:val="left"/>
      <w:outlineLvl w:val="0"/>
    </w:pPr>
    <w:rPr>
      <w:rFonts w:ascii="Times New Roman" w:hAnsi="Times New Roman" w:eastAsia="黑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60" w:line="240" w:lineRule="auto" w:before="0"/>
      <w:contextualSpacing/>
      <w:jc w:val="center"/>
    </w:pPr>
    <w:rPr>
      <w:rFonts w:ascii="Times New Roman" w:hAnsi="Times New Roman" w:eastAsia="黑体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Times New Roman" w:hAnsi="Times New Roman" w:eastAsia="宋体"/>
      <w:b w:val="0"/>
      <w:bCs/>
      <w:color w:val="000000"/>
      <w:sz w:val="2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