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J1⑧100：残牍（谒报）</w:t>
      </w:r>
    </w:p>
    <w:p>
      <w:pPr>
        <w:pStyle w:val="Heading1"/>
      </w:pPr>
      <w:r>
        <w:t>来源出处</w:t>
      </w:r>
    </w:p>
    <w:p>
      <w:r>
        <w:t>里耶古城一号井第八层出土，原整理号 8-100。</w:t>
      </w:r>
    </w:p>
    <w:p>
      <w:r>
        <w:t>释文、注释：《里耶秦简牍校释》第一卷，第 62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2021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021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63935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華　</w:t>
      </w:r>
      <w:r>
        <w:t>榮也。从艸从𠌶。凡華之屬皆从華。（《说文解字》卷六·華部）</w:t>
      </w:r>
    </w:p>
    <w:p>
      <w:r>
        <w:drawing>
          <wp:inline xmlns:a="http://schemas.openxmlformats.org/drawingml/2006/main" xmlns:pic="http://schemas.openxmlformats.org/drawingml/2006/picture">
            <wp:extent cx="469199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1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7857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季　</w:t>
      </w:r>
      <w:r>
        <w:t>少偁也。从子，从稚省，稚亦聲。（《说文解字》卷十四·子部）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446966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9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遣　</w:t>
      </w:r>
      <w:r>
        <w:t>縱也。从辵𠳋聲。（《说文解字》卷二·辵部）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26863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8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章　</w:t>
      </w:r>
      <w:r>
        <w:t>樂竟爲一章。从音从十。十，數之終也。（《说文解字》卷三·音部）</w:t>
      </w:r>
    </w:p>
    <w:p>
      <w:r>
        <w:drawing>
          <wp:inline xmlns:a="http://schemas.openxmlformats.org/drawingml/2006/main" xmlns:pic="http://schemas.openxmlformats.org/drawingml/2006/picture">
            <wp:extent cx="585391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公　</w:t>
      </w:r>
      <w:r>
        <w:t>平分也。从八从厶。(音司。)八猶背也。韓非曰：背厶爲公。（《说文解字》卷二·八部）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380634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6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3161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非　</w:t>
      </w:r>
      <w:r>
        <w:t>違也。从飛下翄，取其相背。凡非之屬皆从非。（《说文解字》卷十一·非部）</w:t>
      </w:r>
    </w:p>
    <w:p>
      <w:r>
        <w:drawing>
          <wp:inline xmlns:a="http://schemas.openxmlformats.org/drawingml/2006/main" xmlns:pic="http://schemas.openxmlformats.org/drawingml/2006/picture">
            <wp:extent cx="521333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5818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3822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8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賤　</w:t>
      </w:r>
      <w:r>
        <w:t>賈少也。从貝戔聲。（《说文解字》卷六·貝部）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27805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8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走　</w:t>
      </w:r>
      <w:r>
        <w:t>趨也。从夭、止。夭止者，屈也。凡走之屬皆从走。（《说文解字》卷二·走部）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452347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3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骨　</w:t>
      </w:r>
      <w:r>
        <w:t>肉之覈也。从冎有肉。凡骨之屬皆从骨。（《说文解字》卷四·骨部）</w:t>
      </w:r>
    </w:p>
    <w:p>
      <w:r>
        <w:drawing>
          <wp:inline xmlns:a="http://schemas.openxmlformats.org/drawingml/2006/main" xmlns:pic="http://schemas.openxmlformats.org/drawingml/2006/picture">
            <wp:extent cx="631428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775928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59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497898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在　</w:t>
      </w:r>
      <w:r>
        <w:t>存也。从土才聲。（《说文解字》卷十三·土部）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419333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588461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415846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宵　</w:t>
      </w:r>
      <w:r>
        <w:t>夜也。从宀，宀下冥也；肖聲。（《说文解字》卷七·宀部）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99591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398511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5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48840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8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69806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461217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邪　</w:t>
      </w:r>
      <w:r>
        <w:t>琅邪郡。从邑牙聲。（《说文解字》卷六·邑部）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439043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602129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2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8447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產　</w:t>
      </w:r>
      <w:r>
        <w:t>生也。从生，彥省聲。（《说文解字》卷六·生部）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392062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77162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7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pPr>
        <w:pStyle w:val="Caption"/>
      </w:pPr>
      <w:r>
        <w:t>图2  8-100 逐字字形与本义（共 32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敢……华□……□□□□□……□季〼</w:t>
      </w:r>
    </w:p>
    <w:p>
      <w:r>
        <w:t>□遣章公……□非……□□□□……□□〼</w:t>
      </w:r>
    </w:p>
    <w:p>
      <w:r>
        <w:t>贱走骨……九不</w:t>
      </w:r>
      <w:r>
        <w:rPr>
          <w:vertAlign w:val="superscript"/>
          <w:sz w:val="18"/>
          <w:szCs w:val="18"/>
        </w:rPr>
        <w:t xml:space="preserve">［1］</w:t>
      </w:r>
      <w:r>
        <w:t>……在〼</w:t>
      </w:r>
    </w:p>
    <w:p>
      <w:r>
        <w:t>子不宵</w:t>
      </w:r>
      <w:r>
        <w:rPr>
          <w:vertAlign w:val="superscript"/>
          <w:sz w:val="18"/>
          <w:szCs w:val="18"/>
        </w:rPr>
        <w:t xml:space="preserve">［2］</w:t>
      </w:r>
      <w:r>
        <w:t>……□□不得囗□□辛</w:t>
      </w:r>
      <w:r>
        <w:rPr>
          <w:vertAlign w:val="superscript"/>
          <w:sz w:val="18"/>
          <w:szCs w:val="18"/>
        </w:rPr>
        <w:t xml:space="preserve">［3］</w:t>
      </w:r>
      <w:r>
        <w:t>……邪</w:t>
      </w:r>
      <w:r>
        <w:rPr>
          <w:vertAlign w:val="superscript"/>
          <w:sz w:val="18"/>
          <w:szCs w:val="18"/>
        </w:rPr>
        <w:t xml:space="preserve">［4］</w:t>
      </w:r>
      <w:r>
        <w:t>〼</w:t>
      </w:r>
    </w:p>
    <w:p>
      <w:r>
        <w:t>□……□得=囗产不□……〼</w:t>
      </w:r>
    </w:p>
    <w:p>
      <w:r>
        <w:t>谒报……</w:t>
      </w:r>
      <w:r>
        <w:rPr>
          <w:vertAlign w:val="superscript"/>
          <w:sz w:val="18"/>
          <w:szCs w:val="18"/>
        </w:rPr>
        <w:t xml:space="preserve">［5］</w:t>
      </w:r>
      <w:r>
        <w:t>〼8-100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九，原未释。</w:t>
      </w:r>
    </w:p>
    <w:p>
      <w:r>
        <w:t>[2] 子，原释文未释。</w:t>
      </w:r>
    </w:p>
    <w:p>
      <w:r>
        <w:t>[3] 不得，原未释。</w:t>
      </w:r>
    </w:p>
    <w:p>
      <w:r>
        <w:t>[4] 邪，原释文作“耶”。</w:t>
      </w:r>
    </w:p>
    <w:p>
      <w:r>
        <w:t>[5] 8-100，原释文分三段录写。其形制、纹路、墨迹皆相似，可看作一简，三段之间有缺字，未能密合。</w:t>
      </w:r>
    </w:p>
    <w:p>
      <w:pPr>
        <w:pStyle w:val="Heading1"/>
      </w:pPr>
      <w:r>
        <w:t>书法</w:t>
      </w:r>
    </w:p>
    <w:p>
      <w:r>
        <w:t>图1正面字迹可分几处，笔画细，墨色有浓有淡，字距疏（据图1）。</w:t>
      </w:r>
    </w:p>
    <w:p>
      <w:r>
        <w:t>木板纹理横向可见，多处字被纹路穿过（据图1）。</w:t>
      </w:r>
    </w:p>
    <w:p>
      <w:pPr>
        <w:pStyle w:val="Heading1"/>
      </w:pPr>
      <w:r>
        <w:t>简牍形制</w:t>
      </w:r>
    </w:p>
    <w:p>
      <w:r>
        <w:t w:space="preserve">木质牍一枚，原分三段录写，拼列后可见下缘呈波浪形，板面残损（据图1）；《校释》说其形制、纹路、墨迹相似，可看作一简，三段之间有缺字（《校释》注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墨书竖行，各行长短不齐（据图1）。</w:t>
      </w:r>
    </w:p>
    <w:p>
      <w:pPr>
        <w:pStyle w:val="Heading1"/>
      </w:pPr>
      <w:r>
        <w:t>美育价值</w:t>
      </w:r>
    </w:p>
    <w:p>
      <w:r>
        <w:t w:space="preserve">释文只存「谒报」等字（据释文），《校释》据形制、纹路、墨迹将原分三段的三块看作一简（《校释》注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t w:space="preserve">），残块因此重新拼成一枚完整的简。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