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J1⑧102：残简（卖牛及筋）</w:t>
      </w:r>
    </w:p>
    <w:p>
      <w:pPr>
        <w:pStyle w:val="Heading1"/>
      </w:pPr>
      <w:r>
        <w:t>来源出处</w:t>
      </w:r>
    </w:p>
    <w:p>
      <w:r>
        <w:t>里耶古城一号井第八层出土，原整理号 8-102。</w:t>
      </w:r>
    </w:p>
    <w:p>
      <w:r>
        <w:t>释文、注释：《里耶秦简牍校释》第一卷，第 62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9391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391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2654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98517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5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3343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賣　</w:t>
      </w:r>
      <w:r>
        <w:t>出物貨也。从出从買。（《说文解字》卷六·出部）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50607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牛　</w:t>
      </w:r>
      <w:r>
        <w:t>大牲也。牛，件也；件，事理也。象角頭三、封㞑之形。凡牛之屬皆从牛。（《说文解字》卷二·牛部）</w:t>
      </w:r>
    </w:p>
    <w:p>
      <w:r>
        <w:drawing>
          <wp:inline xmlns:a="http://schemas.openxmlformats.org/drawingml/2006/main" xmlns:pic="http://schemas.openxmlformats.org/drawingml/2006/picture">
            <wp:extent cx="64387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及　</w:t>
      </w:r>
      <w:r>
        <w:t>逮也。从又从人。（《说文解字》卷三·又部）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48836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筋　</w:t>
      </w:r>
      <w:r>
        <w:t>肉之力也。从力从肉从竹。竹，物之多筋者。凡筋之屬皆从筋。（《说文解字》卷四·筋部）</w:t>
      </w:r>
    </w:p>
    <w:p>
      <w:pPr>
        <w:pStyle w:val="Caption"/>
      </w:pPr>
      <w:r>
        <w:t>图2  8-102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〼三    ·卖牛及筋</w:t>
      </w:r>
      <w:r>
        <w:rPr>
          <w:vertAlign w:val="superscript"/>
          <w:sz w:val="18"/>
          <w:szCs w:val="18"/>
        </w:rPr>
        <w:t xml:space="preserve">［1］</w:t>
      </w:r>
      <w:r>
        <w:t>8-102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《秦律十八种·厩苑律》18号简记云：“其乘服公马牛亡马者而死县，县诊而杂买（卖）其肉，即入其筋、革、角，及索入其贾（价）钱。”可参看。</w:t>
      </w:r>
    </w:p>
    <w:p>
      <w:pPr>
        <w:pStyle w:val="Heading1"/>
      </w:pPr>
      <w:r>
        <w:t>书法</w:t>
      </w:r>
    </w:p>
    <w:p>
      <w:r>
        <w:t>图1中段数字墨色黑，笔画清楚，字距匀（据图1）。</w:t>
      </w:r>
    </w:p>
    <w:p>
      <w:r>
        <w:t>「卖牛」前有一处圆点墨记（据图1）。</w:t>
      </w:r>
    </w:p>
    <w:p>
      <w:pPr>
        <w:pStyle w:val="Heading1"/>
      </w:pPr>
      <w:r>
        <w:t>简牍形制</w:t>
      </w:r>
    </w:p>
    <w:p>
      <w:r>
        <w:t>木质简一枚，上端残断，下端平齐，简面竖直木纹明显（据图1）。</w:t>
      </w:r>
    </w:p>
    <w:p>
      <w:pPr>
        <w:pStyle w:val="Heading1"/>
      </w:pPr>
      <w:r>
        <w:t>书写方式</w:t>
      </w:r>
    </w:p>
    <w:p>
      <w:r>
        <w:t>墨书单行竖写，以圆点起头，下接四字（据图1）。</w:t>
      </w:r>
    </w:p>
    <w:p>
      <w:pPr>
        <w:pStyle w:val="Heading1"/>
      </w:pPr>
      <w:r>
        <w:t>美育价值</w:t>
      </w:r>
    </w:p>
    <w:p>
      <w:r>
        <w:t w:space="preserve">简文「·卖牛及筋」（据释文），《校释》引《秦律十八种·厩苑律》关于公马牛死后卖肉、入筋革角的规定参看（《校释》注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），一条残文由此接上了律条。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