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J1⑧104：残简（室发赋皆）</w:t>
      </w:r>
    </w:p>
    <w:p>
      <w:pPr>
        <w:pStyle w:val="Heading1"/>
      </w:pPr>
      <w:r>
        <w:t>来源出处</w:t>
      </w:r>
    </w:p>
    <w:p>
      <w:r>
        <w:t>里耶古城一号井第八层出土，原整理号 8-104。</w:t>
      </w:r>
    </w:p>
    <w:p>
      <w:r>
        <w:t>释文、注释：《里耶秦简牍校释》第一卷，第 63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8255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0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255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8-104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4366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6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室　</w:t>
      </w:r>
      <w:r>
        <w:t>實也。从宀从至。至，所止也。（《说文解字》卷七·宀部）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35038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3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45724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賦　</w:t>
      </w:r>
      <w:r>
        <w:t>斂也。从貝武聲。（《说文解字》卷六·貝部）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41216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皆　</w:t>
      </w:r>
      <w:r>
        <w:t>俱詞也。从比从𪞶。（《说文解字》卷四·𪞶部）</w:t>
      </w:r>
    </w:p>
    <w:p>
      <w:pPr>
        <w:pStyle w:val="Caption"/>
      </w:pPr>
      <w:r>
        <w:t>图2  8-104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〼室发赋皆〼8-104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图1四字自上而下，墨色黑，笔画粗，字形偏方（据图1）。</w:t>
      </w:r>
    </w:p>
    <w:p>
      <w:r>
        <w:t>字距近，上下字挨得紧（据图1）。</w:t>
      </w:r>
    </w:p>
    <w:p>
      <w:pPr>
        <w:pStyle w:val="Heading1"/>
      </w:pPr>
      <w:r>
        <w:t>简牍形制</w:t>
      </w:r>
    </w:p>
    <w:p>
      <w:r>
        <w:t>木质简一枚，上下两端均残，简身窄（据图1）。</w:t>
      </w:r>
    </w:p>
    <w:p>
      <w:pPr>
        <w:pStyle w:val="Heading1"/>
      </w:pPr>
      <w:r>
        <w:t>书写方式</w:t>
      </w:r>
    </w:p>
    <w:p>
      <w:r>
        <w:t>墨书单行竖写，四字连属（据图1）。</w:t>
      </w:r>
    </w:p>
    <w:p>
      <w:pPr>
        <w:pStyle w:val="Heading1"/>
      </w:pPr>
      <w:r>
        <w:t>美育价值</w:t>
      </w:r>
    </w:p>
    <w:p>
      <w:r>
        <w:t>释文存「室发赋皆」四字（据释文），一个「赋」字透露了这枚残简与赋税有关，全简其余内容已残。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