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J1⑧114：残简（当乞鞫）</w:t>
      </w:r>
    </w:p>
    <w:p>
      <w:pPr>
        <w:pStyle w:val="Heading1"/>
      </w:pPr>
      <w:r>
        <w:t>来源出处</w:t>
      </w:r>
    </w:p>
    <w:p>
      <w:r>
        <w:t>里耶古城一号井第八层出土，原整理号 8-114。</w:t>
      </w:r>
    </w:p>
    <w:p>
      <w:r>
        <w:t>释文、注释：《里耶秦简牍校释》第一卷，第 65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4657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1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657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8-114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7064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9014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當　</w:t>
      </w:r>
      <w:r>
        <w:t>田相值也。从田尚聲。（《说文解字》卷十三·田部）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33609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0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气（乞）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19657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6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鞫　</w:t>
      </w:r>
      <w:r>
        <w:t>《说文解字》未收此字。</w:t>
      </w:r>
    </w:p>
    <w:p>
      <w:pPr>
        <w:pStyle w:val="Caption"/>
      </w:pPr>
      <w:r>
        <w:t>图2  8-114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□当气（乞）鞫</w:t>
      </w:r>
      <w:r>
        <w:rPr>
          <w:vertAlign w:val="superscript"/>
          <w:sz w:val="18"/>
          <w:szCs w:val="18"/>
        </w:rPr>
        <w:t xml:space="preserve">［1］</w:t>
      </w:r>
      <w:r>
        <w:t>〼8-114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气，读作乞。《法律答问》115号简云：“以乞鞫及为人乞鞫者，狱已断乃听，且未断犹听殹？狱断乃听之。”整理小组注释云：乞鞫，要求重加审判。《史记·夏侯婴列传》集解引邓展云：“律有故乞鞠。”索隐：“案晋令云：狱结竟，呼囚鞠语罪状，囚若称枉，欲乞鞠者，许之也。”据《晋书·刑法志》，汉代罪人判为二岁刑以上，准许“以家人乞鞫”，至魏废除。又《南史·蔡廓传》：“自今但令家人与囚相见，无乞鞫之诉，便足以明伏罪。”乞鞫，也见于居延汉简。今按：《二年律令·具律》114-117号简有对乞鞫的详细规定，《奏谳书》案例十七（秦王政二年事）为黥城旦讲乞鞫的案卷。</w:t>
      </w:r>
    </w:p>
    <w:p>
      <w:pPr>
        <w:pStyle w:val="Heading1"/>
      </w:pPr>
      <w:r>
        <w:t>书法</w:t>
      </w:r>
    </w:p>
    <w:p>
      <w:r>
        <w:t>图1所见字迹墨色黑，笔画粗细相间，结体已不可全辨（据图1）。</w:t>
      </w:r>
    </w:p>
    <w:p>
      <w:r>
        <w:t>简面下半段有深色污痕（据图1）。</w:t>
      </w:r>
    </w:p>
    <w:p>
      <w:pPr>
        <w:pStyle w:val="Heading1"/>
      </w:pPr>
      <w:r>
        <w:t>简牍形制</w:t>
      </w:r>
    </w:p>
    <w:p>
      <w:r>
        <w:t>木质简一枚，上下两端均残，简面下段污痕较重（据图1）。</w:t>
      </w:r>
    </w:p>
    <w:p>
      <w:pPr>
        <w:pStyle w:val="Heading1"/>
      </w:pPr>
      <w:r>
        <w:t>书写方式</w:t>
      </w:r>
    </w:p>
    <w:p>
      <w:r>
        <w:t>墨书竖行，一行，字距近（据图1）。</w:t>
      </w:r>
    </w:p>
    <w:p>
      <w:pPr>
        <w:pStyle w:val="Heading1"/>
      </w:pPr>
      <w:r>
        <w:t>美育价值</w:t>
      </w:r>
    </w:p>
    <w:p>
      <w:r>
        <w:t w:space="preserve">简文「□当气（乞）鞫」（据释文），《校释》说「气」读作「乞」，乞鞫即要求重加审判（《校释》注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），并引《法律答问》与《二年律令》的相关系文为证。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