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J1⑧117：残简（利足行）</w:t>
      </w:r>
    </w:p>
    <w:p>
      <w:pPr>
        <w:pStyle w:val="Heading1"/>
      </w:pPr>
      <w:r>
        <w:t>来源出处</w:t>
      </w:r>
    </w:p>
    <w:p>
      <w:r>
        <w:t>里耶古城一号井第八层出土，原整理号 8-117。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44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4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0556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利　</w:t>
      </w:r>
      <w:r>
        <w:t>銛也。从刀。和然後利，从和省。《易》曰：“利者，義之和也。”（《说文解字》卷四·刀部）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足　</w:t>
      </w:r>
      <w:r>
        <w:t>人之足也。在下。从止、口。凡足之屬皆从足。（《说文解字》卷二·足部）</w:t>
      </w:r>
    </w:p>
    <w:p>
      <w:r>
        <w:drawing>
          <wp:inline xmlns:a="http://schemas.openxmlformats.org/drawingml/2006/main" xmlns:pic="http://schemas.openxmlformats.org/drawingml/2006/picture">
            <wp:extent cx="68732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图2  8-117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〼□利足行〼8-117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图1简面上端存数字，墨色淡，笔画细；「利」字左旁撇画较长（据图1）。</w:t>
      </w:r>
    </w:p>
    <w:p>
      <w:r>
        <w:t>简身下端木纹显露，字迹稀少（据图1）。</w:t>
      </w:r>
    </w:p>
    <w:p>
      <w:pPr>
        <w:pStyle w:val="Heading1"/>
      </w:pPr>
      <w:r>
        <w:t>简牍形制</w:t>
      </w:r>
    </w:p>
    <w:p>
      <w:r>
        <w:t>木质残简一枚，上端残断，简身一侧缺损，纹理竖直（据图1）。</w:t>
      </w:r>
    </w:p>
    <w:p>
      <w:pPr>
        <w:pStyle w:val="Heading1"/>
      </w:pPr>
      <w:r>
        <w:t>书写方式</w:t>
      </w:r>
    </w:p>
    <w:p>
      <w:r>
        <w:t>墨书单行竖写（据图1）。</w:t>
      </w:r>
    </w:p>
    <w:p>
      <w:pPr>
        <w:pStyle w:val="Heading1"/>
      </w:pPr>
      <w:r>
        <w:t>美育价值</w:t>
      </w:r>
    </w:p>
    <w:p>
      <w:r>
        <w:t>简文见「利足行」（据释文），与8-90「迁陵以邮利足行洞庭」句式相同（据释文），两枚简记着同一类快行传递的事。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