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J1⑧118：残简（畸手）</w:t>
      </w:r>
    </w:p>
    <w:p>
      <w:pPr>
        <w:pStyle w:val="Heading1"/>
      </w:pPr>
      <w:r>
        <w:t>来源出处</w:t>
      </w:r>
    </w:p>
    <w:p>
      <w:r>
        <w:t>里耶古城一号井第八层出土，原整理号 8-118。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310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10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9813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畸　</w:t>
      </w:r>
      <w:r>
        <w:t>殘田也。从田奇聲。（《说文解字》卷十三·田部）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8-118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    畸手</w:t>
      </w:r>
      <w:r>
        <w:rPr>
          <w:vertAlign w:val="superscript"/>
          <w:sz w:val="18"/>
          <w:szCs w:val="18"/>
        </w:rPr>
        <w:t xml:space="preserve">［1］</w:t>
      </w:r>
      <w:r>
        <w:t>。8-118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畸，人名。</w:t>
      </w:r>
    </w:p>
    <w:p>
      <w:pPr>
        <w:pStyle w:val="Heading1"/>
      </w:pPr>
      <w:r>
        <w:t>书法</w:t>
      </w:r>
    </w:p>
    <w:p>
      <w:r>
        <w:t>图1中部一字墨色浓黑、笔画粗，其下另有一字笔画简单（据图1）。</w:t>
      </w:r>
    </w:p>
    <w:p>
      <w:r>
        <w:t>上段只余残墨（据图1）。</w:t>
      </w:r>
    </w:p>
    <w:p>
      <w:pPr>
        <w:pStyle w:val="Heading1"/>
      </w:pPr>
      <w:r>
        <w:t>简牍形制</w:t>
      </w:r>
    </w:p>
    <w:p>
      <w:r>
        <w:t>木质筒状简一枚，一端残断，简面纵向纹理深（据图1）。</w:t>
      </w:r>
    </w:p>
    <w:p>
      <w:pPr>
        <w:pStyle w:val="Heading1"/>
      </w:pPr>
      <w:r>
        <w:t>书写方式</w:t>
      </w:r>
    </w:p>
    <w:p>
      <w:r>
        <w:t>墨书竖写，字集中在中下段（据图1）。</w:t>
      </w:r>
    </w:p>
    <w:p>
      <w:pPr>
        <w:pStyle w:val="Heading1"/>
      </w:pPr>
      <w:r>
        <w:t>美育价值</w:t>
      </w:r>
    </w:p>
    <w:p>
      <w:r>
        <w:t w:space="preserve">释文存「畸手」二字（据释文），《校释》说「畸」是人名（《校释》注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），简上「手」字是当时文书常见的签署格式。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