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J1⑧121：残简（上丞相）</w:t>
      </w:r>
    </w:p>
    <w:p>
      <w:pPr>
        <w:pStyle w:val="Heading1"/>
      </w:pPr>
      <w:r>
        <w:t>来源出处</w:t>
      </w:r>
    </w:p>
    <w:p>
      <w:r>
        <w:t>里耶古城一号井第八层出土，原整理号 8-121。</w:t>
      </w:r>
    </w:p>
    <w:p>
      <w:r>
        <w:t>释文、注释：《里耶秦简牍校释》第一卷，第 66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89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89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94859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85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408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4923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相　</w:t>
      </w:r>
      <w:r>
        <w:t>省視也。从目从木。《易》曰：“地可觀者，莫可觀於木。”《詩》曰：“相鼠有皮。”（《说文解字》卷四·目部）</w:t>
      </w:r>
    </w:p>
    <w:p>
      <w:pPr>
        <w:pStyle w:val="Caption"/>
      </w:pPr>
      <w:r>
        <w:t>图2  8-121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上丞相</w:t>
      </w:r>
      <w:r>
        <w:rPr>
          <w:vertAlign w:val="superscript"/>
          <w:sz w:val="18"/>
          <w:szCs w:val="18"/>
        </w:rPr>
        <w:t xml:space="preserve">［1］</w:t>
      </w:r>
      <w:r>
        <w:t>〼8-121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丞相，辅佐君王的最高行政长官。《汉书·百官公卿表上》：“相国、丞相，皆秦官”。《宋书·百官志上》：“秦悼武王二年，始置丞相官。”青川木牍（秦武王二年）记有“丞相戊”。8-159云“举事可为恒程者上丞相”。</w:t>
      </w:r>
    </w:p>
    <w:p>
      <w:pPr>
        <w:pStyle w:val="Heading1"/>
      </w:pPr>
      <w:r>
        <w:t>书法</w:t>
      </w:r>
    </w:p>
    <w:p>
      <w:r>
        <w:t>图1中段三字墨色浓黑，笔画粗，横画长（据图1）。</w:t>
      </w:r>
    </w:p>
    <w:p>
      <w:r>
        <w:t>简面上段另有几处墨痕，字已不可辨（据图1）。</w:t>
      </w:r>
    </w:p>
    <w:p>
      <w:pPr>
        <w:pStyle w:val="Heading1"/>
      </w:pPr>
      <w:r>
        <w:t>简牍形制</w:t>
      </w:r>
    </w:p>
    <w:p>
      <w:r>
        <w:t>木质简一枚，上下两端均残，简面纵向木纹可见（据图1）。</w:t>
      </w:r>
    </w:p>
    <w:p>
      <w:pPr>
        <w:pStyle w:val="Heading1"/>
      </w:pPr>
      <w:r>
        <w:t>书写方式</w:t>
      </w:r>
    </w:p>
    <w:p>
      <w:r>
        <w:t>墨书单行竖写，字集中在中段（据图1）。</w:t>
      </w:r>
    </w:p>
    <w:p>
      <w:pPr>
        <w:pStyle w:val="Heading1"/>
      </w:pPr>
      <w:r>
        <w:t>美育价值</w:t>
      </w:r>
    </w:p>
    <w:p>
      <w:r>
        <w:t w:space="preserve">简文「上丞相」（据释文），《校释》说丞相是辅佐君王的最高行政长官，并引8-159「举事可为恒程者上丞相」参看（《校释》注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