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J1⑧122：简（言事守府及移书它县须报）</w:t>
      </w:r>
    </w:p>
    <w:p>
      <w:pPr>
        <w:pStyle w:val="Heading1"/>
      </w:pPr>
      <w:r>
        <w:t>来源出处</w:t>
      </w:r>
    </w:p>
    <w:p>
      <w:r>
        <w:t>里耶古城一号井第八层出土，原整理号 8-122。</w:t>
      </w:r>
    </w:p>
    <w:p>
      <w:r>
        <w:t>释文、注释：《里耶秦简牍校释》第一卷，第 66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710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2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10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8-122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38608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6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12487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15368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53714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468765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7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及　</w:t>
      </w:r>
      <w:r>
        <w:t>逮也。从又从人。（《说文解字》卷三·又部）</w:t>
      </w:r>
    </w:p>
    <w:p>
      <w:r>
        <w:drawing>
          <wp:inline xmlns:a="http://schemas.openxmlformats.org/drawingml/2006/main" xmlns:pic="http://schemas.openxmlformats.org/drawingml/2006/picture">
            <wp:extent cx="58800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移　</w:t>
      </w:r>
      <w:r>
        <w:t>禾相倚移也。从禾多聲。一曰禾名。（《说文解字》卷七·禾部）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86919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9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504253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2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它　</w:t>
      </w:r>
      <w:r>
        <w:t>虫也。从虫而長，象冤曲垂尾形。上古艸居患它，故相問無它乎。凡它之屬皆从它。（《说文解字》卷十三·它部）</w:t>
      </w:r>
    </w:p>
    <w:p>
      <w:r>
        <w:drawing>
          <wp:inline xmlns:a="http://schemas.openxmlformats.org/drawingml/2006/main" xmlns:pic="http://schemas.openxmlformats.org/drawingml/2006/picture">
            <wp:extent cx="504333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縣　</w:t>
      </w:r>
      <w:r>
        <w:t>繫也。从系持𥄉。（《说文解字》卷九·𥄉部）</w:t>
      </w:r>
    </w:p>
    <w:p>
      <w:r>
        <w:drawing>
          <wp:inline xmlns:a="http://schemas.openxmlformats.org/drawingml/2006/main" xmlns:pic="http://schemas.openxmlformats.org/drawingml/2006/picture">
            <wp:extent cx="463135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1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須　</w:t>
      </w:r>
      <w:r>
        <w:t>面毛也。从頁从彡。凡須之屬皆从須。（《说文解字》卷九·須部）</w:t>
      </w:r>
    </w:p>
    <w:p>
      <w:r>
        <w:drawing>
          <wp:inline xmlns:a="http://schemas.openxmlformats.org/drawingml/2006/main" xmlns:pic="http://schemas.openxmlformats.org/drawingml/2006/picture">
            <wp:extent cx="429194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1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報　</w:t>
      </w:r>
      <w:r>
        <w:t>當罪人也。从㚔从𠬝。𠬝，服罪也。（《说文解字》卷十·㚔部）</w:t>
      </w:r>
    </w:p>
    <w:p>
      <w:pPr>
        <w:pStyle w:val="Caption"/>
      </w:pPr>
      <w:r>
        <w:t>图2  8-122 逐字字形与本义（共 11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言事守府及移书它县须报</w:t>
      </w:r>
      <w:r>
        <w:rPr>
          <w:vertAlign w:val="superscript"/>
          <w:sz w:val="18"/>
          <w:szCs w:val="18"/>
        </w:rPr>
        <w:t xml:space="preserve">［1］</w:t>
      </w:r>
      <w:r>
        <w:t>。8-122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言事，看8-61+8-293+8-2012注释。移书，致书、发送公文。须，等待。报，覆信。司马迁《报任安书》：“阙然久不报，幸勿为过。”睡虎地《秦律十八种·行书律》：“行传书、受书，必书其起及到日月夙莫（暮），以辄相报殹。”</w:t>
      </w:r>
    </w:p>
    <w:p>
      <w:r>
        <w:t>此简首涂黑。</w:t>
      </w:r>
    </w:p>
    <w:p>
      <w:pPr>
        <w:pStyle w:val="Heading1"/>
      </w:pPr>
      <w:r>
        <w:t>书法</w:t>
      </w:r>
    </w:p>
    <w:p>
      <w:r>
        <w:t>图1一行约十二字贯通简身，墨色黑而匀，笔画细长（据图1）。</w:t>
      </w:r>
    </w:p>
    <w:p>
      <w:r>
        <w:t>简首一段涂黑，与下方字迹分界清楚（据图1）。</w:t>
      </w:r>
    </w:p>
    <w:p>
      <w:pPr>
        <w:pStyle w:val="Heading1"/>
      </w:pPr>
      <w:r>
        <w:t>简牍形制</w:t>
      </w:r>
    </w:p>
    <w:p>
      <w:r>
        <w:t>木质窄简一枚，上下两端完整，简首一段涂黑（据图1、《校释》注）。</w:t>
      </w:r>
    </w:p>
    <w:p>
      <w:pPr>
        <w:pStyle w:val="Heading1"/>
      </w:pPr>
      <w:r>
        <w:t>书写方式</w:t>
      </w:r>
    </w:p>
    <w:p>
      <w:r>
        <w:t>墨书单行竖写，一行到底，字距紧（据图1）。</w:t>
      </w:r>
    </w:p>
    <w:p>
      <w:pPr>
        <w:pStyle w:val="Heading1"/>
      </w:pPr>
      <w:r>
        <w:t>美育价值</w:t>
      </w:r>
    </w:p>
    <w:p>
      <w:r>
        <w:t w:space="preserve">简文「言事守府及移书它县须报」（据释文），《校释》说「移书」是致书、发送公文，「须」是等待，「报」是覆信（《校释》注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），并记此简首涂黑。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