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J1⑧127：残简（以下者廿）</w:t>
      </w:r>
    </w:p>
    <w:p>
      <w:pPr>
        <w:pStyle w:val="Heading1"/>
      </w:pPr>
      <w:r>
        <w:t>来源出处</w:t>
      </w:r>
    </w:p>
    <w:p>
      <w:r>
        <w:t>里耶古城一号井第八层出土，原整理号 8-127。</w:t>
      </w:r>
    </w:p>
    <w:p>
      <w:r>
        <w:t>释文、注释：《里耶秦简牍校释》第一卷，第 68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068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2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068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8-127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9792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6478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6905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0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5636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845142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5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pPr>
        <w:pStyle w:val="Caption"/>
      </w:pPr>
      <w:r>
        <w:t>图2  8-127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〼□以下者廿〼8-127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图1四字自上而下，墨色黑，笔画粗放，字距紧（据图1）。</w:t>
      </w:r>
    </w:p>
    <w:p>
      <w:r>
        <w:t>简面上下两端残处字多缺损（据图1）。</w:t>
      </w:r>
    </w:p>
    <w:p>
      <w:pPr>
        <w:pStyle w:val="Heading1"/>
      </w:pPr>
      <w:r>
        <w:t>简牍形制</w:t>
      </w:r>
    </w:p>
    <w:p>
      <w:r>
        <w:t>木质残简一枚，上下两端均残（据图1）。</w:t>
      </w:r>
    </w:p>
    <w:p>
      <w:pPr>
        <w:pStyle w:val="Heading1"/>
      </w:pPr>
      <w:r>
        <w:t>书写方式</w:t>
      </w:r>
    </w:p>
    <w:p>
      <w:r>
        <w:t>墨书单行竖写，四字连属（据图1）。</w:t>
      </w:r>
    </w:p>
    <w:p>
      <w:pPr>
        <w:pStyle w:val="Heading1"/>
      </w:pPr>
      <w:r>
        <w:t>美育价值</w:t>
      </w:r>
    </w:p>
    <w:p>
      <w:r>
        <w:t>简文存「□以下者廿」（据释文），可辨的「以下者」是当时按身高或身份分等的说法，其余内容已残。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