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J1⑧134：残牍（迁陵以邮行洞庭）</w:t>
      </w:r>
    </w:p>
    <w:p>
      <w:pPr>
        <w:pStyle w:val="Heading1"/>
      </w:pPr>
      <w:r>
        <w:t>来源出处</w:t>
      </w:r>
    </w:p>
    <w:p>
      <w:r>
        <w:t>里耶古城一号井第八层出土，原整理号 8-134。</w:t>
      </w:r>
    </w:p>
    <w:p>
      <w:r>
        <w:t>释文、注释：《里耶秦简牍校释》第一卷，第 72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39999" cy="356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999" cy="356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920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5171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2916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9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9935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3420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66973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7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6512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8-134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〼【迁】陵以邮Ⅰ</w:t>
      </w:r>
    </w:p>
    <w:p>
      <w:r>
        <w:t>〼行洞庭。Ⅱ8-134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图1字迹黑，笔画粗，结体已残，两行并列（据图1）。</w:t>
      </w:r>
    </w:p>
    <w:p>
      <w:r>
        <w:t>板面纵向纹理与断口穿过字迹（据图1）。</w:t>
      </w:r>
    </w:p>
    <w:p>
      <w:pPr>
        <w:pStyle w:val="Heading1"/>
      </w:pPr>
      <w:r>
        <w:t>简牍形制</w:t>
      </w:r>
    </w:p>
    <w:p>
      <w:r>
        <w:t>木质残牍一枚，四周均残，板面纵向裂纹明显（据图1）。</w:t>
      </w:r>
    </w:p>
    <w:p>
      <w:pPr>
        <w:pStyle w:val="Heading1"/>
      </w:pPr>
      <w:r>
        <w:t>书写方式</w:t>
      </w:r>
    </w:p>
    <w:p>
      <w:r>
        <w:t>墨书竖行两行（据释文）。</w:t>
      </w:r>
    </w:p>
    <w:p>
      <w:pPr>
        <w:pStyle w:val="Heading1"/>
      </w:pPr>
      <w:r>
        <w:t>美育价值</w:t>
      </w:r>
    </w:p>
    <w:p>
      <w:r>
        <w:t>释文存「迁陵以邮」「行洞庭」二行（据释文），与8-90、8-115+8-338 所记同为「迁陵以邮行洞庭」，三枚简写着同一条邮路。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