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J1⑧147：残存一『乡』字</w:t>
      </w:r>
    </w:p>
    <w:p>
      <w:pPr>
        <w:pStyle w:val="Heading1"/>
      </w:pPr>
      <w:r>
        <w:t>来源出处</w:t>
      </w:r>
    </w:p>
    <w:p>
      <w:r>
        <w:t>里耶古城一号井第八层出土，原整理号 8-147。</w:t>
      </w:r>
    </w:p>
    <w:p>
      <w:r>
        <w:t>释文、注释：《里耶秦简牍校释》第一卷，第 89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835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3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3469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pPr>
        <w:pStyle w:val="Caption"/>
      </w:pPr>
      <w:r>
        <w:t>图2  8-147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〼乡8-147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简面大半空白，仅上端有数字残笔，字迹漫漶不可辨（据图1）。</w:t>
      </w:r>
    </w:p>
    <w:p>
      <w:pPr>
        <w:pStyle w:val="Heading1"/>
      </w:pPr>
      <w:r>
        <w:t>简牍形制</w:t>
      </w:r>
    </w:p>
    <w:p>
      <w:r>
        <w:t>窄长残简，下端收窄，简面有纵向裂纹（据图1）。</w:t>
      </w:r>
    </w:p>
    <w:p>
      <w:pPr>
        <w:pStyle w:val="Heading1"/>
      </w:pPr>
      <w:r>
        <w:t>书写方式</w:t>
      </w:r>
    </w:p>
    <w:p>
      <w:r>
        <w:t>残存笔画位于简首，单行竖写（据图1）。</w:t>
      </w:r>
    </w:p>
    <w:p>
      <w:pPr>
        <w:pStyle w:val="Heading1"/>
      </w:pPr>
      <w:r>
        <w:t>美育价值</w:t>
      </w:r>
    </w:p>
    <w:p>
      <w:r>
        <w:t>全简只辨出一个『乡』字，其余笔画被磨损和裂纹遮住（据图1、据释文）。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