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J1⑧148：『都乡主』残文书</w:t>
      </w:r>
    </w:p>
    <w:p>
      <w:pPr>
        <w:pStyle w:val="Heading1"/>
      </w:pPr>
      <w:r>
        <w:t>来源出处</w:t>
      </w:r>
    </w:p>
    <w:p>
      <w:r>
        <w:t>里耶古城一号井第八层出土，原整理号 8-148。</w:t>
      </w:r>
    </w:p>
    <w:p>
      <w:r>
        <w:t>释文、注释：《里耶秦简牍校释》第一卷，第 89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168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8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535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1329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834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549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0239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23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8-148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〼□都乡主□□〼8-148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字迹残损，仅中部数字尚可辨，笔画细瘦（据图1）。</w:t>
      </w:r>
    </w:p>
    <w:p>
      <w:pPr>
        <w:pStyle w:val="Heading1"/>
      </w:pPr>
      <w:r>
        <w:t>简牍形制</w:t>
      </w:r>
    </w:p>
    <w:p>
      <w:r>
        <w:t>窄长残简，下端残缺，简面有一道斜向裂纹（据图1）。</w:t>
      </w:r>
    </w:p>
    <w:p>
      <w:pPr>
        <w:pStyle w:val="Heading1"/>
      </w:pPr>
      <w:r>
        <w:t>书写方式</w:t>
      </w:r>
    </w:p>
    <w:p>
      <w:r>
        <w:t>单行竖写，字距较疏（据图1）。</w:t>
      </w:r>
    </w:p>
    <w:p>
      <w:pPr>
        <w:pStyle w:val="Heading1"/>
      </w:pPr>
      <w:r>
        <w:t>美育价值</w:t>
      </w:r>
    </w:p>
    <w:p>
      <w:r>
        <w:t>残简中『都乡主』三字尚可辨认，是乡一级官府与县廷往来文书的痕迹（据图1、据释文）。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