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J1⑧64：残牍（应书廷、署金布发）</w:t>
      </w:r>
    </w:p>
    <w:p>
      <w:pPr>
        <w:pStyle w:val="Heading1"/>
      </w:pPr>
      <w:r>
        <w:t>来源出处</w:t>
      </w:r>
    </w:p>
    <w:p>
      <w:r>
        <w:t>里耶古城一号井第八层出土，原整理号 8-64。</w:t>
      </w:r>
    </w:p>
    <w:p>
      <w:r>
        <w:t>释文、注释：《里耶秦简牍校释》第一卷，第 51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66811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64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66811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8-64正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69316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64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931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8-64背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324830" cy="612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8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𤻮（應）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283609" cy="612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6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書　</w:t>
      </w:r>
      <w:r>
        <w:t>箸也。从聿者聲。（《说文解字》卷三·聿部）</w:t>
      </w:r>
    </w:p>
    <w:p>
      <w:r>
        <w:drawing>
          <wp:inline xmlns:a="http://schemas.openxmlformats.org/drawingml/2006/main" xmlns:pic="http://schemas.openxmlformats.org/drawingml/2006/picture">
            <wp:extent cx="244049" cy="612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0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廷=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38063" cy="612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0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校　</w:t>
      </w:r>
      <w:r>
        <w:t>木囚也。从木交聲。（《说文解字》卷六·木部）</w:t>
      </w:r>
    </w:p>
    <w:p>
      <w:r>
        <w:drawing>
          <wp:inline xmlns:a="http://schemas.openxmlformats.org/drawingml/2006/main" xmlns:pic="http://schemas.openxmlformats.org/drawingml/2006/picture">
            <wp:extent cx="405450" cy="612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4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今　</w:t>
      </w:r>
      <w:r>
        <w:t>是時也。从亼从绁。绁，古文及。（《说文解字》卷五·亼部）</w:t>
      </w:r>
    </w:p>
    <w:p>
      <w:r>
        <w:drawing>
          <wp:inline xmlns:a="http://schemas.openxmlformats.org/drawingml/2006/main" xmlns:pic="http://schemas.openxmlformats.org/drawingml/2006/picture">
            <wp:extent cx="622200" cy="612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2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少　</w:t>
      </w:r>
      <w:r>
        <w:t>不多也。从小丿聲。（《说文解字》卷二·小部）</w:t>
      </w:r>
    </w:p>
    <w:p>
      <w:r>
        <w:drawing>
          <wp:inline xmlns:a="http://schemas.openxmlformats.org/drawingml/2006/main" xmlns:pic="http://schemas.openxmlformats.org/drawingml/2006/picture">
            <wp:extent cx="410487" cy="612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4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內　</w:t>
      </w:r>
      <w:r>
        <w:t>入也。从口，自外而入也。（《说文解字》卷五·入部）</w:t>
      </w:r>
    </w:p>
    <w:p>
      <w:r>
        <w:drawing>
          <wp:inline xmlns:a="http://schemas.openxmlformats.org/drawingml/2006/main" xmlns:pic="http://schemas.openxmlformats.org/drawingml/2006/picture">
            <wp:extent cx="809084" cy="612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090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228878" cy="612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88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359217" cy="612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92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毋　</w:t>
      </w:r>
      <w:r>
        <w:t>止之也。从女，有奸之者。凡毋之屬皆从毋。（《说文解字》卷十二·毋部）</w:t>
      </w:r>
    </w:p>
    <w:p>
      <w:r>
        <w:drawing>
          <wp:inline xmlns:a="http://schemas.openxmlformats.org/drawingml/2006/main" xmlns:pic="http://schemas.openxmlformats.org/drawingml/2006/picture">
            <wp:extent cx="334285" cy="612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4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當　</w:t>
      </w:r>
      <w:r>
        <w:t>田相值也。从田尚聲。（《说文解字》卷十三·田部）</w:t>
      </w:r>
    </w:p>
    <w:p>
      <w:r>
        <w:drawing>
          <wp:inline xmlns:a="http://schemas.openxmlformats.org/drawingml/2006/main" xmlns:pic="http://schemas.openxmlformats.org/drawingml/2006/picture">
            <wp:extent cx="338679" cy="612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86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328254" cy="612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82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者　</w:t>
      </w:r>
      <w:r>
        <w:t>別事詞也。从𪞶纺聲。纺，古文旅字。（《说文解字》卷四·𪞶部）</w:t>
      </w:r>
    </w:p>
    <w:p>
      <w:r>
        <w:drawing>
          <wp:inline xmlns:a="http://schemas.openxmlformats.org/drawingml/2006/main" xmlns:pic="http://schemas.openxmlformats.org/drawingml/2006/picture">
            <wp:extent cx="337043" cy="612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70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節　</w:t>
      </w:r>
      <w:r>
        <w:t>竹約也。从竹即聲。（《说文解字》卷五·竹部）</w:t>
      </w:r>
    </w:p>
    <w:p>
      <w:r>
        <w:drawing>
          <wp:inline xmlns:a="http://schemas.openxmlformats.org/drawingml/2006/main" xmlns:pic="http://schemas.openxmlformats.org/drawingml/2006/picture">
            <wp:extent cx="267466" cy="612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74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署　</w:t>
      </w:r>
      <w:r>
        <w:t>部署，有所网屬。从网者聲。（《说文解字》卷七·网部）</w:t>
      </w:r>
    </w:p>
    <w:p>
      <w:r>
        <w:drawing>
          <wp:inline xmlns:a="http://schemas.openxmlformats.org/drawingml/2006/main" xmlns:pic="http://schemas.openxmlformats.org/drawingml/2006/picture">
            <wp:extent cx="226173" cy="612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61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金　</w:t>
      </w:r>
      <w:r>
        <w:t>五色金也。黃爲之長。久薶不生衣，百鍊不輕，从革不違。西方之行。生於土，从土；左右注，象金在土中形；今聲。凡金之屬皆从金。（《说文解字》卷十四·金部）</w:t>
      </w:r>
    </w:p>
    <w:p>
      <w:r>
        <w:drawing>
          <wp:inline xmlns:a="http://schemas.openxmlformats.org/drawingml/2006/main" xmlns:pic="http://schemas.openxmlformats.org/drawingml/2006/picture">
            <wp:extent cx="361935" cy="612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19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布　</w:t>
      </w:r>
      <w:r>
        <w:t>枲織也。从巾父聲。（《说文解字》卷七·巾部）</w:t>
      </w:r>
    </w:p>
    <w:p>
      <w:r>
        <w:drawing>
          <wp:inline xmlns:a="http://schemas.openxmlformats.org/drawingml/2006/main" xmlns:pic="http://schemas.openxmlformats.org/drawingml/2006/picture">
            <wp:extent cx="236903" cy="612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69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發　</w:t>
      </w:r>
      <w:r>
        <w:t>䠶發也。从弓癹聲。（《说文解字》卷十二·弓部）</w:t>
      </w:r>
    </w:p>
    <w:p>
      <w:pPr>
        <w:pStyle w:val="Caption"/>
      </w:pPr>
      <w:r>
        <w:t>图3  8-64 逐字字形与本义（共 18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</w:t>
      </w:r>
      <w:r>
        <w:drawing>
          <wp:inline xmlns:a="http://schemas.openxmlformats.org/drawingml/2006/main" xmlns:pic="http://schemas.openxmlformats.org/drawingml/2006/picture">
            <wp:extent cx="170100" cy="162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100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（应）书廷</w:t>
      </w:r>
      <w:r>
        <w:rPr>
          <w:vertAlign w:val="superscript"/>
          <w:sz w:val="18"/>
          <w:szCs w:val="18"/>
        </w:rPr>
        <w:t xml:space="preserve">［1］</w:t>
      </w:r>
      <w:r>
        <w:t xml:space="preserve">，廷校</w:t>
      </w:r>
      <w:r>
        <w:rPr>
          <w:vertAlign w:val="superscript"/>
          <w:sz w:val="18"/>
          <w:szCs w:val="18"/>
        </w:rPr>
        <w:t xml:space="preserve">［2］</w:t>
      </w:r>
      <w:r>
        <w:t xml:space="preserve">，今少内□〼Ⅰ</w:t>
      </w:r>
    </w:p>
    <w:p>
      <w:r>
        <w:t>〼尉言毋当令者</w:t>
      </w:r>
      <w:r>
        <w:rPr>
          <w:vertAlign w:val="superscript"/>
          <w:sz w:val="18"/>
          <w:szCs w:val="18"/>
        </w:rPr>
        <w:t xml:space="preserve">［3］</w:t>
      </w:r>
      <w:r>
        <w:t>，节〼Ⅱ8-64</w:t>
      </w:r>
    </w:p>
    <w:p>
      <w:r>
        <w:t>〼署金布发。    〼8-64背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应书，亦见于汉简。于豪亮先生认为：上级官府就某一特定问题对下级有所探询或索取资料，下级回复的文书便称为“应书”。《汉书·沟洫志》：“下丞相孔光、大司空何武奏请部刺史、三辅、三河、弘农太守举吏民能者，莫有应书。”</w:t>
      </w:r>
    </w:p>
    <w:p>
      <w:r>
        <w:t>[2] 校，考核。</w:t>
      </w:r>
    </w:p>
    <w:p>
      <w:r>
        <w:t>[3] 8-652有“问之尉毋当令者”。</w:t>
      </w:r>
    </w:p>
    <w:p>
      <w:pPr>
        <w:pStyle w:val="Heading1"/>
      </w:pPr>
      <w:r>
        <w:t>书法</w:t>
      </w:r>
    </w:p>
    <w:p>
      <w:r>
        <w:t>正面两栏，栏末以Ⅰ、Ⅱ标序；背面另有一行「署金布发」。字小而匀。（据图1、图2）</w:t>
      </w:r>
    </w:p>
    <w:p>
      <w:pPr>
        <w:pStyle w:val="Heading1"/>
      </w:pPr>
      <w:r>
        <w:t>简牍形制</w:t>
      </w:r>
    </w:p>
    <w:p>
      <w:r>
        <w:t>残牍，正、背两面书写。（据图1、图2）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「应书」是回复上级询问的文书，背面记启封的官署。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