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J1⑧65：邮行文牍（酉阳—洞庭）与启封记录</w:t>
      </w:r>
    </w:p>
    <w:p>
      <w:pPr>
        <w:pStyle w:val="Heading1"/>
      </w:pPr>
      <w:r>
        <w:t>来源出处</w:t>
      </w:r>
    </w:p>
    <w:p>
      <w:r>
        <w:t>里耶古城一号井第八层出土，原整理号 8-65。</w:t>
      </w:r>
    </w:p>
    <w:p>
      <w:r>
        <w:t>释文、注释：《里耶秦简牍校释》第一卷，第 51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267319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5正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7319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8-65正 正面实物照片。出处：秦簡字形庫（www.kaom.net）《里耶1》图版。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136632" cy="46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65背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36632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8-65背 背面。出处同图1。</w:t>
      </w:r>
    </w:p>
    <w:p>
      <w:r>
        <w:drawing>
          <wp:inline xmlns:a="http://schemas.openxmlformats.org/drawingml/2006/main" xmlns:pic="http://schemas.openxmlformats.org/drawingml/2006/picture">
            <wp:extent cx="531857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酉　</w:t>
      </w:r>
      <w:r>
        <w:t>就也。八月黍成，可爲酎酒。象古文酉之形。凡酉之屬皆从酉。（《说文解字》卷十四·酉部）</w:t>
      </w:r>
    </w:p>
    <w:p>
      <w:r>
        <w:drawing>
          <wp:inline xmlns:a="http://schemas.openxmlformats.org/drawingml/2006/main" xmlns:pic="http://schemas.openxmlformats.org/drawingml/2006/picture">
            <wp:extent cx="485379" cy="61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537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陽　</w:t>
      </w:r>
      <w:r>
        <w:t>高、明也。从𨸏昜聲。（《说文解字》卷十四·𨸏部）</w:t>
      </w:r>
    </w:p>
    <w:p>
      <w:r>
        <w:drawing>
          <wp:inline xmlns:a="http://schemas.openxmlformats.org/drawingml/2006/main" xmlns:pic="http://schemas.openxmlformats.org/drawingml/2006/picture">
            <wp:extent cx="972000" cy="612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7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·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503327" cy="612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32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洞　</w:t>
      </w:r>
      <w:r>
        <w:t>疾流也。从水同聲。（《说文解字》卷十一·水部）</w:t>
      </w:r>
    </w:p>
    <w:p>
      <w:r>
        <w:drawing>
          <wp:inline xmlns:a="http://schemas.openxmlformats.org/drawingml/2006/main" xmlns:pic="http://schemas.openxmlformats.org/drawingml/2006/picture">
            <wp:extent cx="403363" cy="612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33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庭　</w:t>
      </w:r>
      <w:r>
        <w:t>宮中也。从广廷聲。（《说文解字》卷九·广部）</w:t>
      </w:r>
    </w:p>
    <w:p>
      <w:pPr>
        <w:pStyle w:val="Caption"/>
      </w:pPr>
      <w:r>
        <w:t>图3  8-65 逐字字形与本义（共 5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酉阳    ·洞庭。8-65</w:t>
      </w:r>
    </w:p>
    <w:p>
      <w:r>
        <w:t>廷Ⅰ户发</w:t>
      </w:r>
      <w:r>
        <w:rPr>
          <w:vertAlign w:val="superscript"/>
          <w:sz w:val="18"/>
          <w:szCs w:val="18"/>
        </w:rPr>
        <w:t xml:space="preserve">［1］</w:t>
      </w:r>
      <w:r>
        <w:t>。Ⅱ8-65背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“洞庭”前有“·”，原释文缺，今补。</w:t>
      </w:r>
    </w:p>
    <w:p>
      <w:r>
        <w:t>简首涂黑。</w:t>
      </w:r>
    </w:p>
    <w:p>
      <w:pPr>
        <w:pStyle w:val="Heading1"/>
      </w:pPr>
      <w:r>
        <w:t>书法</w:t>
      </w:r>
    </w:p>
    <w:p>
      <w:r>
        <w:t>正面一行「酉阳　·洞庭」；背面两栏「廷」「户发」。简首涂黑。（据图1、图2）</w:t>
      </w:r>
    </w:p>
    <w:p>
      <w:pPr>
        <w:pStyle w:val="Heading1"/>
      </w:pPr>
      <w:r>
        <w:t>简牍形制</w:t>
      </w:r>
    </w:p>
    <w:p>
      <w:r>
        <w:t w:space="preserve">木牍，正、背两面书写；简首涂黑。（《校释》注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墨色中等。（据图1）</w:t>
      </w:r>
    </w:p>
    <w:p>
      <w:pPr>
        <w:pStyle w:val="Heading1"/>
      </w:pPr>
      <w:r>
        <w:t>美育价值</w:t>
      </w:r>
    </w:p>
    <w:p>
      <w:r>
        <w:t>正面是信封，背面是签收——一枚牍用了两面。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