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J1⑧70+1913：残牍（以纵、不直论，缀合）</w:t>
      </w:r>
    </w:p>
    <w:p>
      <w:pPr>
        <w:pStyle w:val="Heading1"/>
      </w:pPr>
      <w:r>
        <w:t>来源出处</w:t>
      </w:r>
    </w:p>
    <w:p>
      <w:r>
        <w:t>里耶古城一号井第八层出土，原整理号 8-70+8-1913。</w:t>
      </w:r>
    </w:p>
    <w:p>
      <w:r>
        <w:t>释文、注释：《里耶秦简牍校释》第一卷，第 54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79152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70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9152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8-70正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39491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70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949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8-70背 背面。出处同图1。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0012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91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001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8-1913 。出处同图1。</w:t>
      </w:r>
    </w:p>
    <w:p>
      <w:r>
        <w:drawing>
          <wp:inline xmlns:a="http://schemas.openxmlformats.org/drawingml/2006/main" xmlns:pic="http://schemas.openxmlformats.org/drawingml/2006/picture">
            <wp:extent cx="499263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2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日　</w:t>
      </w:r>
      <w:r>
        <w:t>實也。太陽之精不虧。从囗一。象形。凡日之屬皆从日。（《说文解字》卷七·日部）</w:t>
      </w:r>
    </w:p>
    <w:p>
      <w:r>
        <w:drawing>
          <wp:inline xmlns:a="http://schemas.openxmlformats.org/drawingml/2006/main" xmlns:pic="http://schemas.openxmlformats.org/drawingml/2006/picture">
            <wp:extent cx="351147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1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備　</w:t>
      </w:r>
      <w:r>
        <w:t>愼也。从人𤰈聲。（《说文解字》卷八·人部）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81787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7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勿　</w:t>
      </w:r>
      <w:r>
        <w:t>州里所建旗。象其柄，有三游。雜帛，幅半異。所以趣民，故遽，稱勿勿。凡勿之屬皆从勿。（《说文解字》卷九·勿部）</w:t>
      </w:r>
    </w:p>
    <w:p>
      <w:r>
        <w:drawing>
          <wp:inline xmlns:a="http://schemas.openxmlformats.org/drawingml/2006/main" xmlns:pic="http://schemas.openxmlformats.org/drawingml/2006/picture">
            <wp:extent cx="389454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9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643655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36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繆　</w:t>
      </w:r>
      <w:r>
        <w:t>枲之十絜也。一曰綢繆。从糸翏聲。（《说文解字》卷十三·糸部）</w:t>
      </w:r>
    </w:p>
    <w:p>
      <w:r>
        <w:drawing>
          <wp:inline xmlns:a="http://schemas.openxmlformats.org/drawingml/2006/main" xmlns:pic="http://schemas.openxmlformats.org/drawingml/2006/picture">
            <wp:extent cx="401311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3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失　</w:t>
      </w:r>
      <w:r>
        <w:t>縱也。从手乙聲。（《说文解字》卷十二·手部）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774000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7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573750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縱　</w:t>
      </w:r>
      <w:r>
        <w:t>緩也。一曰舍也。从糸從聲。（《说文解字》卷十三·糸部）</w:t>
      </w:r>
    </w:p>
    <w:p>
      <w:r>
        <w:drawing>
          <wp:inline xmlns:a="http://schemas.openxmlformats.org/drawingml/2006/main" xmlns:pic="http://schemas.openxmlformats.org/drawingml/2006/picture">
            <wp:extent cx="784615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84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不　</w:t>
      </w:r>
      <w:r>
        <w:t>鳥飛上翔不下來也。从一，一猶天也。象形。凡不之屬皆从不。（《说文解字》卷十二·不部）</w:t>
      </w:r>
    </w:p>
    <w:p>
      <w:r>
        <w:drawing>
          <wp:inline xmlns:a="http://schemas.openxmlformats.org/drawingml/2006/main" xmlns:pic="http://schemas.openxmlformats.org/drawingml/2006/picture">
            <wp:extent cx="540600" cy="61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直　</w:t>
      </w:r>
      <w:r>
        <w:t>正見也。从𠃊从十从目。（《说文解字》卷十二·𠃊部）</w:t>
      </w:r>
    </w:p>
    <w:p>
      <w:r>
        <w:drawing>
          <wp:inline xmlns:a="http://schemas.openxmlformats.org/drawingml/2006/main" xmlns:pic="http://schemas.openxmlformats.org/drawingml/2006/picture">
            <wp:extent cx="508271" cy="61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2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論　</w:t>
      </w:r>
      <w:r>
        <w:t>議也。从言侖聲。（《说文解字》卷三·言部）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568285" cy="61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有　</w:t>
      </w:r>
      <w:r>
        <w:t>不宜有也。《春秋傳》曰：“日月有食之。”从月又聲。凡有之屬皆从有。（《说文解字》卷七·有部）</w:t>
      </w:r>
    </w:p>
    <w:p>
      <w:r>
        <w:drawing>
          <wp:inline xmlns:a="http://schemas.openxmlformats.org/drawingml/2006/main" xmlns:pic="http://schemas.openxmlformats.org/drawingml/2006/picture">
            <wp:extent cx="444193" cy="61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41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pPr>
        <w:pStyle w:val="Caption"/>
      </w:pPr>
      <w:r>
        <w:t>图4  8-70+8-1913 逐字字形与本义（共 13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〼□□□□□    □□□□□……〼Ⅰ</w:t>
      </w:r>
    </w:p>
    <w:p>
      <w:r>
        <w:t>〼勿令缪失，以纵、不直论</w:t>
      </w:r>
      <w:r>
        <w:rPr>
          <w:vertAlign w:val="superscript"/>
          <w:sz w:val="18"/>
          <w:szCs w:val="18"/>
        </w:rPr>
        <w:t xml:space="preserve">［1］</w:t>
      </w:r>
      <w:r>
        <w:t>，有令</w:t>
      </w:r>
      <w:r>
        <w:rPr>
          <w:vertAlign w:val="superscript"/>
          <w:sz w:val="18"/>
          <w:szCs w:val="18"/>
        </w:rPr>
        <w:t xml:space="preserve">［2］</w:t>
      </w:r>
      <w:r>
        <w:t>〼Ⅱ8-70+8-1913</w:t>
      </w:r>
    </w:p>
    <w:p>
      <w:r>
        <w:drawing>
          <wp:inline xmlns:a="http://schemas.openxmlformats.org/drawingml/2006/main" xmlns:pic="http://schemas.openxmlformats.org/drawingml/2006/picture">
            <wp:extent cx="142779" cy="16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779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>Ⅰ</w:t>
      </w:r>
    </w:p>
    <w:p>
      <w:r>
        <w:t>列削削</w:t>
      </w:r>
      <w:r>
        <w:drawing>
          <wp:inline xmlns:a="http://schemas.openxmlformats.org/drawingml/2006/main" xmlns:pic="http://schemas.openxmlformats.org/drawingml/2006/picture">
            <wp:extent cx="154406" cy="16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440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46065" cy="16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065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59206" cy="16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920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54406" cy="16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440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vertAlign w:val="superscript"/>
          <w:sz w:val="18"/>
          <w:szCs w:val="18"/>
        </w:rPr>
        <w:t xml:space="preserve">［3］</w:t>
      </w:r>
      <w:r>
        <w:t xml:space="preserve">Ⅱ8-70背+8-1913背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纵，《汉书·景武昭宣元功臣表》新畤侯赵弟“太始三年为太常鞠狱不实”注引晋灼曰：“出罪为故纵。”不直，《汉书·景武昭宣元功臣表》注：“入罪为故不直。”《法律答问》93号简云：“论狱何谓‘不直’？何谓‘纵囚’？罪当重而端轻之，当轻而端重之，是谓‘不直’。当论而端弗论，及偒其狱，端令不致，论出之，是谓‘纵囚’”。</w:t>
      </w:r>
    </w:p>
    <w:p>
      <w:r>
        <w:t>[2] 8-70、8-1913二片缀合后断裂处茬口吻合，字迹相同，当可缀合。</w:t>
      </w:r>
    </w:p>
    <w:p>
      <w:r>
        <w:t>[3] 背面为习字简。</w:t>
      </w:r>
    </w:p>
    <w:p>
      <w:pPr>
        <w:pStyle w:val="Heading1"/>
      </w:pPr>
      <w:r>
        <w:t>书法</w:t>
      </w:r>
    </w:p>
    <w:p>
      <w:r>
        <w:t>残片缀合，正面两栏，栏末以Ⅰ、Ⅱ标序；背面存「列削削」数字。字小而密。（据图1、图2）</w:t>
      </w:r>
    </w:p>
    <w:p>
      <w:pPr>
        <w:pStyle w:val="Heading1"/>
      </w:pPr>
      <w:r>
        <w:t>简牍形制</w:t>
      </w:r>
    </w:p>
    <w:p>
      <w:r>
        <w:t w:space="preserve">8-70 与 8-1913 缀合；木牍，正、背两面书写。（《校释》注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「以纵、不直论」是判语——出罪叫纵，判案不公叫不直。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