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J1⑧94：牍（群志式具此中）</w:t>
      </w:r>
    </w:p>
    <w:p>
      <w:pPr>
        <w:pStyle w:val="Heading1"/>
      </w:pPr>
      <w:r>
        <w:t>来源出处</w:t>
      </w:r>
    </w:p>
    <w:p>
      <w:r>
        <w:t>里耶古城一号井第八层出土，原整理号 8-94。</w:t>
      </w:r>
    </w:p>
    <w:p>
      <w:r>
        <w:t>释文、注释：《里耶秦简牍校释》第一卷，第 60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540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54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5038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群　</w:t>
      </w:r>
      <w:r>
        <w:t>輩也。从羊君聲。（《说文解字》卷四·羊部）</w:t>
      </w:r>
    </w:p>
    <w:p>
      <w:r>
        <w:drawing>
          <wp:inline xmlns:a="http://schemas.openxmlformats.org/drawingml/2006/main" xmlns:pic="http://schemas.openxmlformats.org/drawingml/2006/picture">
            <wp:extent cx="3911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志　</w:t>
      </w:r>
      <w:r>
        <w:t>記誌也。从言志聲。（《说文解字》卷三·言部）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8890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9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式　</w:t>
      </w:r>
      <w:r>
        <w:t>法也。从工弋聲。（《说文解字》卷五·工部）</w:t>
      </w:r>
    </w:p>
    <w:p>
      <w:r>
        <w:drawing>
          <wp:inline xmlns:a="http://schemas.openxmlformats.org/drawingml/2006/main" xmlns:pic="http://schemas.openxmlformats.org/drawingml/2006/picture">
            <wp:extent cx="41334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具　</w:t>
      </w:r>
      <w:r>
        <w:t>共置也。从廾，从貝省。古以貝爲貨。（《说文解字》卷三·𠬞部）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此　</w:t>
      </w:r>
      <w:r>
        <w:t>止也。从止从匕。匕，相比次也。凡此之屬皆从此。（《说文解字》卷·此部）</w:t>
      </w:r>
    </w:p>
    <w:p>
      <w:r>
        <w:drawing>
          <wp:inline xmlns:a="http://schemas.openxmlformats.org/drawingml/2006/main" xmlns:pic="http://schemas.openxmlformats.org/drawingml/2006/picture">
            <wp:extent cx="15766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284234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2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pPr>
        <w:pStyle w:val="Caption"/>
      </w:pPr>
      <w:r>
        <w:t>图2  8-94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群志Ⅰ式具此Ⅱ中</w:t>
      </w:r>
      <w:r>
        <w:rPr>
          <w:vertAlign w:val="superscript"/>
          <w:sz w:val="18"/>
          <w:szCs w:val="18"/>
        </w:rPr>
        <w:t xml:space="preserve">［1］</w:t>
      </w:r>
      <w:r>
        <w:t>。以。Ⅲ8-94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式，文书格式。《封诊式·出子》云：“其一式曰：令隶妾数字者某某诊甲，皆言甲前旁有干血，今尚血出而少，非朔事殹。某赏（尝）怀子而变，其前及血出如甲□。”整理小组注释云：“式，指文书程序。本条上面说到检验分检查婴儿和甲的创伤两项，所以丞乙爰书也分为两个程序。”</w:t>
      </w:r>
    </w:p>
    <w:p>
      <w:r>
        <w:t>此简头部涂黑。</w:t>
      </w:r>
    </w:p>
    <w:p>
      <w:pPr>
        <w:pStyle w:val="Heading1"/>
      </w:pPr>
      <w:r>
        <w:t>书法</w:t>
      </w:r>
    </w:p>
    <w:p>
      <w:r>
        <w:t>图1中部三行字，笔画细、墨色浅，横画长而平，字距疏（据图1）。</w:t>
      </w:r>
    </w:p>
    <w:p>
      <w:r>
        <w:t>诸字结构疏散，看不出连笔（据图1）。</w:t>
      </w:r>
    </w:p>
    <w:p>
      <w:pPr>
        <w:pStyle w:val="Heading1"/>
      </w:pPr>
      <w:r>
        <w:t>简牍形制</w:t>
      </w:r>
    </w:p>
    <w:p>
      <w:r>
        <w:t>木质牍一枚，上端呈圆弧形，头部一段涂黑（据图1、《校释》注）。</w:t>
      </w:r>
    </w:p>
    <w:p>
      <w:pPr>
        <w:pStyle w:val="Heading1"/>
      </w:pPr>
      <w:r>
        <w:t>书写方式</w:t>
      </w:r>
    </w:p>
    <w:p>
      <w:r>
        <w:t>墨书竖行三行，行距宽，字与字之间留白多（据图1）。</w:t>
      </w:r>
    </w:p>
    <w:p>
      <w:pPr>
        <w:pStyle w:val="Heading1"/>
      </w:pPr>
      <w:r>
        <w:t>美育价值</w:t>
      </w:r>
    </w:p>
    <w:p>
      <w:r>
        <w:t w:space="preserve">简头涂黑（据图1，《校释》亦记此简头部涂黑），正文记「群志」「式」「具此中」（据释文），《校释》说「式」指文书格式（《校释》注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