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RÀ SOÁT BLOCKER TRƯỚC KIỂM THỬ</w:t>
      </w:r>
    </w:p>
    <w:p>
      <w:pPr>
        <w:pStyle w:val="Subtitle"/>
      </w:pPr>
      <w:r>
        <w:t xml:space="preserve">Smart Warehouse AI Forecast | Phân loại theo các job SCRUM đang tiếp theo</w:t>
      </w:r>
    </w:p>
    <w:p>
      <w:pPr>
        <w:pStyle w:val="Normal"/>
      </w:pPr>
      <w:r>
        <w:t xml:space="preserve">Ngày rà soát: 06/10/2026</w:t>
      </w:r>
    </w:p>
    <w:p>
      <w:pPr>
        <w:pStyle w:val="Normal"/>
      </w:pPr>
      <w:r>
        <w:t xml:space="preserve">Mục đích: phân biệt các vấn đề đã thấy với phạm vi công việc sắp tới. “Không tính blocker” nghĩa là không cần dừng để bắt đầu job đó; vấn đề vẫn phải được kiểm thử, ghi nhận hoặc xử lý trước khi tuyên bố yêu cầu tương ứng đã đạt.</w:t>
      </w:r>
    </w:p>
    <w:p>
      <w:pPr>
        <w:pStyle w:val="Heading1"/>
      </w:pPr>
      <w:r>
        <w:t xml:space="preserve">Tóm tắt</w:t>
      </w:r>
    </w:p>
    <w:p>
      <w:pPr>
        <w:pStyle w:val="Normal"/>
      </w:pPr>
      <w:r>
        <w:t xml:space="preserve">Có thể bắt đầu SCRUM-27 (chạy test/ghi bug) và SCRUM-28 (kịch bản Locust). Cần xác minh cấu hình RabbitMQ khi tích hợp/deploy. Hai lỗi/rủi ro đáng ghi nhận riêng là DLQ redrive không chạy lại job failed và khe hở giữa lưu DB với publish message. Chưa có căn cứ để xác nhận NFR-03 hoặc FR-07 đạt.</w:t>
      </w:r>
    </w:p>
    <w:p>
      <w:pPr>
        <w:pStyle w:val="Heading1"/>
      </w:pPr>
      <w:r>
        <w:t xml:space="preserve">Danh sách vấn đề</w:t>
      </w:r>
    </w:p>
    <w:tbl>
      <w:tblPr>
        <w:tblStyle w:val="TableGrid"/>
        <w:tblW w:w="0" w:type="auto"/>
        <w:tblBorders>
          <w:top w:val="single" w:sz="6" w:color="B4C6E7"/>
          <w:left w:val="single" w:sz="6" w:color="B4C6E7"/>
          <w:bottom w:val="single" w:sz="6" w:color="B4C6E7"/>
          <w:right w:val="single" w:sz="6" w:color="B4C6E7"/>
          <w:insideH w:val="single" w:sz="4" w:color="D9E2F3"/>
          <w:insideV w:val="single" w:sz="4" w:color="D9E2F3"/>
        </w:tblBorders>
      </w:tblPr>
      <w:tblGrid>
        <w:gridCol w:w="2500"/>
        <w:gridCol w:w="2300"/>
        <w:gridCol w:w="2300"/>
        <w:gridCol w:w="4900"/>
      </w:tblGrid>
      <w:tr>
        <w:tc>
          <w:tcPr>
            <w:tcW w:w="2200" w:type="dxa"/>
            <w:vAlign w:val="center"/>
            <w:shd w:fill="1F4E78"/>
          </w:tcPr>
          <w:p>
            <w:pPr>
              <w:spacing w:after="80"/>
            </w:pPr>
            <w:r>
              <w:rPr>
                <w:b/>
                <w:color w:val="FFFFFF"/>
              </w:rPr>
              <w:t xml:space="preserve">Vấn đề</w:t>
            </w:r>
          </w:p>
        </w:tc>
        <w:tc>
          <w:tcPr>
            <w:tcW w:w="2200" w:type="dxa"/>
            <w:vAlign w:val="center"/>
            <w:shd w:fill="1F4E78"/>
          </w:tcPr>
          <w:p>
            <w:pPr>
              <w:spacing w:after="80"/>
            </w:pPr>
            <w:r>
              <w:rPr>
                <w:b/>
                <w:color w:val="FFFFFF"/>
              </w:rPr>
              <w:t xml:space="preserve">Job liên quan</w:t>
            </w:r>
          </w:p>
        </w:tc>
        <w:tc>
          <w:tcPr>
            <w:tcW w:w="2200" w:type="dxa"/>
            <w:vAlign w:val="center"/>
            <w:shd w:fill="1F4E78"/>
          </w:tcPr>
          <w:p>
            <w:pPr>
              <w:spacing w:after="80"/>
            </w:pPr>
            <w:r>
              <w:rPr>
                <w:b/>
                <w:color w:val="FFFFFF"/>
              </w:rPr>
              <w:t xml:space="preserve">Phân loại hiện tại</w:t>
            </w:r>
          </w:p>
        </w:tc>
        <w:tc>
          <w:tcPr>
            <w:tcW w:w="2200" w:type="dxa"/>
            <w:vAlign w:val="center"/>
            <w:shd w:fill="1F4E78"/>
          </w:tcPr>
          <w:p>
            <w:pPr>
              <w:spacing w:after="80"/>
            </w:pPr>
            <w:r>
              <w:rPr>
                <w:b/>
                <w:color w:val="FFFFFF"/>
              </w:rPr>
              <w:t xml:space="preserve">Lý do / hành động</w:t>
            </w:r>
          </w:p>
        </w:tc>
      </w:tr>
      <w:tr>
        <w:tc>
          <w:tcPr>
            <w:tcW w:w="2200" w:type="dxa"/>
            <w:vAlign w:val="center"/>
          </w:tcPr>
          <w:p>
            <w:pPr>
              <w:spacing w:after="80"/>
            </w:pPr>
            <w:r>
              <w:rPr/>
              <w:t xml:space="preserve">Chưa có test tự động trong repo</w:t>
            </w:r>
          </w:p>
        </w:tc>
        <w:tc>
          <w:tcPr>
            <w:tcW w:w="2200" w:type="dxa"/>
            <w:vAlign w:val="center"/>
          </w:tcPr>
          <w:p>
            <w:pPr>
              <w:spacing w:after="80"/>
            </w:pPr>
            <w:r>
              <w:rPr/>
              <w:t xml:space="preserve">SCRUM-27 – Chạy test, ghi bug Jira</w:t>
            </w:r>
          </w:p>
        </w:tc>
        <w:tc>
          <w:tcPr>
            <w:tcW w:w="2200" w:type="dxa"/>
            <w:vAlign w:val="center"/>
          </w:tcPr>
          <w:p>
            <w:pPr>
              <w:spacing w:after="80"/>
            </w:pPr>
            <w:r>
              <w:rPr/>
              <w:t xml:space="preserve">Không chặn bắt đầu test</w:t>
            </w:r>
          </w:p>
        </w:tc>
        <w:tc>
          <w:tcPr>
            <w:tcW w:w="2200" w:type="dxa"/>
            <w:vAlign w:val="center"/>
          </w:tcPr>
          <w:p>
            <w:pPr>
              <w:spacing w:after="80"/>
            </w:pPr>
            <w:r>
              <w:rPr/>
              <w:t xml:space="preserve">Có thể chạy test thủ công theo test-cases.md. Phân biệt kết quả test thủ công với việc có regression automation.</w:t>
            </w:r>
          </w:p>
        </w:tc>
      </w:tr>
      <w:tr>
        <w:tc>
          <w:tcPr>
            <w:tcW w:w="2200" w:type="dxa"/>
            <w:vAlign w:val="center"/>
          </w:tcPr>
          <w:p>
            <w:pPr>
              <w:spacing w:after="80"/>
            </w:pPr>
            <w:r>
              <w:rPr/>
              <w:t xml:space="preserve">Chưa có kịch bản Locust</w:t>
            </w:r>
          </w:p>
        </w:tc>
        <w:tc>
          <w:tcPr>
            <w:tcW w:w="2200" w:type="dxa"/>
            <w:vAlign w:val="center"/>
          </w:tcPr>
          <w:p>
            <w:pPr>
              <w:spacing w:after="80"/>
            </w:pPr>
            <w:r>
              <w:rPr/>
              <w:t xml:space="preserve">SCRUM-28 – Kịch bản Locust</w:t>
            </w:r>
          </w:p>
        </w:tc>
        <w:tc>
          <w:tcPr>
            <w:tcW w:w="2200" w:type="dxa"/>
            <w:vAlign w:val="center"/>
          </w:tcPr>
          <w:p>
            <w:pPr>
              <w:spacing w:after="80"/>
            </w:pPr>
            <w:r>
              <w:rPr/>
              <w:t xml:space="preserve">Không tính blocker cho tiến độ</w:t>
            </w:r>
          </w:p>
        </w:tc>
        <w:tc>
          <w:tcPr>
            <w:tcW w:w="2200" w:type="dxa"/>
            <w:vAlign w:val="center"/>
          </w:tcPr>
          <w:p>
            <w:pPr>
              <w:spacing w:after="80"/>
            </w:pPr>
            <w:r>
              <w:rPr/>
              <w:t xml:space="preserve">Đây là phần việc của job SCRUM-28. Chưa thể kết luận NFR tải 10x đạt cho đến khi có kịch bản và số liệu.</w:t>
            </w:r>
          </w:p>
        </w:tc>
      </w:tr>
      <w:tr>
        <w:tc>
          <w:tcPr>
            <w:tcW w:w="2200" w:type="dxa"/>
            <w:vAlign w:val="center"/>
          </w:tcPr>
          <w:p>
            <w:pPr>
              <w:spacing w:after="80"/>
            </w:pPr>
            <w:r>
              <w:rPr/>
              <w:t xml:space="preserve">RabbitMQ mặc định guest/guest</w:t>
            </w:r>
          </w:p>
        </w:tc>
        <w:tc>
          <w:tcPr>
            <w:tcW w:w="2200" w:type="dxa"/>
            <w:vAlign w:val="center"/>
          </w:tcPr>
          <w:p>
            <w:pPr>
              <w:spacing w:after="80"/>
            </w:pPr>
            <w:r>
              <w:rPr/>
              <w:t xml:space="preserve">SCRUM-23 – Ghép code, tạo PR; SCRUM-29 – Deploy + smoke test</w:t>
            </w:r>
          </w:p>
        </w:tc>
        <w:tc>
          <w:tcPr>
            <w:tcW w:w="2200" w:type="dxa"/>
            <w:vAlign w:val="center"/>
          </w:tcPr>
          <w:p>
            <w:pPr>
              <w:spacing w:after="80"/>
            </w:pPr>
            <w:r>
              <w:rPr/>
              <w:t xml:space="preserve">Cần xác minh khi tích hợp/deploy</w:t>
            </w:r>
          </w:p>
        </w:tc>
        <w:tc>
          <w:tcPr>
            <w:tcW w:w="2200" w:type="dxa"/>
            <w:vAlign w:val="center"/>
          </w:tcPr>
          <w:p>
            <w:pPr>
              <w:spacing w:after="80"/>
            </w:pPr>
            <w:r>
              <w:rPr/>
              <w:t xml:space="preserve">RabbitMQ thường giới hạn guest chỉ kết nối nội bộ localhost. API/worker kết nối qua mạng Docker; nếu đang dùng mặc định guest thì có thể bị từ chối. Xác minh .env an toàn, không chia sẻ secret.</w:t>
            </w:r>
          </w:p>
        </w:tc>
      </w:tr>
      <w:tr>
        <w:tc>
          <w:tcPr>
            <w:tcW w:w="2200" w:type="dxa"/>
            <w:vAlign w:val="center"/>
          </w:tcPr>
          <w:p>
            <w:pPr>
              <w:spacing w:after="80"/>
            </w:pPr>
            <w:r>
              <w:rPr/>
              <w:t xml:space="preserve">Chuyển message DLQ về queue chính không xử lý lại job failed</w:t>
            </w:r>
          </w:p>
        </w:tc>
        <w:tc>
          <w:tcPr>
            <w:tcW w:w="2200" w:type="dxa"/>
            <w:vAlign w:val="center"/>
          </w:tcPr>
          <w:p>
            <w:pPr>
              <w:spacing w:after="80"/>
            </w:pPr>
            <w:r>
              <w:rPr/>
              <w:t xml:space="preserve">SCRUM-27 – chạy test/ghi bug; SCRUM-23 nếu sửa trong phạm vi tích hợp</w:t>
            </w:r>
          </w:p>
        </w:tc>
        <w:tc>
          <w:tcPr>
            <w:tcW w:w="2200" w:type="dxa"/>
            <w:vAlign w:val="center"/>
          </w:tcPr>
          <w:p>
            <w:pPr>
              <w:spacing w:after="80"/>
            </w:pPr>
            <w:r>
              <w:rPr/>
              <w:t xml:space="preserve">Không chặn bắt đầu test; lỗi chức năng đã nhận diện</w:t>
            </w:r>
          </w:p>
        </w:tc>
        <w:tc>
          <w:tcPr>
            <w:tcW w:w="2200" w:type="dxa"/>
            <w:vAlign w:val="center"/>
          </w:tcPr>
          <w:p>
            <w:pPr>
              <w:spacing w:after="80"/>
            </w:pPr>
            <w:r>
              <w:rPr/>
              <w:t xml:space="preserve">Worker ACK và bỏ qua job có trạng thái failed. Vì vậy thao tác redrive thủ công không đồng nghĩa job được xử lý lại. Ghi bug; retest trước khi đánh dấu FR-07 đạt.</w:t>
            </w:r>
          </w:p>
        </w:tc>
      </w:tr>
      <w:tr>
        <w:tc>
          <w:tcPr>
            <w:tcW w:w="2200" w:type="dxa"/>
            <w:vAlign w:val="center"/>
          </w:tcPr>
          <w:p>
            <w:pPr>
              <w:spacing w:after="80"/>
            </w:pPr>
            <w:r>
              <w:rPr/>
              <w:t xml:space="preserve">Khe hở sau commit DB, trước publish RabbitMQ</w:t>
            </w:r>
          </w:p>
        </w:tc>
        <w:tc>
          <w:tcPr>
            <w:tcW w:w="2200" w:type="dxa"/>
            <w:vAlign w:val="center"/>
          </w:tcPr>
          <w:p>
            <w:pPr>
              <w:spacing w:after="80"/>
            </w:pPr>
            <w:r>
              <w:rPr/>
              <w:t xml:space="preserve">SCRUM-27 – kiểm thử/ghi bug; chưa thấy job sửa riêng</w:t>
            </w:r>
          </w:p>
        </w:tc>
        <w:tc>
          <w:tcPr>
            <w:tcW w:w="2200" w:type="dxa"/>
            <w:vAlign w:val="center"/>
          </w:tcPr>
          <w:p>
            <w:pPr>
              <w:spacing w:after="80"/>
            </w:pPr>
            <w:r>
              <w:rPr/>
              <w:t xml:space="preserve">Rủi ro độ tin cậy chưa có phạm vi xử lý rõ</w:t>
            </w:r>
          </w:p>
        </w:tc>
        <w:tc>
          <w:tcPr>
            <w:tcW w:w="2200" w:type="dxa"/>
            <w:vAlign w:val="center"/>
          </w:tcPr>
          <w:p>
            <w:pPr>
              <w:spacing w:after="80"/>
            </w:pPr>
            <w:r>
              <w:rPr/>
              <w:t xml:space="preserve">Nếu API dừng giữa hai bước, job có thể nằm pending trong DB nhưng không có message. Ghi risk/bug; luồng test bình thường không chứng minh NFR-03 trong tình huống crash.</w:t>
            </w:r>
          </w:p>
        </w:tc>
      </w:tr>
      <w:tr>
        <w:tc>
          <w:tcPr>
            <w:tcW w:w="2200" w:type="dxa"/>
            <w:vAlign w:val="center"/>
          </w:tcPr>
          <w:p>
            <w:pPr>
              <w:spacing w:after="80"/>
            </w:pPr>
            <w:r>
              <w:rPr/>
              <w:t xml:space="preserve">/health trả ok tĩnh, không kiểm tra dependency</w:t>
            </w:r>
          </w:p>
        </w:tc>
        <w:tc>
          <w:tcPr>
            <w:tcW w:w="2200" w:type="dxa"/>
            <w:vAlign w:val="center"/>
          </w:tcPr>
          <w:p>
            <w:pPr>
              <w:spacing w:after="80"/>
            </w:pPr>
            <w:r>
              <w:rPr/>
              <w:t xml:space="preserve">SCRUM-29 – Deploy + smoke test</w:t>
            </w:r>
          </w:p>
        </w:tc>
        <w:tc>
          <w:tcPr>
            <w:tcW w:w="2200" w:type="dxa"/>
            <w:vAlign w:val="center"/>
          </w:tcPr>
          <w:p>
            <w:pPr>
              <w:spacing w:after="80"/>
            </w:pPr>
            <w:r>
              <w:rPr/>
              <w:t xml:space="preserve">Không tính blocker</w:t>
            </w:r>
          </w:p>
        </w:tc>
        <w:tc>
          <w:tcPr>
            <w:tcW w:w="2200" w:type="dxa"/>
            <w:vAlign w:val="center"/>
          </w:tcPr>
          <w:p>
            <w:pPr>
              <w:spacing w:after="80"/>
            </w:pPr>
            <w:r>
              <w:rPr/>
              <w:t xml:space="preserve">Smoke test nên gửi POST /jobs, kiểm tra GET /jobs/{id}, xác nhận worker hoàn tất; không chỉ dựa vào /health.</w:t>
            </w:r>
          </w:p>
        </w:tc>
      </w:tr>
    </w:tbl>
    <w:p>
      <w:pPr>
        <w:pStyle w:val="Heading1"/>
      </w:pPr>
      <w:r>
        <w:t xml:space="preserve">Ưu tiên trước khi kết luận kiểm thử</w:t>
      </w:r>
    </w:p>
    <w:p>
      <w:pPr>
        <w:pStyle w:val="Normal"/>
      </w:pPr>
      <w:r>
        <w:t xml:space="preserve">1. Trong SCRUM-29, xác minh API và worker thực sự kết nối RabbitMQ với cấu hình hiện hành; tránh giữ guest mặc định nếu kết nối bị chặn.</w:t>
      </w:r>
    </w:p>
    <w:p>
      <w:pPr>
        <w:pStyle w:val="Normal"/>
      </w:pPr>
      <w:r>
        <w:t xml:space="preserve">2. Khi chạy SCRUM-27, chạy TC-DLQ-03 và ghi nhận hành vi redrive; không đánh dấu FR-07 đạt nếu worker vẫn bỏ qua trạng thái failed.</w:t>
      </w:r>
    </w:p>
    <w:p>
      <w:pPr>
        <w:pStyle w:val="Normal"/>
      </w:pPr>
      <w:r>
        <w:t xml:space="preserve">3. Ghi nhận khe hở DB–queue như bug/risk và làm rõ có cần xử lý trong phạm vi hiện tại hay không; không tuyên bố bảo đảm “không mất message” nếu chưa kiểm thử crash/recovery.</w:t>
      </w:r>
    </w:p>
    <w:p>
      <w:pPr>
        <w:pStyle w:val="Normal"/>
      </w:pPr>
      <w:r>
        <w:t xml:space="preserve">4. Trong SCRUM-28, thu số liệu tải 1x/10x và đối chiếu số job gửi với trạng thái cuối cùng; chưa có kết quả thì NFR-01 chưa được xác nhận.</w:t>
      </w:r>
    </w:p>
    <w:p>
      <w:pPr>
        <w:pStyle w:val="Heading1"/>
      </w:pPr>
      <w:r>
        <w:t xml:space="preserve">Kết quả kiểm tra trước đó</w:t>
      </w:r>
    </w:p>
    <w:p>
      <w:pPr>
        <w:pStyle w:val="Normal"/>
      </w:pPr>
      <w:r>
        <w:t xml:space="preserve">Docker Compose đã qua kiểm tra cấu hình (docker compose config --quiet). Đây chỉ là xác nhận cú pháp/resolve cấu hình; chưa khởi động container và chưa chạy test E2E hoặc load test.</w:t>
      </w:r>
    </w:p>
    <w:sectPr>
      <w:pgSz w:w="11906" w:h="16838"/>
      <w:pgMar w:top="900" w:right="900" w:bottom="900" w:left="900" w:header="450" w:footer="450" w:gutter="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color w:val="1F4E78"/>
      <w:sz w:val="34"/>
    </w:rPr>
  </w:style>
  <w:style w:type="paragraph" w:styleId="Subtitle">
    <w:name w:val="Subtitle"/>
    <w:rPr>
      <w:color w:val="5B6573"/>
      <w:sz w:val="22"/>
    </w:rPr>
  </w:style>
  <w:style w:type="paragraph" w:styleId="Heading1">
    <w:name w:val="heading 1"/>
    <w:basedOn w:val="Normal"/>
    <w:pPr>
      <w:spacing w:before="240" w:after="120"/>
    </w:pPr>
    <w:rPr>
      <w:b/>
      <w:color w:val="1F4E78"/>
      <w:sz w:val="26"/>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