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B0DB5" w14:textId="77777777" w:rsidR="00D970E5" w:rsidRPr="00B36EED" w:rsidRDefault="00D970E5" w:rsidP="00D970E5">
      <w:pPr>
        <w:spacing w:line="480" w:lineRule="auto"/>
        <w:rPr>
          <w:rFonts w:ascii="Times New Roman" w:hAnsi="Times New Roman" w:cs="Times New Roman"/>
        </w:rPr>
      </w:pPr>
      <w:r w:rsidRPr="00B36EED">
        <w:rPr>
          <w:rFonts w:ascii="Times New Roman" w:hAnsi="Times New Roman" w:cs="Times New Roman"/>
          <w:b/>
        </w:rPr>
        <w:softHyphen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6796"/>
        <w:gridCol w:w="1245"/>
      </w:tblGrid>
      <w:tr w:rsidR="00D970E5" w:rsidRPr="00B36EED" w14:paraId="06346D41" w14:textId="77777777" w:rsidTr="00DD0BE9">
        <w:tc>
          <w:tcPr>
            <w:tcW w:w="0" w:type="auto"/>
            <w:vAlign w:val="center"/>
          </w:tcPr>
          <w:p w14:paraId="1829BA3D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6EE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923" w:type="dxa"/>
            <w:vAlign w:val="center"/>
          </w:tcPr>
          <w:p w14:paraId="13DA75B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6E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55" w:type="dxa"/>
            <w:vAlign w:val="center"/>
          </w:tcPr>
          <w:p w14:paraId="3EE22F11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6EED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D970E5" w:rsidRPr="00B36EED" w14:paraId="3FB7A208" w14:textId="77777777" w:rsidTr="00DD0BE9">
        <w:tc>
          <w:tcPr>
            <w:tcW w:w="0" w:type="auto"/>
            <w:vAlign w:val="center"/>
          </w:tcPr>
          <w:p w14:paraId="2450146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 xml:space="preserve">w </w:t>
            </w:r>
          </w:p>
        </w:tc>
        <w:tc>
          <w:tcPr>
            <w:tcW w:w="6923" w:type="dxa"/>
            <w:vAlign w:val="center"/>
          </w:tcPr>
          <w:p w14:paraId="2F2C942F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Body mass in kg</w:t>
            </w:r>
          </w:p>
        </w:tc>
        <w:tc>
          <w:tcPr>
            <w:tcW w:w="1255" w:type="dxa"/>
            <w:vAlign w:val="center"/>
          </w:tcPr>
          <w:p w14:paraId="5C3D88D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varies</w:t>
            </w:r>
          </w:p>
        </w:tc>
      </w:tr>
      <w:tr w:rsidR="00D970E5" w:rsidRPr="00B36EED" w14:paraId="389168AF" w14:textId="77777777" w:rsidTr="00DD0BE9">
        <w:tc>
          <w:tcPr>
            <w:tcW w:w="0" w:type="auto"/>
            <w:vAlign w:val="center"/>
          </w:tcPr>
          <w:p w14:paraId="02CFE56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923" w:type="dxa"/>
            <w:vAlign w:val="center"/>
          </w:tcPr>
          <w:p w14:paraId="7CA04162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Absolute biomass in a trophic level (prey or predators) when considering a community size spectrum </w:t>
            </w:r>
          </w:p>
        </w:tc>
        <w:tc>
          <w:tcPr>
            <w:tcW w:w="1255" w:type="dxa"/>
            <w:vAlign w:val="center"/>
          </w:tcPr>
          <w:p w14:paraId="2AF949D0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5F7B29BD" w14:textId="77777777" w:rsidTr="00DD0BE9">
        <w:tc>
          <w:tcPr>
            <w:tcW w:w="0" w:type="auto"/>
            <w:vAlign w:val="center"/>
          </w:tcPr>
          <w:p w14:paraId="3D69DD4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𝜆</w:t>
            </w:r>
          </w:p>
        </w:tc>
        <w:tc>
          <w:tcPr>
            <w:tcW w:w="6923" w:type="dxa"/>
            <w:vAlign w:val="center"/>
          </w:tcPr>
          <w:p w14:paraId="215B1FF3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exponent that defines the shape of a biomass size spectrum, or its slope on a log-log plot of biomass as a function of body mass. Its value depends on the way the size spectrum is characterized, here the value in Eq. 2 is reported (following Andersen 2019). </w:t>
            </w:r>
          </w:p>
        </w:tc>
        <w:tc>
          <w:tcPr>
            <w:tcW w:w="1255" w:type="dxa"/>
            <w:vAlign w:val="center"/>
          </w:tcPr>
          <w:p w14:paraId="3FE56C5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1.95</w:t>
            </w:r>
          </w:p>
        </w:tc>
      </w:tr>
      <w:tr w:rsidR="00D970E5" w:rsidRPr="00B36EED" w14:paraId="11DCC62F" w14:textId="77777777" w:rsidTr="00DD0BE9">
        <w:tc>
          <w:tcPr>
            <w:tcW w:w="0" w:type="auto"/>
            <w:vAlign w:val="center"/>
          </w:tcPr>
          <w:p w14:paraId="12FD1E7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i/>
                <w:noProof/>
                <w:position w:val="-12"/>
              </w:rPr>
              <w:object w:dxaOrig="300" w:dyaOrig="400" w14:anchorId="4A0DEC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.6pt;height:19.9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22641608" r:id="rId8"/>
              </w:object>
            </w:r>
          </w:p>
        </w:tc>
        <w:tc>
          <w:tcPr>
            <w:tcW w:w="6923" w:type="dxa"/>
            <w:vAlign w:val="center"/>
          </w:tcPr>
          <w:p w14:paraId="138676CD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intercept of a biomass size spectrum, which defines the total biomass of organisms of the smallest body size </w:t>
            </w:r>
            <w:r w:rsidRPr="00B36EED">
              <w:rPr>
                <w:rFonts w:ascii="Times New Roman" w:hAnsi="Times New Roman" w:cs="Times New Roman"/>
                <w:i/>
              </w:rPr>
              <w:t xml:space="preserve">w </w:t>
            </w:r>
            <w:r w:rsidRPr="00B36EED">
              <w:rPr>
                <w:rFonts w:ascii="Times New Roman" w:hAnsi="Times New Roman" w:cs="Times New Roman"/>
              </w:rPr>
              <w:t xml:space="preserve"> in a given ecosystem; Andersen (2018) gives an estimate of 10 gained by averaging over all PPMR estimates measured from gut contents. We vary it to represent ecosystem differences in overall ecosystem richness</w:t>
            </w:r>
          </w:p>
        </w:tc>
        <w:tc>
          <w:tcPr>
            <w:tcW w:w="1255" w:type="dxa"/>
            <w:vAlign w:val="center"/>
          </w:tcPr>
          <w:p w14:paraId="2888597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 5- 30</w:t>
            </w:r>
          </w:p>
        </w:tc>
      </w:tr>
      <w:tr w:rsidR="00D970E5" w:rsidRPr="00B36EED" w14:paraId="7AB0F899" w14:textId="77777777" w:rsidTr="00DD0BE9">
        <w:tc>
          <w:tcPr>
            <w:tcW w:w="0" w:type="auto"/>
            <w:vAlign w:val="center"/>
          </w:tcPr>
          <w:p w14:paraId="5DABA30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40" w:dyaOrig="380" w14:anchorId="13496B72">
                <v:shape id="_x0000_i1026" type="#_x0000_t75" alt="" style="width:16.8pt;height:19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22641609" r:id="rId10"/>
              </w:object>
            </w:r>
          </w:p>
        </w:tc>
        <w:tc>
          <w:tcPr>
            <w:tcW w:w="6923" w:type="dxa"/>
            <w:vAlign w:val="center"/>
          </w:tcPr>
          <w:p w14:paraId="1C9A5F52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Size spectrum “abundance factor” that integrates prey encounter rates, predator prey mass ratios, and prey preferences (value derived from mechanistic principles in Andersen 2019; Ch. 2 Table 2.2). </w:t>
            </w:r>
          </w:p>
        </w:tc>
        <w:tc>
          <w:tcPr>
            <w:tcW w:w="1255" w:type="dxa"/>
            <w:vAlign w:val="center"/>
          </w:tcPr>
          <w:p w14:paraId="6947987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3</w:t>
            </w:r>
          </w:p>
        </w:tc>
      </w:tr>
      <w:tr w:rsidR="00D970E5" w:rsidRPr="00B36EED" w14:paraId="2200EE9C" w14:textId="77777777" w:rsidTr="00DD0BE9">
        <w:tc>
          <w:tcPr>
            <w:tcW w:w="0" w:type="auto"/>
            <w:vAlign w:val="center"/>
          </w:tcPr>
          <w:p w14:paraId="723E10F2" w14:textId="77777777" w:rsidR="00D970E5" w:rsidRPr="00964AA4" w:rsidRDefault="00D970E5" w:rsidP="00DD0BE9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36EED">
              <w:rPr>
                <w:rFonts w:ascii="Times New Roman" w:hAnsi="Times New Roman" w:cs="Times New Roman"/>
                <w:i/>
              </w:rPr>
              <w:t>B</w:t>
            </w:r>
            <w:r w:rsidRPr="00B36EED">
              <w:rPr>
                <w:rFonts w:ascii="Times New Roman" w:hAnsi="Times New Roman" w:cs="Times New Roman"/>
                <w:i/>
                <w:vertAlign w:val="subscript"/>
              </w:rPr>
              <w:t>prey</w:t>
            </w:r>
          </w:p>
        </w:tc>
        <w:tc>
          <w:tcPr>
            <w:tcW w:w="6923" w:type="dxa"/>
            <w:vAlign w:val="center"/>
          </w:tcPr>
          <w:p w14:paraId="521D0E6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Biomass of prey expected by a focal individual </w:t>
            </w:r>
          </w:p>
        </w:tc>
        <w:tc>
          <w:tcPr>
            <w:tcW w:w="1255" w:type="dxa"/>
            <w:vAlign w:val="center"/>
          </w:tcPr>
          <w:p w14:paraId="3FBF1E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6AD59657" w14:textId="77777777" w:rsidTr="00DD0BE9">
        <w:tc>
          <w:tcPr>
            <w:tcW w:w="0" w:type="auto"/>
            <w:vAlign w:val="center"/>
          </w:tcPr>
          <w:p w14:paraId="18CEAAAB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noProof/>
                <w:vertAlign w:val="subscript"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6"/>
              </w:rPr>
              <w:object w:dxaOrig="320" w:dyaOrig="420" w14:anchorId="02ABBD79">
                <v:shape id="_x0000_i1027" type="#_x0000_t75" alt="" style="width:15.9pt;height:20.75pt;mso-width-percent:0;mso-height-percent:0;mso-width-percent:0;mso-height-percent:0" o:ole="">
                  <v:imagedata r:id="rId11" o:title=""/>
                </v:shape>
                <o:OLEObject Type="Embed" ProgID="Equation.DSMT4" ShapeID="_x0000_i1027" DrawAspect="Content" ObjectID="_1622641610" r:id="rId12"/>
              </w:object>
            </w:r>
            <w:r w:rsidRPr="00B36EED">
              <w:rPr>
                <w:rFonts w:ascii="Times New Roman" w:hAnsi="Times New Roman" w:cs="Times New Roman"/>
                <w:noProof/>
                <w:vertAlign w:val="subscript"/>
              </w:rPr>
              <w:t xml:space="preserve"> </w:t>
            </w:r>
          </w:p>
        </w:tc>
        <w:tc>
          <w:tcPr>
            <w:tcW w:w="6923" w:type="dxa"/>
            <w:vAlign w:val="center"/>
          </w:tcPr>
          <w:p w14:paraId="4B762D59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Risk of mortality due to predation, which depends on body mass and position in the size spectrum</w:t>
            </w:r>
          </w:p>
        </w:tc>
        <w:tc>
          <w:tcPr>
            <w:tcW w:w="1255" w:type="dxa"/>
            <w:vAlign w:val="center"/>
          </w:tcPr>
          <w:p w14:paraId="0FB6974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775CCF0A" w14:textId="77777777" w:rsidTr="00DD0BE9">
        <w:tc>
          <w:tcPr>
            <w:tcW w:w="0" w:type="auto"/>
            <w:vAlign w:val="center"/>
          </w:tcPr>
          <w:p w14:paraId="1EF57FD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6"/>
              </w:rPr>
              <w:object w:dxaOrig="360" w:dyaOrig="420" w14:anchorId="11908242">
                <v:shape id="_x0000_i1028" type="#_x0000_t75" alt="" style="width:17.65pt;height:20.75pt;mso-width-percent:0;mso-height-percent:0;mso-width-percent:0;mso-height-percent:0" o:ole="">
                  <v:imagedata r:id="rId13" o:title=""/>
                </v:shape>
                <o:OLEObject Type="Embed" ProgID="Equation.DSMT4" ShapeID="_x0000_i1028" DrawAspect="Content" ObjectID="_1622641611" r:id="rId14"/>
              </w:object>
            </w:r>
          </w:p>
        </w:tc>
        <w:tc>
          <w:tcPr>
            <w:tcW w:w="6923" w:type="dxa"/>
            <w:vAlign w:val="center"/>
          </w:tcPr>
          <w:p w14:paraId="4B372FA7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Size spectrum “predation factor” that is a complement to </w:t>
            </w: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40" w:dyaOrig="380" w14:anchorId="6FE1D366">
                <v:shape id="_x0000_i1029" type="#_x0000_t75" alt="" style="width:12.35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9" DrawAspect="Content" ObjectID="_1622641612" r:id="rId15"/>
              </w:object>
            </w:r>
            <w:r w:rsidRPr="00B36EED">
              <w:rPr>
                <w:rFonts w:ascii="Times New Roman" w:hAnsi="Times New Roman" w:cs="Times New Roman"/>
              </w:rPr>
              <w:t>(value derived from mechanistic principles regarding predator preferences in Andersen 2019; reported Ch. 2 Table 2.2)</w:t>
            </w:r>
          </w:p>
        </w:tc>
        <w:tc>
          <w:tcPr>
            <w:tcW w:w="1255" w:type="dxa"/>
            <w:vAlign w:val="center"/>
          </w:tcPr>
          <w:p w14:paraId="1F2C08DD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0.07</w:t>
            </w:r>
          </w:p>
        </w:tc>
      </w:tr>
      <w:tr w:rsidR="00D970E5" w:rsidRPr="00B36EED" w14:paraId="7AA12C78" w14:textId="77777777" w:rsidTr="00DD0BE9">
        <w:tc>
          <w:tcPr>
            <w:tcW w:w="0" w:type="auto"/>
            <w:vAlign w:val="center"/>
          </w:tcPr>
          <w:p w14:paraId="3E7F9AC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260" w:dyaOrig="380" w14:anchorId="4577F474">
                <v:shape id="_x0000_i1030" type="#_x0000_t75" alt="" style="width:13.25pt;height:19pt;mso-width-percent:0;mso-height-percent:0;mso-width-percent:0;mso-height-percent:0" o:ole="">
                  <v:imagedata r:id="rId16" o:title=""/>
                </v:shape>
                <o:OLEObject Type="Embed" ProgID="Equation.DSMT4" ShapeID="_x0000_i1030" DrawAspect="Content" ObjectID="_1622641613" r:id="rId17"/>
              </w:object>
            </w:r>
          </w:p>
        </w:tc>
        <w:tc>
          <w:tcPr>
            <w:tcW w:w="6923" w:type="dxa"/>
            <w:vAlign w:val="center"/>
          </w:tcPr>
          <w:p w14:paraId="4061D714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Prey consumption coefficient based on predator satiation estimates (estimated from gut contents) that modulates predation risk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vAlign w:val="center"/>
          </w:tcPr>
          <w:p w14:paraId="0484EDBD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0.1-0.7</w:t>
            </w:r>
          </w:p>
        </w:tc>
      </w:tr>
      <w:tr w:rsidR="00D970E5" w:rsidRPr="00B36EED" w14:paraId="6B1B8EF3" w14:textId="77777777" w:rsidTr="00DD0BE9">
        <w:tc>
          <w:tcPr>
            <w:tcW w:w="0" w:type="auto"/>
            <w:vAlign w:val="center"/>
          </w:tcPr>
          <w:p w14:paraId="1433FC5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6923" w:type="dxa"/>
            <w:vAlign w:val="center"/>
          </w:tcPr>
          <w:p w14:paraId="296576E5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Predator consumption coefficient that scales metabolic requirements with body mass (value estimated in Andersen 2019; Ch. 2 Table 2.2)</w:t>
            </w:r>
          </w:p>
        </w:tc>
        <w:tc>
          <w:tcPr>
            <w:tcW w:w="1255" w:type="dxa"/>
            <w:vAlign w:val="center"/>
          </w:tcPr>
          <w:p w14:paraId="348EF361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17.2</w:t>
            </w:r>
          </w:p>
        </w:tc>
      </w:tr>
      <w:tr w:rsidR="00D970E5" w:rsidRPr="00B36EED" w14:paraId="0067A974" w14:textId="77777777" w:rsidTr="00DD0BE9">
        <w:tc>
          <w:tcPr>
            <w:tcW w:w="0" w:type="auto"/>
            <w:vAlign w:val="center"/>
          </w:tcPr>
          <w:p w14:paraId="1B4801C2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923" w:type="dxa"/>
            <w:vAlign w:val="center"/>
          </w:tcPr>
          <w:p w14:paraId="34781E2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Predator consumption exponent that determines how metabolic requirements increase with body mass (estimated in Andersen 2019; Ch. 2 Table 2.2)</w:t>
            </w:r>
          </w:p>
        </w:tc>
        <w:tc>
          <w:tcPr>
            <w:tcW w:w="1255" w:type="dxa"/>
            <w:vAlign w:val="center"/>
          </w:tcPr>
          <w:p w14:paraId="7F29C49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0.75</w:t>
            </w:r>
          </w:p>
        </w:tc>
      </w:tr>
      <w:tr w:rsidR="00D970E5" w:rsidRPr="00B36EED" w14:paraId="40FCDF90" w14:textId="77777777" w:rsidTr="00DD0BE9">
        <w:tc>
          <w:tcPr>
            <w:tcW w:w="0" w:type="auto"/>
            <w:vAlign w:val="center"/>
          </w:tcPr>
          <w:p w14:paraId="23DC7D7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𝜏</w:t>
            </w:r>
          </w:p>
        </w:tc>
        <w:tc>
          <w:tcPr>
            <w:tcW w:w="6923" w:type="dxa"/>
            <w:vAlign w:val="center"/>
          </w:tcPr>
          <w:p w14:paraId="5CC60C2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Temperature of the environment (in degrees Kelvin)</w:t>
            </w:r>
          </w:p>
        </w:tc>
        <w:tc>
          <w:tcPr>
            <w:tcW w:w="1255" w:type="dxa"/>
            <w:vAlign w:val="center"/>
          </w:tcPr>
          <w:p w14:paraId="34CD3F2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293-29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970E5" w:rsidRPr="00B36EED" w14:paraId="62E2D77B" w14:textId="77777777" w:rsidTr="00DD0BE9">
        <w:tc>
          <w:tcPr>
            <w:tcW w:w="0" w:type="auto"/>
            <w:vAlign w:val="center"/>
          </w:tcPr>
          <w:p w14:paraId="40195EB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6923" w:type="dxa"/>
            <w:vAlign w:val="center"/>
          </w:tcPr>
          <w:p w14:paraId="285396A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Metabolic requirements (costs) that scale with mass and temperature</w:t>
            </w:r>
          </w:p>
        </w:tc>
        <w:tc>
          <w:tcPr>
            <w:tcW w:w="1255" w:type="dxa"/>
            <w:vAlign w:val="center"/>
          </w:tcPr>
          <w:p w14:paraId="29C76E65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27615386" w14:textId="77777777" w:rsidTr="00DD0BE9">
        <w:tc>
          <w:tcPr>
            <w:tcW w:w="0" w:type="auto"/>
            <w:vAlign w:val="center"/>
          </w:tcPr>
          <w:p w14:paraId="33716BC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6923" w:type="dxa"/>
            <w:vAlign w:val="center"/>
          </w:tcPr>
          <w:p w14:paraId="21400F21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Normalization constant scaling metabolic costs, adjusted according to Clarke and Portner 2010)</w:t>
            </w:r>
          </w:p>
        </w:tc>
        <w:tc>
          <w:tcPr>
            <w:tcW w:w="1255" w:type="dxa"/>
            <w:vAlign w:val="center"/>
          </w:tcPr>
          <w:p w14:paraId="31911F0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12121"/>
              </w:rPr>
              <w:t>5</w:t>
            </w:r>
            <w:r w:rsidRPr="00B36EED">
              <w:rPr>
                <w:rFonts w:ascii="Times New Roman" w:hAnsi="Times New Roman" w:cs="Times New Roman"/>
                <w:color w:val="212121"/>
              </w:rPr>
              <w:t xml:space="preserve">  ×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212121"/>
                <w:vertAlign w:val="superscript"/>
              </w:rPr>
              <w:t>7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09AFFEF1" w14:textId="77777777" w:rsidTr="00DD0BE9">
        <w:tc>
          <w:tcPr>
            <w:tcW w:w="0" w:type="auto"/>
            <w:vAlign w:val="center"/>
          </w:tcPr>
          <w:p w14:paraId="5BCE03A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6923" w:type="dxa"/>
            <w:vAlign w:val="center"/>
          </w:tcPr>
          <w:p w14:paraId="09703FC5" w14:textId="77777777" w:rsidR="00D970E5" w:rsidRPr="00B36EED" w:rsidRDefault="00D970E5" w:rsidP="00DD0BE9">
            <w:pPr>
              <w:shd w:val="clear" w:color="auto" w:fill="FFFFFF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</w:rPr>
              <w:t xml:space="preserve">Boltzmann constant, relating particle energy to temperature in units of </w:t>
            </w:r>
            <w:r w:rsidRPr="00B36EED">
              <w:rPr>
                <w:rFonts w:ascii="Times New Roman" w:hAnsi="Times New Roman" w:cs="Times New Roman"/>
                <w:color w:val="212121"/>
              </w:rPr>
              <w:t>m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2</w:t>
            </w:r>
            <w:r w:rsidRPr="00B36EED">
              <w:rPr>
                <w:rFonts w:ascii="Times New Roman" w:hAnsi="Times New Roman" w:cs="Times New Roman"/>
                <w:color w:val="212121"/>
              </w:rPr>
              <w:t> kg s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-2</w:t>
            </w:r>
            <w:r w:rsidRPr="00B36EED">
              <w:rPr>
                <w:rFonts w:ascii="Times New Roman" w:hAnsi="Times New Roman" w:cs="Times New Roman"/>
                <w:color w:val="212121"/>
              </w:rPr>
              <w:t> K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-1</w:t>
            </w:r>
          </w:p>
        </w:tc>
        <w:tc>
          <w:tcPr>
            <w:tcW w:w="1255" w:type="dxa"/>
            <w:vAlign w:val="center"/>
          </w:tcPr>
          <w:p w14:paraId="324B315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1.3  ×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-23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4169389E" w14:textId="77777777" w:rsidTr="00DD0BE9">
        <w:tc>
          <w:tcPr>
            <w:tcW w:w="0" w:type="auto"/>
            <w:vAlign w:val="center"/>
          </w:tcPr>
          <w:p w14:paraId="3FD4297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6923" w:type="dxa"/>
            <w:vAlign w:val="center"/>
          </w:tcPr>
          <w:p w14:paraId="49475967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The average activation energy for the rate limiting enzymes in metabolism in units of joules; from the metabolic theory of ecology (Gilooly et al. 2001).</w:t>
            </w:r>
          </w:p>
        </w:tc>
        <w:tc>
          <w:tcPr>
            <w:tcW w:w="1255" w:type="dxa"/>
            <w:vAlign w:val="center"/>
          </w:tcPr>
          <w:p w14:paraId="513D8D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1.04  ×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-19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4D016510" w14:textId="77777777" w:rsidTr="00DD0BE9">
        <w:tc>
          <w:tcPr>
            <w:tcW w:w="0" w:type="auto"/>
            <w:vAlign w:val="center"/>
          </w:tcPr>
          <w:p w14:paraId="7CADE12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𝜃</w:t>
            </w:r>
          </w:p>
        </w:tc>
        <w:tc>
          <w:tcPr>
            <w:tcW w:w="6923" w:type="dxa"/>
            <w:vAlign w:val="center"/>
          </w:tcPr>
          <w:p w14:paraId="35A4B57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Metabolic scaling exponent; values vary among clade, here we use a value reported for tunas (Clarke and Johnston 1999)</w:t>
            </w:r>
          </w:p>
        </w:tc>
        <w:tc>
          <w:tcPr>
            <w:tcW w:w="1255" w:type="dxa"/>
            <w:vAlign w:val="center"/>
          </w:tcPr>
          <w:p w14:paraId="0AD29DE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0.66</w:t>
            </w:r>
          </w:p>
        </w:tc>
      </w:tr>
      <w:tr w:rsidR="00D970E5" w:rsidRPr="00B36EED" w14:paraId="3F2EE069" w14:textId="77777777" w:rsidTr="00DD0BE9">
        <w:tc>
          <w:tcPr>
            <w:tcW w:w="0" w:type="auto"/>
            <w:vAlign w:val="center"/>
          </w:tcPr>
          <w:p w14:paraId="498EFA1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lastRenderedPageBreak/>
              <w:t>𝜌</w:t>
            </w:r>
          </w:p>
        </w:tc>
        <w:tc>
          <w:tcPr>
            <w:tcW w:w="6923" w:type="dxa"/>
            <w:vAlign w:val="center"/>
          </w:tcPr>
          <w:p w14:paraId="0D1D380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The energy density of tuna body mass in our model in J/kg (estimated empirically and reported in Chapman et al. 2011)</w:t>
            </w:r>
          </w:p>
        </w:tc>
        <w:tc>
          <w:tcPr>
            <w:tcW w:w="1255" w:type="dxa"/>
            <w:vAlign w:val="center"/>
          </w:tcPr>
          <w:p w14:paraId="34FBE93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4.2  ×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6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0324906C" w14:textId="77777777" w:rsidTr="00DD0BE9">
        <w:tc>
          <w:tcPr>
            <w:tcW w:w="0" w:type="auto"/>
            <w:vAlign w:val="center"/>
          </w:tcPr>
          <w:p w14:paraId="0463F88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6923" w:type="dxa"/>
            <w:vAlign w:val="center"/>
          </w:tcPr>
          <w:p w14:paraId="0A4251D3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Time in </w:t>
            </w:r>
            <w:r>
              <w:rPr>
                <w:rFonts w:ascii="Times New Roman" w:hAnsi="Times New Roman" w:cs="Times New Roman"/>
              </w:rPr>
              <w:t>monthly time steps</w:t>
            </w:r>
            <w:r w:rsidRPr="00B36EED">
              <w:rPr>
                <w:rFonts w:ascii="Times New Roman" w:hAnsi="Times New Roman" w:cs="Times New Roman"/>
              </w:rPr>
              <w:t xml:space="preserve"> in the dynamic model</w:t>
            </w:r>
          </w:p>
        </w:tc>
        <w:tc>
          <w:tcPr>
            <w:tcW w:w="1255" w:type="dxa"/>
            <w:vAlign w:val="center"/>
          </w:tcPr>
          <w:p w14:paraId="2D49CC0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64938EC2" w14:textId="77777777" w:rsidTr="00DD0BE9">
        <w:tc>
          <w:tcPr>
            <w:tcW w:w="0" w:type="auto"/>
            <w:vAlign w:val="center"/>
          </w:tcPr>
          <w:p w14:paraId="2CC51FFB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T</w:t>
            </w:r>
            <w:r w:rsidRPr="00B36EED">
              <w:rPr>
                <w:rFonts w:ascii="Times New Roman" w:hAnsi="Times New Roman" w:cs="Times New Roman"/>
                <w:i/>
                <w:vertAlign w:val="subscript"/>
              </w:rPr>
              <w:t>max</w:t>
            </w:r>
          </w:p>
        </w:tc>
        <w:tc>
          <w:tcPr>
            <w:tcW w:w="6923" w:type="dxa"/>
            <w:vAlign w:val="center"/>
          </w:tcPr>
          <w:p w14:paraId="2168A220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Maximum possible time over which an individual can accrue fitness (maximum </w:t>
            </w:r>
            <w:r>
              <w:rPr>
                <w:rFonts w:ascii="Times New Roman" w:hAnsi="Times New Roman" w:cs="Times New Roman"/>
              </w:rPr>
              <w:t>lifespan in years)</w:t>
            </w:r>
          </w:p>
        </w:tc>
        <w:tc>
          <w:tcPr>
            <w:tcW w:w="1255" w:type="dxa"/>
            <w:vAlign w:val="center"/>
          </w:tcPr>
          <w:p w14:paraId="46206A1C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16</w:t>
            </w:r>
          </w:p>
        </w:tc>
      </w:tr>
      <w:tr w:rsidR="00D970E5" w:rsidRPr="00B36EED" w14:paraId="6716DDD6" w14:textId="77777777" w:rsidTr="00DD0BE9">
        <w:tc>
          <w:tcPr>
            <w:tcW w:w="0" w:type="auto"/>
            <w:vAlign w:val="center"/>
          </w:tcPr>
          <w:p w14:paraId="0BD899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l</w:t>
            </w:r>
          </w:p>
        </w:tc>
        <w:tc>
          <w:tcPr>
            <w:tcW w:w="6923" w:type="dxa"/>
            <w:vAlign w:val="center"/>
          </w:tcPr>
          <w:p w14:paraId="0F846724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Body length (in cm) – this is a dynamic state variable but can only increase with time. The maximum value is 375 cm.</w:t>
            </w:r>
          </w:p>
        </w:tc>
        <w:tc>
          <w:tcPr>
            <w:tcW w:w="1255" w:type="dxa"/>
            <w:vAlign w:val="center"/>
          </w:tcPr>
          <w:p w14:paraId="65757BA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5E587629" w14:textId="77777777" w:rsidTr="00DD0BE9">
        <w:tc>
          <w:tcPr>
            <w:tcW w:w="0" w:type="auto"/>
            <w:vAlign w:val="center"/>
          </w:tcPr>
          <w:p w14:paraId="73493ED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6923" w:type="dxa"/>
            <w:vAlign w:val="center"/>
          </w:tcPr>
          <w:p w14:paraId="5BFCD815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Lipid stores (in joules) – this is a dynamic state variable representing energy stores that can be used for metabolism, growth, and reproduction. </w:t>
            </w:r>
          </w:p>
        </w:tc>
        <w:tc>
          <w:tcPr>
            <w:tcW w:w="1255" w:type="dxa"/>
            <w:vAlign w:val="center"/>
          </w:tcPr>
          <w:p w14:paraId="0DFA81F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01755D02" w14:textId="77777777" w:rsidTr="00DD0BE9">
        <w:tc>
          <w:tcPr>
            <w:tcW w:w="0" w:type="auto"/>
            <w:vAlign w:val="center"/>
          </w:tcPr>
          <w:p w14:paraId="02B9DACA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280" w:dyaOrig="380" w14:anchorId="25E9DE7C">
                <v:shape id="_x0000_i1031" type="#_x0000_t75" alt="" style="width:14.15pt;height:19pt;mso-width-percent:0;mso-height-percent:0;mso-width-percent:0;mso-height-percent:0" o:ole="">
                  <v:imagedata r:id="rId18" o:title=""/>
                </v:shape>
                <o:OLEObject Type="Embed" ProgID="Equation.DSMT4" ShapeID="_x0000_i1031" DrawAspect="Content" ObjectID="_1622641614" r:id="rId19"/>
              </w:object>
            </w:r>
            <w:r w:rsidRPr="00B36EED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</w:p>
        </w:tc>
        <w:tc>
          <w:tcPr>
            <w:tcW w:w="6923" w:type="dxa"/>
            <w:vAlign w:val="center"/>
          </w:tcPr>
          <w:p w14:paraId="2F0B2D55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Structural mass of the individual (in kg); a cubic function of length</w:t>
            </w:r>
          </w:p>
        </w:tc>
        <w:tc>
          <w:tcPr>
            <w:tcW w:w="1255" w:type="dxa"/>
            <w:vAlign w:val="center"/>
          </w:tcPr>
          <w:p w14:paraId="5AD6E75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3D513F42" w14:textId="77777777" w:rsidTr="00DD0BE9">
        <w:tc>
          <w:tcPr>
            <w:tcW w:w="0" w:type="auto"/>
            <w:vAlign w:val="center"/>
          </w:tcPr>
          <w:p w14:paraId="0E7DC0E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6923" w:type="dxa"/>
            <w:vAlign w:val="center"/>
          </w:tcPr>
          <w:p w14:paraId="095D8FE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Scale coefficient relating length to structural mass, estimated empirically for bluefin tuna and reported in ICCAT (2015)</w:t>
            </w:r>
          </w:p>
        </w:tc>
        <w:tc>
          <w:tcPr>
            <w:tcW w:w="1255" w:type="dxa"/>
            <w:vAlign w:val="center"/>
          </w:tcPr>
          <w:p w14:paraId="65670C5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1.0  ×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-5</w:t>
            </w:r>
          </w:p>
        </w:tc>
      </w:tr>
      <w:tr w:rsidR="00D970E5" w:rsidRPr="00B36EED" w14:paraId="6886E664" w14:textId="77777777" w:rsidTr="00DD0BE9">
        <w:tc>
          <w:tcPr>
            <w:tcW w:w="0" w:type="auto"/>
            <w:vAlign w:val="center"/>
          </w:tcPr>
          <w:p w14:paraId="70F49A72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00" w:dyaOrig="380" w14:anchorId="1808F472">
                <v:shape id="_x0000_i1032" type="#_x0000_t75" alt="" style="width:14.6pt;height:19pt;mso-width-percent:0;mso-height-percent:0;mso-width-percent:0;mso-height-percent:0" o:ole="">
                  <v:imagedata r:id="rId20" o:title=""/>
                </v:shape>
                <o:OLEObject Type="Embed" ProgID="Equation.DSMT4" ShapeID="_x0000_i1032" DrawAspect="Content" ObjectID="_1622641615" r:id="rId21"/>
              </w:object>
            </w:r>
          </w:p>
        </w:tc>
        <w:tc>
          <w:tcPr>
            <w:tcW w:w="6923" w:type="dxa"/>
            <w:vAlign w:val="center"/>
          </w:tcPr>
          <w:p w14:paraId="72D5EE96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Lipid mass of the individual (in kg); </w:t>
            </w: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00" w:dyaOrig="380" w14:anchorId="2A967223">
                <v:shape id="_x0000_i1033" type="#_x0000_t75" alt="" style="width:14.6pt;height:19pt;mso-width-percent:0;mso-height-percent:0;mso-width-percent:0;mso-height-percent:0" o:ole="">
                  <v:imagedata r:id="rId22" o:title=""/>
                </v:shape>
                <o:OLEObject Type="Embed" ProgID="Equation.DSMT4" ShapeID="_x0000_i1033" DrawAspect="Content" ObjectID="_1622641616" r:id="rId23"/>
              </w:object>
            </w:r>
            <w:r w:rsidRPr="00B36EED">
              <w:rPr>
                <w:rFonts w:ascii="Times New Roman" w:hAnsi="Times New Roman" w:cs="Times New Roman"/>
              </w:rPr>
              <w:t xml:space="preserve"> cannot exceed </w:t>
            </w: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280" w:dyaOrig="380" w14:anchorId="68A56F72">
                <v:shape id="_x0000_i1034" type="#_x0000_t75" alt="" style="width:14.15pt;height:19pt;mso-width-percent:0;mso-height-percent:0;mso-width-percent:0;mso-height-percent:0" o:ole="">
                  <v:imagedata r:id="rId24" o:title=""/>
                </v:shape>
                <o:OLEObject Type="Embed" ProgID="Equation.DSMT4" ShapeID="_x0000_i1034" DrawAspect="Content" ObjectID="_1622641617" r:id="rId25"/>
              </w:object>
            </w:r>
            <w:r w:rsidRPr="00B36E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vAlign w:val="center"/>
          </w:tcPr>
          <w:p w14:paraId="142EF55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5FF48D5C" w14:textId="77777777" w:rsidTr="00DD0BE9">
        <w:tc>
          <w:tcPr>
            <w:tcW w:w="0" w:type="auto"/>
            <w:vAlign w:val="center"/>
          </w:tcPr>
          <w:p w14:paraId="1A4177BA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500" w:dyaOrig="380" w14:anchorId="2DB1543D">
                <v:shape id="_x0000_i1035" type="#_x0000_t75" alt="" style="width:25.2pt;height:19pt;mso-width-percent:0;mso-height-percent:0;mso-width-percent:0;mso-height-percent:0" o:ole="">
                  <v:imagedata r:id="rId26" o:title=""/>
                </v:shape>
                <o:OLEObject Type="Embed" ProgID="Equation.DSMT4" ShapeID="_x0000_i1035" DrawAspect="Content" ObjectID="_1622641618" r:id="rId27"/>
              </w:object>
            </w:r>
            <w:r w:rsidRPr="00B36EED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6923" w:type="dxa"/>
            <w:vAlign w:val="center"/>
          </w:tcPr>
          <w:p w14:paraId="5C9AD58A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Total mass of the individual (in kg)</w:t>
            </w:r>
          </w:p>
        </w:tc>
        <w:tc>
          <w:tcPr>
            <w:tcW w:w="1255" w:type="dxa"/>
            <w:vAlign w:val="center"/>
          </w:tcPr>
          <w:p w14:paraId="3AFEE71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2EB1F6DE" w14:textId="77777777" w:rsidTr="00DD0BE9">
        <w:tc>
          <w:tcPr>
            <w:tcW w:w="0" w:type="auto"/>
            <w:vAlign w:val="center"/>
          </w:tcPr>
          <w:p w14:paraId="43DFF61C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F8467C">
              <w:rPr>
                <w:rFonts w:ascii="Times New Roman" w:eastAsiaTheme="minorEastAsia" w:hAnsi="Times New Roman" w:cs="Times New Roman"/>
                <w:noProof/>
                <w:position w:val="-6"/>
              </w:rPr>
              <w:object w:dxaOrig="200" w:dyaOrig="220" w14:anchorId="06F96A40">
                <v:shape id="_x0000_i1036" type="#_x0000_t75" alt="" style="width:7.95pt;height:9.3pt;mso-width-percent:0;mso-height-percent:0;mso-width-percent:0;mso-height-percent:0" o:ole="">
                  <v:imagedata r:id="rId28" o:title=""/>
                </v:shape>
                <o:OLEObject Type="Embed" ProgID="Equation.DSMT4" ShapeID="_x0000_i1036" DrawAspect="Content" ObjectID="_1622641619" r:id="rId29"/>
              </w:object>
            </w:r>
          </w:p>
        </w:tc>
        <w:tc>
          <w:tcPr>
            <w:tcW w:w="6923" w:type="dxa"/>
            <w:vAlign w:val="center"/>
          </w:tcPr>
          <w:p w14:paraId="01F17B66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fraction of structural mass that determines the required amount of structural mass needed for survival; if  </w:t>
            </w:r>
            <w:r w:rsidRPr="00F8467C">
              <w:rPr>
                <w:rFonts w:ascii="Times New Roman" w:eastAsiaTheme="minorEastAsia" w:hAnsi="Times New Roman" w:cs="Times New Roman"/>
                <w:noProof/>
                <w:position w:val="-12"/>
                <w:vertAlign w:val="subscript"/>
              </w:rPr>
              <w:object w:dxaOrig="880" w:dyaOrig="380" w14:anchorId="296DD4AB">
                <v:shape id="_x0000_i1037" type="#_x0000_t75" alt="" style="width:35.8pt;height:14.6pt;mso-width-percent:0;mso-height-percent:0;mso-width-percent:0;mso-height-percent:0" o:ole="">
                  <v:imagedata r:id="rId30" o:title=""/>
                </v:shape>
                <o:OLEObject Type="Embed" ProgID="Equation.DSMT4" ShapeID="_x0000_i1037" DrawAspect="Content" ObjectID="_1622641620" r:id="rId31"/>
              </w:object>
            </w:r>
            <w:r w:rsidRPr="00B36EED">
              <w:rPr>
                <w:rFonts w:ascii="Times New Roman" w:hAnsi="Times New Roman" w:cs="Times New Roman"/>
              </w:rPr>
              <w:t xml:space="preserve"> the individual starves (and </w:t>
            </w:r>
            <w:r w:rsidRPr="00F8467C">
              <w:rPr>
                <w:rFonts w:ascii="Times New Roman" w:eastAsiaTheme="minorEastAsia" w:hAnsi="Times New Roman" w:cs="Times New Roman"/>
                <w:noProof/>
                <w:position w:val="-6"/>
              </w:rPr>
              <w:object w:dxaOrig="520" w:dyaOrig="260" w14:anchorId="75847F88">
                <v:shape id="_x0000_i1038" type="#_x0000_t75" alt="" style="width:17.65pt;height:9.3pt;mso-width-percent:0;mso-height-percent:0;mso-width-percent:0;mso-height-percent:0" o:ole="">
                  <v:imagedata r:id="rId32" o:title=""/>
                </v:shape>
                <o:OLEObject Type="Embed" ProgID="Equation.DSMT4" ShapeID="_x0000_i1038" DrawAspect="Content" ObjectID="_1622641621" r:id="rId33"/>
              </w:object>
            </w:r>
            <w:r w:rsidRPr="00B36EED">
              <w:rPr>
                <w:rFonts w:ascii="Times New Roman" w:hAnsi="Times New Roman" w:cs="Times New Roman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2817A8C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0.1</w:t>
            </w:r>
          </w:p>
        </w:tc>
      </w:tr>
      <w:tr w:rsidR="00D970E5" w:rsidRPr="00B36EED" w14:paraId="796FE45C" w14:textId="77777777" w:rsidTr="00DD0BE9">
        <w:tc>
          <w:tcPr>
            <w:tcW w:w="0" w:type="auto"/>
            <w:vAlign w:val="center"/>
          </w:tcPr>
          <w:p w14:paraId="7C586BB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6923" w:type="dxa"/>
            <w:vAlign w:val="center"/>
          </w:tcPr>
          <w:p w14:paraId="6728B60D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Survival from one time step to the next, which is a function of predation risk </w:t>
            </w:r>
            <w:r w:rsidRPr="00F8467C">
              <w:rPr>
                <w:rFonts w:ascii="Times New Roman" w:eastAsiaTheme="minorEastAsia" w:hAnsi="Times New Roman" w:cs="Times New Roman"/>
                <w:i/>
                <w:noProof/>
                <w:position w:val="-16"/>
              </w:rPr>
              <w:object w:dxaOrig="680" w:dyaOrig="420" w14:anchorId="771D7552">
                <v:shape id="_x0000_i1039" type="#_x0000_t75" alt="" style="width:25.6pt;height:15.9pt;mso-width-percent:0;mso-height-percent:0;mso-width-percent:0;mso-height-percent:0" o:ole="">
                  <v:imagedata r:id="rId34" o:title=""/>
                </v:shape>
                <o:OLEObject Type="Embed" ProgID="Equation.DSMT4" ShapeID="_x0000_i1039" DrawAspect="Content" ObjectID="_1622641622" r:id="rId35"/>
              </w:object>
            </w:r>
            <w:r w:rsidRPr="00B36EED">
              <w:rPr>
                <w:rFonts w:ascii="Times New Roman" w:hAnsi="Times New Roman" w:cs="Times New Roman"/>
                <w:i/>
                <w:noProof/>
              </w:rPr>
              <w:t xml:space="preserve"> </w:t>
            </w:r>
          </w:p>
        </w:tc>
        <w:tc>
          <w:tcPr>
            <w:tcW w:w="1255" w:type="dxa"/>
            <w:vAlign w:val="center"/>
          </w:tcPr>
          <w:p w14:paraId="1FDCECA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70789796" w14:textId="77777777" w:rsidTr="00DD0BE9">
        <w:tc>
          <w:tcPr>
            <w:tcW w:w="0" w:type="auto"/>
            <w:vAlign w:val="center"/>
          </w:tcPr>
          <w:p w14:paraId="54989CE0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i/>
              </w:rPr>
              <w:t>g</w:t>
            </w:r>
          </w:p>
        </w:tc>
        <w:tc>
          <w:tcPr>
            <w:tcW w:w="6923" w:type="dxa"/>
            <w:vAlign w:val="center"/>
          </w:tcPr>
          <w:p w14:paraId="7DC71629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Proportion of lipid stores allocated to growth (this allocation decision is optimized by the dynamic programming equation); can take values between 0 and 1</w:t>
            </w:r>
          </w:p>
        </w:tc>
        <w:tc>
          <w:tcPr>
            <w:tcW w:w="1255" w:type="dxa"/>
            <w:vAlign w:val="center"/>
          </w:tcPr>
          <w:p w14:paraId="59AA2C7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3C1E4E3C" w14:textId="77777777" w:rsidTr="00DD0BE9">
        <w:tc>
          <w:tcPr>
            <w:tcW w:w="0" w:type="auto"/>
            <w:vAlign w:val="center"/>
          </w:tcPr>
          <w:p w14:paraId="5D5C44D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6923" w:type="dxa"/>
            <w:vAlign w:val="center"/>
          </w:tcPr>
          <w:p w14:paraId="37C99C96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Proportion of lipid stores allocated to reproduction (this allocation decision is optimized by the dynamic programming equation); can take values between 0 and 1 and the sum of </w:t>
            </w:r>
            <w:r w:rsidRPr="00B36EED">
              <w:rPr>
                <w:rFonts w:ascii="Times New Roman" w:hAnsi="Times New Roman" w:cs="Times New Roman"/>
                <w:i/>
              </w:rPr>
              <w:t xml:space="preserve">g </w:t>
            </w:r>
            <w:r w:rsidRPr="00B36EED">
              <w:rPr>
                <w:rFonts w:ascii="Times New Roman" w:hAnsi="Times New Roman" w:cs="Times New Roman"/>
              </w:rPr>
              <w:t xml:space="preserve">and </w:t>
            </w:r>
            <w:r w:rsidRPr="00B36EED">
              <w:rPr>
                <w:rFonts w:ascii="Times New Roman" w:hAnsi="Times New Roman" w:cs="Times New Roman"/>
                <w:i/>
              </w:rPr>
              <w:t xml:space="preserve">r </w:t>
            </w:r>
            <w:r w:rsidRPr="00B36EED">
              <w:rPr>
                <w:rFonts w:ascii="Times New Roman" w:hAnsi="Times New Roman" w:cs="Times New Roman"/>
              </w:rPr>
              <w:t xml:space="preserve">cannot exceed one. </w:t>
            </w:r>
          </w:p>
        </w:tc>
        <w:tc>
          <w:tcPr>
            <w:tcW w:w="1255" w:type="dxa"/>
            <w:vAlign w:val="center"/>
          </w:tcPr>
          <w:p w14:paraId="4C88EDF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595A8790" w14:textId="77777777" w:rsidTr="00DD0BE9">
        <w:tc>
          <w:tcPr>
            <w:tcW w:w="0" w:type="auto"/>
            <w:vAlign w:val="center"/>
          </w:tcPr>
          <w:p w14:paraId="71AC396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6923" w:type="dxa"/>
            <w:vAlign w:val="center"/>
          </w:tcPr>
          <w:p w14:paraId="7722E394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Expected lifetime fitness for an individual of a given state at a given time. </w:t>
            </w:r>
          </w:p>
        </w:tc>
        <w:tc>
          <w:tcPr>
            <w:tcW w:w="1255" w:type="dxa"/>
            <w:vAlign w:val="center"/>
          </w:tcPr>
          <w:p w14:paraId="1081A9C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</w:tbl>
    <w:p w14:paraId="010F8478" w14:textId="77777777" w:rsidR="00D970E5" w:rsidRPr="00B36EED" w:rsidRDefault="00D970E5" w:rsidP="00D970E5">
      <w:pPr>
        <w:spacing w:line="480" w:lineRule="auto"/>
        <w:rPr>
          <w:rFonts w:ascii="Times New Roman" w:hAnsi="Times New Roman" w:cs="Times New Roman"/>
        </w:rPr>
      </w:pPr>
    </w:p>
    <w:p w14:paraId="4B59AB50" w14:textId="77777777" w:rsidR="00895FC7" w:rsidRDefault="00EE56AA"/>
    <w:sectPr w:rsidR="00895FC7" w:rsidSect="000D482A">
      <w:footerReference w:type="even" r:id="rId36"/>
      <w:footerReference w:type="default" r:id="rId37"/>
      <w:footnotePr>
        <w:numRestart w:val="eachPage"/>
      </w:footnotePr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9F2BF" w14:textId="77777777" w:rsidR="00EE56AA" w:rsidRDefault="00EE56AA" w:rsidP="00D970E5">
      <w:r>
        <w:separator/>
      </w:r>
    </w:p>
  </w:endnote>
  <w:endnote w:type="continuationSeparator" w:id="0">
    <w:p w14:paraId="3A7DC256" w14:textId="77777777" w:rsidR="00EE56AA" w:rsidRDefault="00EE56AA" w:rsidP="00D9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9FA59" w14:textId="77777777" w:rsidR="0040597F" w:rsidRDefault="00EE56AA" w:rsidP="002B1C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4DD5FE6D" w14:textId="77777777" w:rsidR="0040597F" w:rsidRDefault="00EE56AA" w:rsidP="003B50D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0EE3" w14:textId="77777777" w:rsidR="0040597F" w:rsidRDefault="00EE56AA" w:rsidP="002B1C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269FC52" w14:textId="77777777" w:rsidR="0040597F" w:rsidRDefault="00EE56AA" w:rsidP="003B50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FA066" w14:textId="77777777" w:rsidR="00EE56AA" w:rsidRDefault="00EE56AA" w:rsidP="00D970E5">
      <w:r>
        <w:separator/>
      </w:r>
    </w:p>
  </w:footnote>
  <w:footnote w:type="continuationSeparator" w:id="0">
    <w:p w14:paraId="45566596" w14:textId="77777777" w:rsidR="00EE56AA" w:rsidRDefault="00EE56AA" w:rsidP="00D9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4704F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C43276"/>
    <w:multiLevelType w:val="hybridMultilevel"/>
    <w:tmpl w:val="F7620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863E2"/>
    <w:multiLevelType w:val="hybridMultilevel"/>
    <w:tmpl w:val="44667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B6919"/>
    <w:multiLevelType w:val="hybridMultilevel"/>
    <w:tmpl w:val="62D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oNotDisplayPageBoundaries/>
  <w:defaultTabStop w:val="72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E5"/>
    <w:rsid w:val="001A5D88"/>
    <w:rsid w:val="001D0D5E"/>
    <w:rsid w:val="00527B38"/>
    <w:rsid w:val="00A04C1C"/>
    <w:rsid w:val="00B34C86"/>
    <w:rsid w:val="00D970E5"/>
    <w:rsid w:val="00E236C9"/>
    <w:rsid w:val="00E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10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0E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E5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0E5"/>
    <w:pPr>
      <w:ind w:left="720"/>
      <w:contextualSpacing/>
    </w:pPr>
    <w:rPr>
      <w:rFonts w:eastAsiaTheme="minorEastAsia"/>
    </w:rPr>
  </w:style>
  <w:style w:type="character" w:customStyle="1" w:styleId="MTEquationSection">
    <w:name w:val="MTEquationSection"/>
    <w:basedOn w:val="DefaultParagraphFont"/>
    <w:rsid w:val="00D970E5"/>
    <w:rPr>
      <w:rFonts w:ascii="Times" w:hAnsi="Times"/>
      <w:b/>
      <w:vanish/>
      <w:color w:val="FF0000"/>
      <w:sz w:val="32"/>
    </w:rPr>
  </w:style>
  <w:style w:type="paragraph" w:customStyle="1" w:styleId="MTDisplayEquation">
    <w:name w:val="MTDisplayEquation"/>
    <w:basedOn w:val="Normal"/>
    <w:next w:val="Normal"/>
    <w:rsid w:val="00D970E5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D970E5"/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970E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97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E5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0E5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0E5"/>
    <w:rPr>
      <w:rFonts w:eastAsiaTheme="minorEastAsia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70E5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970E5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970E5"/>
  </w:style>
  <w:style w:type="paragraph" w:styleId="Revision">
    <w:name w:val="Revision"/>
    <w:hidden/>
    <w:uiPriority w:val="99"/>
    <w:semiHidden/>
    <w:rsid w:val="00D970E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D970E5"/>
  </w:style>
  <w:style w:type="table" w:styleId="TableGrid">
    <w:name w:val="Table Grid"/>
    <w:basedOn w:val="TableNormal"/>
    <w:uiPriority w:val="39"/>
    <w:rsid w:val="00D97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70E5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970E5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E5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E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8.bin"/><Relationship Id="rId22" Type="http://schemas.openxmlformats.org/officeDocument/2006/relationships/image" Target="media/image8.emf"/><Relationship Id="rId23" Type="http://schemas.openxmlformats.org/officeDocument/2006/relationships/oleObject" Target="embeddings/oleObject9.bin"/><Relationship Id="rId24" Type="http://schemas.openxmlformats.org/officeDocument/2006/relationships/image" Target="media/image9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3.emf"/><Relationship Id="rId9" Type="http://schemas.openxmlformats.org/officeDocument/2006/relationships/image" Target="media/image2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4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5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oleObject" Target="embeddings/oleObject5.bin"/><Relationship Id="rId16" Type="http://schemas.openxmlformats.org/officeDocument/2006/relationships/image" Target="media/image5.emf"/><Relationship Id="rId17" Type="http://schemas.openxmlformats.org/officeDocument/2006/relationships/oleObject" Target="embeddings/oleObject6.bin"/><Relationship Id="rId18" Type="http://schemas.openxmlformats.org/officeDocument/2006/relationships/image" Target="media/image6.emf"/><Relationship Id="rId19" Type="http://schemas.openxmlformats.org/officeDocument/2006/relationships/oleObject" Target="embeddings/oleObject7.bin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3701</Characters>
  <Application>Microsoft Macintosh Word</Application>
  <DocSecurity>0</DocSecurity>
  <Lines>30</Lines>
  <Paragraphs>8</Paragraphs>
  <ScaleCrop>false</ScaleCrop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Kindsvater</dc:creator>
  <cp:keywords/>
  <dc:description/>
  <cp:lastModifiedBy>Holly Kindsvater</cp:lastModifiedBy>
  <cp:revision>1</cp:revision>
  <dcterms:created xsi:type="dcterms:W3CDTF">2019-06-21T20:55:00Z</dcterms:created>
  <dcterms:modified xsi:type="dcterms:W3CDTF">2019-06-21T20:55:00Z</dcterms:modified>
</cp:coreProperties>
</file>