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FUNDAMENTAÇÃO TEÓRICA E TRABALHOS RELACIONADOS</w:t>
      </w:r>
    </w:p>
    <w:p>
      <w:r>
        <w:t>Este capítulo reúne os fundamentos necessários à compreensão, especificação e avaliação de um simulador espacial baseado em agentes para a transmissão da dengue no município de São Paulo. Inicialmente, são apresentados os mecanismos epidemiológicos indispensáveis à definição das entidades e dos estados do sistema. Em seguida, são discutidas as abordagens de modelagem, os conceitos computacionais, a integração de dados geográficos, os mecanismos de estocasticidade e a plataforma GAMA. Por fim, os trabalhos relacionados são examinados criticamente, distinguindo suas contribuições da implementação investigada neste TCC.</w:t>
      </w:r>
    </w:p>
    <w:p>
      <w:r>
        <w:t>A revisão mantém uma separação metodológica: a literatura epidemiológica fundamenta as hipóteses do fenômeno; a literatura de simulação e engenharia de software fundamenta a representação, a implementação e a avaliação do artefato computacional. Nenhum resultado relatado nos estudos anteriores é atribuído ao simulador desta pesquisa.</w:t>
      </w:r>
    </w:p>
    <w:p>
      <w:pPr>
        <w:pStyle w:val="Heading2"/>
      </w:pPr>
      <w:r>
        <w:t>2.1 Fundamentos epidemiológicos da dengue</w:t>
      </w:r>
    </w:p>
    <w:p>
      <w:pPr>
        <w:pStyle w:val="Heading3"/>
      </w:pPr>
      <w:r>
        <w:t>2.1.1 Doença, agente etiológico e sorotipos</w:t>
      </w:r>
    </w:p>
    <w:p>
      <w:r>
        <w:t>A dengue é uma arbovirose causada pelo vírus da dengue, transmitido principalmente por mosquitos do gênero Aedes. Quatro sorotipos, designados DENV-1, DENV-2, DENV-3 e DENV-4, participam da dinâmica epidemiológica. A infecção pode ser assintomática ou apresentar manifestações clínicas de gravidade variável. Infecções posteriores por sorotipos diferentes exigem atenção especial à interação entre imunidade prévia e risco de doença grave (WORLD HEALTH ORGANIZATION, 2026).</w:t>
      </w:r>
    </w:p>
    <w:p>
      <w:r>
        <w:t>Para fins de modelagem computacional, a existência de diferentes sorotipos demonstra que um compartimento genérico de recuperação não equivale automaticamente à imunidade definitiva contra todas as infecções futuras. Uma representação com apenas um sorotipo constitui simplificação legítima quando explicitada, mas limita a interpretação epidemiológica das saídas. Essa restrição deverá ser considerada na definição dos estados e na leitura dos resultados do simulador.</w:t>
      </w:r>
    </w:p>
    <w:p>
      <w:pPr>
        <w:pStyle w:val="Heading3"/>
      </w:pPr>
      <w:r>
        <w:t>2.1.2 Vetor e ciclo de desenvolvimento</w:t>
      </w:r>
    </w:p>
    <w:p>
      <w:r>
        <w:t>No contexto urbano brasileiro, Aedes aegypti é o vetor de maior relevância para o modelo estudado. A transmissão depende das fêmeas adultas, enquanto os estágios de ovo, larva e pupa compõem o desenvolvimento pré-adulto. A temperatura, a disponibilidade de água e as características do ambiente influenciam diferentes etapas do ciclo; entretanto, a presença de água ou vegetação não constitui, isoladamente, uma medição direta da abundância vetorial.</w:t>
      </w:r>
    </w:p>
    <w:p>
      <w:r>
        <w:t>A distinção entre desenvolvimento biológico e transmissão é importante do ponto de vista da engenharia: o sistema pode representar indivíduos imaturos de modo agregado, sem que isso implique que todos os estágios sejam objetos individuais. O nível de detalhamento deve ser justificado em relação à pergunta de pesquisa, à disponibilidade de dados e ao custo computacional. Garcias (2024) discute comportamentos de Aedes albopictus em Portugal, mas seus parâmetros não podem ser transferidos sem exame para Aedes aegypti em São Paulo.</w:t>
      </w:r>
    </w:p>
    <w:p>
      <w:pPr>
        <w:pStyle w:val="Heading3"/>
      </w:pPr>
      <w:r>
        <w:t>2.1.3 Transmissão humano–vetor e períodos de incubação</w:t>
      </w:r>
    </w:p>
    <w:p>
      <w:r>
        <w:t>A transmissão envolve interações entre humanos e mosquitos. Uma fêmea suscetível pode adquirir o vírus ao realizar alimentação sanguínea em um humano infectante. Após o período de incubação extrínseca, o vetor pode tornar-se infectante. Um humano suscetível pode adquirir o vírus quando recebe a picada de uma fêmea infectante. Essas etapas dependem de condições biológicas e da oportunidade de contato, não apenas da proximidade geométrica.</w:t>
      </w:r>
    </w:p>
    <w:p>
      <w:r>
        <w:t>Na modelagem, é necessário distinguir infecção, infectividade e manifestação clínica. Em particular, nem todo indivíduo recém-infectado é imediatamente capaz de transmitir o vírus; por isso a fase exposta requer definição cuidadosa. Uma inconsistência entre a descrição conceitual e a condição implementada no código deve ser tratada como questão de verificação, e não como prova de que o modelo representa o mecanismo biológico desejado.</w:t>
      </w:r>
    </w:p>
    <w:p>
      <w:pPr>
        <w:pStyle w:val="Heading3"/>
      </w:pPr>
      <w:r>
        <w:t>2.1.4 Fatores ambientais, urbanos e medidas de controle</w:t>
      </w:r>
    </w:p>
    <w:p>
      <w:r>
        <w:t>A dinâmica da dengue depende simultaneamente de fatores biológicos, climáticos e sociais. Temperatura, precipitação, disponibilidade de criadouros, distribuição das pessoas e deslocamentos urbanos podem modificar as oportunidades de encontro entre hospedeiros e vetores. No município de São Paulo, a heterogeneidade territorial torna importante distinguir limites administrativos, unidades de agregação, densidade populacional e escala de representação.</w:t>
      </w:r>
    </w:p>
    <w:p>
      <w:r>
        <w:t>As medidas de prevenção e controle podem incluir eliminação ou manejo de criadouros, redução da exposição a picadas, intervenções vetoriais e vacinação segundo critérios de saúde pública. Em modelos computacionais, cada intervenção exige um mecanismo operacional definido. Por exemplo, reduzir a probabilidade de infecção não é equivalente a reduzir a população de mosquitos; eficiência contra doença sintomática tampouco deve ser automaticamente utilizada como proteção contra infecção.</w:t>
      </w:r>
    </w:p>
    <w:p>
      <w:pPr>
        <w:pStyle w:val="Heading2"/>
      </w:pPr>
      <w:r>
        <w:t>2.2 Modelagem e simulação computacional</w:t>
      </w:r>
    </w:p>
    <w:p>
      <w:r>
        <w:t>Modelar significa produzir uma representação deliberadamente simplificada de um sistema real para responder a perguntas determinadas. A simulação é a execução temporal dessas regras por um programa. Deve-se diferenciar o fenômeno real, o modelo conceitual, a implementação em software e os dados de saída: uma falha pode decorrer de hipóteses inadequadas, erros de implementação, dados incompatíveis ou problemas experimentais.</w:t>
      </w:r>
    </w:p>
    <w:p>
      <w:pPr>
        <w:pStyle w:val="Heading3"/>
      </w:pPr>
      <w:r>
        <w:t>2.2.1 Abordagens de simulação</w:t>
      </w:r>
    </w:p>
    <w:p>
      <w:r>
        <w:t>A dinâmica de sistemas representa relações agregadas por estoques e fluxos; a simulação a eventos discretos descreve alterações de estado disparadas por eventos; e a modelagem baseada em agentes representa entidades individuais, seus atributos e suas interações. As abordagens não são mutuamente exclusivas: um modelo de agentes pode usar estados compartimentais e produzir indicadores agregados ao longo do tempo (MACAL; NORTH, 2010).</w:t>
      </w:r>
    </w:p>
    <w:p>
      <w:pPr>
        <w:ind w:firstLine="0"/>
        <w:jc w:val="center"/>
      </w:pPr>
      <w:r>
        <w:t>Quadro 1 — Abordagens computacionais de simulação</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ind w:firstLine="0"/>
            </w:pPr>
            <w:r>
              <w:rPr>
                <w:rFonts w:ascii="Times New Roman" w:hAnsi="Times New Roman"/>
                <w:sz w:val="20"/>
              </w:rPr>
              <w:t>Abordagem</w:t>
            </w:r>
          </w:p>
        </w:tc>
        <w:tc>
          <w:tcPr>
            <w:tcW w:type="dxa" w:w="3135"/>
          </w:tcPr>
          <w:p>
            <w:pPr>
              <w:spacing w:line="240" w:lineRule="auto"/>
              <w:ind w:firstLine="0"/>
            </w:pPr>
            <w:r>
              <w:rPr>
                <w:rFonts w:ascii="Times New Roman" w:hAnsi="Times New Roman"/>
                <w:sz w:val="20"/>
              </w:rPr>
              <w:t>Unidade predominante</w:t>
            </w:r>
          </w:p>
        </w:tc>
        <w:tc>
          <w:tcPr>
            <w:tcW w:type="dxa" w:w="3135"/>
          </w:tcPr>
          <w:p>
            <w:pPr>
              <w:spacing w:line="240" w:lineRule="auto"/>
              <w:ind w:firstLine="0"/>
            </w:pPr>
            <w:r>
              <w:rPr>
                <w:rFonts w:ascii="Times New Roman" w:hAnsi="Times New Roman"/>
                <w:sz w:val="20"/>
              </w:rPr>
              <w:t>Limitação relevante ao problema</w:t>
            </w:r>
          </w:p>
        </w:tc>
      </w:tr>
      <w:tr>
        <w:tc>
          <w:tcPr>
            <w:tcW w:type="dxa" w:w="3135"/>
          </w:tcPr>
          <w:p>
            <w:pPr>
              <w:spacing w:line="240" w:lineRule="auto"/>
              <w:ind w:firstLine="0"/>
            </w:pPr>
            <w:r>
              <w:rPr>
                <w:rFonts w:ascii="Times New Roman" w:hAnsi="Times New Roman"/>
                <w:sz w:val="20"/>
              </w:rPr>
              <w:t>Dinâmica de sistemas</w:t>
            </w:r>
          </w:p>
        </w:tc>
        <w:tc>
          <w:tcPr>
            <w:tcW w:type="dxa" w:w="3135"/>
          </w:tcPr>
          <w:p>
            <w:pPr>
              <w:spacing w:line="240" w:lineRule="auto"/>
              <w:ind w:firstLine="0"/>
            </w:pPr>
            <w:r>
              <w:rPr>
                <w:rFonts w:ascii="Times New Roman" w:hAnsi="Times New Roman"/>
                <w:sz w:val="20"/>
              </w:rPr>
              <w:t>Variáveis agregadas</w:t>
            </w:r>
          </w:p>
        </w:tc>
        <w:tc>
          <w:tcPr>
            <w:tcW w:type="dxa" w:w="3135"/>
          </w:tcPr>
          <w:p>
            <w:pPr>
              <w:spacing w:line="240" w:lineRule="auto"/>
              <w:ind w:firstLine="0"/>
            </w:pPr>
            <w:r>
              <w:rPr>
                <w:rFonts w:ascii="Times New Roman" w:hAnsi="Times New Roman"/>
                <w:sz w:val="20"/>
              </w:rPr>
              <w:t>Pode ocultar heterogeneidade espacial individual</w:t>
            </w:r>
          </w:p>
        </w:tc>
      </w:tr>
      <w:tr>
        <w:tc>
          <w:tcPr>
            <w:tcW w:type="dxa" w:w="3135"/>
          </w:tcPr>
          <w:p>
            <w:pPr>
              <w:spacing w:line="240" w:lineRule="auto"/>
              <w:ind w:firstLine="0"/>
            </w:pPr>
            <w:r>
              <w:rPr>
                <w:rFonts w:ascii="Times New Roman" w:hAnsi="Times New Roman"/>
                <w:sz w:val="20"/>
              </w:rPr>
              <w:t>Eventos discretos</w:t>
            </w:r>
          </w:p>
        </w:tc>
        <w:tc>
          <w:tcPr>
            <w:tcW w:type="dxa" w:w="3135"/>
          </w:tcPr>
          <w:p>
            <w:pPr>
              <w:spacing w:line="240" w:lineRule="auto"/>
              <w:ind w:firstLine="0"/>
            </w:pPr>
            <w:r>
              <w:rPr>
                <w:rFonts w:ascii="Times New Roman" w:hAnsi="Times New Roman"/>
                <w:sz w:val="20"/>
              </w:rPr>
              <w:t>Eventos e recursos</w:t>
            </w:r>
          </w:p>
        </w:tc>
        <w:tc>
          <w:tcPr>
            <w:tcW w:type="dxa" w:w="3135"/>
          </w:tcPr>
          <w:p>
            <w:pPr>
              <w:spacing w:line="240" w:lineRule="auto"/>
              <w:ind w:firstLine="0"/>
            </w:pPr>
            <w:r>
              <w:rPr>
                <w:rFonts w:ascii="Times New Roman" w:hAnsi="Times New Roman"/>
                <w:sz w:val="20"/>
              </w:rPr>
              <w:t>Exige construção explícita das entidades e relações geográficas</w:t>
            </w:r>
          </w:p>
        </w:tc>
      </w:tr>
      <w:tr>
        <w:tc>
          <w:tcPr>
            <w:tcW w:type="dxa" w:w="3135"/>
          </w:tcPr>
          <w:p>
            <w:pPr>
              <w:spacing w:line="240" w:lineRule="auto"/>
              <w:ind w:firstLine="0"/>
            </w:pPr>
            <w:r>
              <w:rPr>
                <w:rFonts w:ascii="Times New Roman" w:hAnsi="Times New Roman"/>
                <w:sz w:val="20"/>
              </w:rPr>
              <w:t>Baseada em agentes</w:t>
            </w:r>
          </w:p>
        </w:tc>
        <w:tc>
          <w:tcPr>
            <w:tcW w:type="dxa" w:w="3135"/>
          </w:tcPr>
          <w:p>
            <w:pPr>
              <w:spacing w:line="240" w:lineRule="auto"/>
              <w:ind w:firstLine="0"/>
            </w:pPr>
            <w:r>
              <w:rPr>
                <w:rFonts w:ascii="Times New Roman" w:hAnsi="Times New Roman"/>
                <w:sz w:val="20"/>
              </w:rPr>
              <w:t>Entidades e interações locais</w:t>
            </w:r>
          </w:p>
        </w:tc>
        <w:tc>
          <w:tcPr>
            <w:tcW w:type="dxa" w:w="3135"/>
          </w:tcPr>
          <w:p>
            <w:pPr>
              <w:spacing w:line="240" w:lineRule="auto"/>
              <w:ind w:firstLine="0"/>
            </w:pPr>
            <w:r>
              <w:rPr>
                <w:rFonts w:ascii="Times New Roman" w:hAnsi="Times New Roman"/>
                <w:sz w:val="20"/>
              </w:rPr>
              <w:t>Aumenta demandas de especificação, teste e processamento</w:t>
            </w:r>
          </w:p>
        </w:tc>
      </w:tr>
    </w:tbl>
    <w:p>
      <w:pPr>
        <w:ind w:firstLine="0"/>
      </w:pPr>
      <w:r>
        <w:rPr>
          <w:sz w:val="20"/>
        </w:rPr>
        <w:t>Fonte: elaboração própria, a partir das referências citadas.</w:t>
      </w:r>
    </w:p>
    <w:p>
      <w:pPr>
        <w:pStyle w:val="Heading3"/>
      </w:pPr>
      <w:r>
        <w:t>2.2.2 Modelos preditivos e explicativos</w:t>
      </w:r>
    </w:p>
    <w:p>
      <w:pPr/>
      <w:r>
        <w:t>A finalidade de um modelo condiciona as abstrações utilizadas, os dados necessários e os critérios pelos quais seus resultados devem ser avaliados. Hinsch (s.d.), em apresentação introdutória sobre modelagem, distingue duas orientações: a preditiva, voltada à estimação do comportamento de um sistema sob condições especificadas, e a explicativa, voltada à investigação dos mecanismos capazes de gerar determinados padrões observáveis.</w:t>
      </w:r>
    </w:p>
    <w:p>
      <w:pPr/>
      <w:r>
        <w:t>Na modelagem preditiva, importa examinar a qualidade das estimativas diante de observações independentes e de situações que não participaram do ajuste do modelo. Na modelagem explicativa, o interesse concentra-se na relação entre hipóteses, regras e padrões emergentes: se uma combinação de mecanismos reproduz certo comportamento, isso fornece evidência de sua suficiência dentro do modelo, mas não demonstra que seja a única explicação possível para o fenômeno (HINSCH, s.d.).</w:t>
      </w:r>
    </w:p>
    <w:p>
      <w:pPr/>
      <w:r>
        <w:t>Essa distinção não constitui uma separação absoluta entre tipos de software: um mesmo simulador pode sustentar investigações explicativas e, após calibração e avaliação apropriadas, ser utilizado em tarefas preditivas. Entretanto, resultados visualmente semelhantes a séries observadas não comprovam, por si só, capacidade de previsão. A interpretação das saídas depende da finalidade declarada, da qualidade das bases de entrada, das hipóteses de representação e do protocolo experimental.</w:t>
      </w:r>
    </w:p>
    <w:p>
      <w:pPr/>
      <w:r>
        <w:t>No presente TCC, o simulador de dengue aplicado ao município de São Paulo é tratado predominantemente como instrumento explicativo e exploratório. Sua utilização permite investigar as consequências das regras computacionais de mobilidade, contato humano–vetor, evolução epidemiológica e influência ambiental. Essa classificação não significa que o modelo real já foi validado: a verificação funcional, a análise de sensibilidade, a reprodutibilidade e eventual confronto com dados epidemiológicos observados constituem etapas distintas que deverão ser documentadas no Capítulo 5.</w:t>
      </w:r>
    </w:p>
    <w:p>
      <w:pPr/>
      <w:r>
        <w:t>O caráter explicativo orienta também a seleção de detalhes do modelo. Incluir novos estados, agentes ou mecanismos somente contribui para a pesquisa quando esses elementos são necessários às perguntas investigadas ou permitem testar hipóteses relevantes. Portanto, as simplificações devem ser justificadas e suas consequências avaliadas, em vez de presumir que maior complexidade necessariamente produz maior adequação (HINSCH, s.d.).</w:t>
      </w:r>
    </w:p>
    <w:p>
      <w:pPr>
        <w:pStyle w:val="Heading2"/>
      </w:pPr>
      <w:r>
        <w:t>2.3 Modelagem e simulação baseada em agentes</w:t>
      </w:r>
    </w:p>
    <w:p>
      <w:r>
        <w:t>A modelagem baseada em agentes (Agent-Based Modeling — ABM) descreve sistemas por agentes com atributos, estados e comportamentos. A simulação executa as regras dos agentes em determinado ambiente, permitindo observar padrões coletivos produzidos por interações locais. Macal e North (2010) destacam a representação de entidades e relações como característica central dessa abordagem.</w:t>
      </w:r>
    </w:p>
    <w:p>
      <w:r>
        <w:t>Para a dengue, a abordagem permite manter separados atributos individuais, como localização e condição vacinal, e estados dinâmicos, como suscetibilidade e infecção. É possível estabelecer diferentes oportunidades de contato dependendo do posicionamento e da mobilidade, sem assumir que todos os indivíduos se misturam homogeneamente. Essa flexibilidade, porém, produz desafios de programação, inicialização e calibração.</w:t>
      </w:r>
    </w:p>
    <w:p>
      <w:pPr>
        <w:pStyle w:val="Heading3"/>
      </w:pPr>
      <w:r>
        <w:t>2.3.1 Entidades, atributos, comportamentos e emergência</w:t>
      </w:r>
    </w:p>
    <w:p>
      <w:r>
        <w:t>Um agente pode ser descrito por identificador, tipo, atributos constantes, variáveis de estado e ações. Comportamentos são operações que consultam o estado do agente e o ambiente e podem modificá-los. A emergência designa padrões agregados gerados por essas interações, como concentrações espaciais ou curvas temporais; não deve ser confundida com validade empírica automática do modelo.</w:t>
      </w:r>
    </w:p>
    <w:p>
      <w:pPr>
        <w:pStyle w:val="Heading3"/>
      </w:pPr>
      <w:r>
        <w:t>2.3.2 Vizinhanças e custo das interações</w:t>
      </w:r>
    </w:p>
    <w:p>
      <w:r>
        <w:t>Em simulações espaciais, uma interação depende de uma regra de vizinhança que identifica possíveis parceiros. A busca exaustiva entre N_H humanos e N_M mosquitos envolve até N_H × N_M comparações por etapa. Índices e consultas espaciais podem reduzir candidatos, mas seu desempenho efetivo depende da distribuição dos agentes, da atualização das posições e da implementação. A eficiência deve ser medida, não presumida.</w:t>
      </w:r>
    </w:p>
    <w:p>
      <w:pPr>
        <w:pStyle w:val="Heading2"/>
      </w:pPr>
      <w:r>
        <w:t>2.4 Modelos epidemiológicos compartimentais e máquinas de estados</w:t>
      </w:r>
    </w:p>
    <w:p>
      <w:r>
        <w:t>Os modelos SIR, SEIR e SEI organizam fases epidemiológicas por estados. Em uma representação individual, esses compartimentos podem ser implementados como máquinas de estados: humanos suscetíveis (S), expostos (E), infectantes (I) e recuperados (R), e mosquitos adultos suscetíveis (S), expostos (E) e infectantes (I). A passagem entre estados depende de eventos, temporizadores e probabilidades, conforme a especificação adotada.</w:t>
      </w:r>
    </w:p>
    <w:p>
      <w:r>
        <w:t>Essas siglas não garantem que o código execute corretamente as transições. Uma máquina de estados deve definir o conjunto de estados válidos, as condições de entrada e saída, as transições proibidas e o comportamento terminal, como a morte. Para mosquitos, a transição automática de infectante a suscetível não corresponde à estrutura SEI habitualmente pretendida, razão pela qual necessita de justificativa ou correção no componente implementado.</w:t>
      </w:r>
    </w:p>
    <w:p>
      <w:pPr>
        <w:ind w:firstLine="0"/>
        <w:jc w:val="center"/>
      </w:pPr>
      <w:r>
        <w:t>Quadro 2 — Estados epidemiológicos e verificações necessárias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ind w:firstLine="0"/>
            </w:pPr>
            <w:r>
              <w:rPr>
                <w:rFonts w:ascii="Times New Roman" w:hAnsi="Times New Roman"/>
                <w:sz w:val="20"/>
              </w:rPr>
              <w:t>Entidade</w:t>
            </w:r>
          </w:p>
        </w:tc>
        <w:tc>
          <w:tcPr>
            <w:tcW w:type="dxa" w:w="3135"/>
          </w:tcPr>
          <w:p>
            <w:pPr>
              <w:spacing w:line="240" w:lineRule="auto"/>
              <w:ind w:firstLine="0"/>
            </w:pPr>
            <w:r>
              <w:rPr>
                <w:rFonts w:ascii="Times New Roman" w:hAnsi="Times New Roman"/>
                <w:sz w:val="20"/>
              </w:rPr>
              <w:t>Estados conceituais</w:t>
            </w:r>
          </w:p>
        </w:tc>
        <w:tc>
          <w:tcPr>
            <w:tcW w:type="dxa" w:w="3135"/>
          </w:tcPr>
          <w:p>
            <w:pPr>
              <w:spacing w:line="240" w:lineRule="auto"/>
              <w:ind w:firstLine="0"/>
            </w:pPr>
            <w:r>
              <w:rPr>
                <w:rFonts w:ascii="Times New Roman" w:hAnsi="Times New Roman"/>
                <w:sz w:val="20"/>
              </w:rPr>
              <w:t>Ponto de verificação</w:t>
            </w:r>
          </w:p>
        </w:tc>
      </w:tr>
      <w:tr>
        <w:tc>
          <w:tcPr>
            <w:tcW w:type="dxa" w:w="3135"/>
          </w:tcPr>
          <w:p>
            <w:pPr>
              <w:spacing w:line="240" w:lineRule="auto"/>
              <w:ind w:firstLine="0"/>
            </w:pPr>
            <w:r>
              <w:rPr>
                <w:rFonts w:ascii="Times New Roman" w:hAnsi="Times New Roman"/>
                <w:sz w:val="20"/>
              </w:rPr>
              <w:t>Humano</w:t>
            </w:r>
          </w:p>
        </w:tc>
        <w:tc>
          <w:tcPr>
            <w:tcW w:type="dxa" w:w="3135"/>
          </w:tcPr>
          <w:p>
            <w:pPr>
              <w:spacing w:line="240" w:lineRule="auto"/>
              <w:ind w:firstLine="0"/>
            </w:pPr>
            <w:r>
              <w:rPr>
                <w:rFonts w:ascii="Times New Roman" w:hAnsi="Times New Roman"/>
                <w:sz w:val="20"/>
              </w:rPr>
              <w:t>S → E → I → R</w:t>
            </w:r>
          </w:p>
        </w:tc>
        <w:tc>
          <w:tcPr>
            <w:tcW w:type="dxa" w:w="3135"/>
          </w:tcPr>
          <w:p>
            <w:pPr>
              <w:spacing w:line="240" w:lineRule="auto"/>
              <w:ind w:firstLine="0"/>
            </w:pPr>
            <w:r>
              <w:rPr>
                <w:rFonts w:ascii="Times New Roman" w:hAnsi="Times New Roman"/>
                <w:sz w:val="20"/>
              </w:rPr>
              <w:t>Incubação, recuperação e infectividade</w:t>
            </w:r>
          </w:p>
        </w:tc>
      </w:tr>
      <w:tr>
        <w:tc>
          <w:tcPr>
            <w:tcW w:type="dxa" w:w="3135"/>
          </w:tcPr>
          <w:p>
            <w:pPr>
              <w:spacing w:line="240" w:lineRule="auto"/>
              <w:ind w:firstLine="0"/>
            </w:pPr>
            <w:r>
              <w:rPr>
                <w:rFonts w:ascii="Times New Roman" w:hAnsi="Times New Roman"/>
                <w:sz w:val="20"/>
              </w:rPr>
              <w:t>Mosquito adulto</w:t>
            </w:r>
          </w:p>
        </w:tc>
        <w:tc>
          <w:tcPr>
            <w:tcW w:type="dxa" w:w="3135"/>
          </w:tcPr>
          <w:p>
            <w:pPr>
              <w:spacing w:line="240" w:lineRule="auto"/>
              <w:ind w:firstLine="0"/>
            </w:pPr>
            <w:r>
              <w:rPr>
                <w:rFonts w:ascii="Times New Roman" w:hAnsi="Times New Roman"/>
                <w:sz w:val="20"/>
              </w:rPr>
              <w:t>S → E → I</w:t>
            </w:r>
          </w:p>
        </w:tc>
        <w:tc>
          <w:tcPr>
            <w:tcW w:type="dxa" w:w="3135"/>
          </w:tcPr>
          <w:p>
            <w:pPr>
              <w:spacing w:line="240" w:lineRule="auto"/>
              <w:ind w:firstLine="0"/>
            </w:pPr>
            <w:r>
              <w:rPr>
                <w:rFonts w:ascii="Times New Roman" w:hAnsi="Times New Roman"/>
                <w:sz w:val="20"/>
              </w:rPr>
              <w:t>Incubação extrínseca e permanência no estado I</w:t>
            </w:r>
          </w:p>
        </w:tc>
      </w:tr>
      <w:tr>
        <w:tc>
          <w:tcPr>
            <w:tcW w:type="dxa" w:w="3135"/>
          </w:tcPr>
          <w:p>
            <w:pPr>
              <w:spacing w:line="240" w:lineRule="auto"/>
              <w:ind w:firstLine="0"/>
            </w:pPr>
            <w:r>
              <w:rPr>
                <w:rFonts w:ascii="Times New Roman" w:hAnsi="Times New Roman"/>
                <w:sz w:val="20"/>
              </w:rPr>
              <w:t>Vacinação</w:t>
            </w:r>
          </w:p>
        </w:tc>
        <w:tc>
          <w:tcPr>
            <w:tcW w:type="dxa" w:w="3135"/>
          </w:tcPr>
          <w:p>
            <w:pPr>
              <w:spacing w:line="240" w:lineRule="auto"/>
              <w:ind w:firstLine="0"/>
            </w:pPr>
            <w:r>
              <w:rPr>
                <w:rFonts w:ascii="Times New Roman" w:hAnsi="Times New Roman"/>
                <w:sz w:val="20"/>
              </w:rPr>
              <w:t>Atributo independente</w:t>
            </w:r>
          </w:p>
        </w:tc>
        <w:tc>
          <w:tcPr>
            <w:tcW w:type="dxa" w:w="3135"/>
          </w:tcPr>
          <w:p>
            <w:pPr>
              <w:spacing w:line="240" w:lineRule="auto"/>
              <w:ind w:firstLine="0"/>
            </w:pPr>
            <w:r>
              <w:rPr>
                <w:rFonts w:ascii="Times New Roman" w:hAnsi="Times New Roman"/>
                <w:sz w:val="20"/>
              </w:rPr>
              <w:t>Efeito sobre cada desfecho epidemiológico</w:t>
            </w:r>
          </w:p>
        </w:tc>
      </w:tr>
    </w:tbl>
    <w:p>
      <w:pPr>
        <w:ind w:firstLine="0"/>
      </w:pPr>
      <w:r>
        <w:rPr>
          <w:sz w:val="20"/>
        </w:rPr>
        <w:t>Fonte: elaboração própria, a partir das referências citadas.</w:t>
      </w:r>
    </w:p>
    <w:p>
      <w:pPr>
        <w:pStyle w:val="Heading2"/>
      </w:pPr>
      <w:r>
        <w:t>2.5 Representação espacial e Sistemas de Informação Geográfica</w:t>
      </w:r>
    </w:p>
    <w:p>
      <w:r>
        <w:t>Sistemas de Informação Geográfica (SIG) permitem organizar feições territoriais e atributos localizados. Dados vetoriais podem representar polígonos administrativos, vias e pontos de interesse; dados matriciais podem representar superfícies ambientais. Em uma simulação espacial, geometrias cumprem funções operacionais — delimitar o espaço, distribuir agentes, apoiar deslocamentos e localizar contatos — e não apenas ilustrativas.</w:t>
      </w:r>
    </w:p>
    <w:p>
      <w:r>
        <w:t>A integração entre bases exige sistema de referência de coordenadas coerente, unidades adequadas para cálculos de distância, geometrias válidas e tratamento explícito de fronteiras e agregações. No presente projeto, a área de estudo corresponde ao município de São Paulo. A divisão em Centro, Norte, Leste, Sul e Oeste encontrada na implementação deve ser descrita como uma forma de agregação do código, não confundida automaticamente com divisões oficiais equivalentes ou com resolução homogênea do território.</w:t>
      </w:r>
    </w:p>
    <w:p>
      <w:pPr>
        <w:pStyle w:val="Heading3"/>
      </w:pPr>
      <w:r>
        <w:t>2.5.1 Mobilidade humana e redes</w:t>
      </w:r>
    </w:p>
    <w:p>
      <w:r>
        <w:t>Mobilidade pode envolver seleção de destino e cálculo da trajetória, procedimentos diferentes. Em redes viárias, um grafo G = (V, E) representa vértices e arestas, eventualmente ponderadas por distância ou tempo. A escolha de destinos pode utilizar regras sintéticas ou matrizes origem–destino; porém, viagens agregadas entre regiões não oferecem, isoladamente, descrição das trajetórias individuais. As hipóteses devem ser declaradas quando os dados disponíveis possuem resolução espacial mais ampla que o movimento simulado.</w:t>
      </w:r>
    </w:p>
    <w:p>
      <w:pPr>
        <w:pStyle w:val="Heading3"/>
      </w:pPr>
      <w:r>
        <w:t>2.5.2 Integração GIS–ABM: dados espaciais, geometrias e agentificação</w:t>
      </w:r>
    </w:p>
    <w:p>
      <w:pPr/>
      <w:r>
        <w:t>A integração entre Sistemas de Informação Geográfica (SIG) e modelos baseados em agentes permite que a representação do ambiente deixe de depender exclusivamente de grades regulares ou coordenadas abstratas. Taillandier e Drogoul (2010) distinguem três formas de incorporar dados vetoriais à simulação: (i) leitura e escrita de arquivos geográficos; (ii) utilização das feições como camadas espaciais que condicionam deslocamentos e consultas; e (iii) agentificação, em que objetos geográficos passam a ser instanciados como agentes com estados internos e comportamentos. Essas modalidades não são equivalentes e devem ser identificadas separadamente na descrição de cada modelo.</w:t>
      </w:r>
    </w:p>
    <w:p>
      <w:pPr/>
      <w:r>
        <w:t>Na primeira modalidade, arquivos como shapefiles fornecem geometrias e atributos utilizados na inicialização ou na exportação de resultados. Na segunda, linhas, pontos e polígonos podem delimitar regiões acessíveis, restringir movimentos ou fundamentar cálculos de proximidade e de trajetórias. Na terceira, um objeto geográfico, como uma edificação ou uma região, pode ser convertido em uma entidade computacional com atributos mutáveis e regras próprias. A principal contribuição da agentificação está na possibilidade de representar a evolução conjunta da configuração espacial e do comportamento dos agentes (TAILLANDIER; DROGOUL, 2010).</w:t>
      </w:r>
    </w:p>
    <w:p>
      <w:pPr/>
      <w:r>
        <w:t>A plataforma GAMA foi concebida para facilitar essas formas de integração e oferece primitivas relacionadas a distâncias, geometrias, vizinhanças e deslocamentos. O artigo apresenta essas capacidades em aplicações de epidemiologia veterinária e resposta a desastres, nas quais objetos espaciais participam do funcionamento da simulação. Trata-se, contudo, de uma descrição histórica da plataforma: detalhes da linguagem GAML, da interface e do conjunto de operadores devem ser conferidos na documentação correspondente à versão efetivamente utilizada no projeto.</w:t>
      </w:r>
    </w:p>
    <w:p>
      <w:pPr/>
      <w:r>
        <w:t>Para o simulador de dengue deste trabalho, a incorporação de dados geográficos do município de São Paulo é relevante para delimitar o espaço da simulação e orientar a localização dos agentes. Já a caracterização de uma eventual agentificação das unidades geográficas depende de comprovação no código GAML: a simples leitura de um shapefile ou a apresentação de polígonos no mapa não demonstram que cada feição possui comportamentos autônomos. Também é necessário verificar projeção cartográfica, unidades de distância e correspondência entre as regiões representadas e os limites administrativos empregados na análise.</w:t>
      </w:r>
    </w:p>
    <w:p>
      <w:pPr>
        <w:pStyle w:val="Heading2"/>
      </w:pPr>
      <w:r>
        <w:t>2.6 Estocasticidade, incerteza e experimentos reprodutíveis</w:t>
      </w:r>
    </w:p>
    <w:p>
      <w:r>
        <w:t>Em modelos estocásticos, eventos podem depender de números pseudoaleatórios. Uma condição com probabilidade p pode ser avaliada comparando um sorteio uniforme U(0,1) com p. Uma taxa contínua λ não deve ser interpretada diretamente como probabilidade por ciclo: sob hipótese de risco constante, a probabilidade de ocorrência no intervalo Δt é p(Δt) = 1 − exp(−λΔt). Essa distinção é relevante quando o intervalo simulado difere das unidades usadas nas fontes biológicas.</w:t>
      </w:r>
    </w:p>
    <w:p>
      <w:r>
        <w:t>A repetição de experimentos com diversas sementes caracteriza a variabilidade aleatória. A reprodução de uma execução exige registrar também versão do código, dados de entrada, parâmetros, plataforma, cronograma de processos e ambiente computacional. Fixar a semente, isoladamente, não resolve diferenças decorrentes da ordem de chamadas ao gerador ou de alterações na execução.</w:t>
      </w:r>
    </w:p>
    <w:p>
      <w:r>
        <w:t>É importante distinguir incerteza aleatória, associada aos sorteios do próprio modelo, e incerteza epistêmica, associada a parâmetros e mecanismos insuficientemente conhecidos. Análises de sensibilidade investigam a influência das entradas; repetição simples não substitui análise de adequação dos pressupostos. Morris (1991) propõe o uso de efeitos elementares para triagem de parâmetros, enquanto Sobol (2001) oferece uma abordagem de decomposição da variância, ambos condicionados a um desenho experimental adequado.</w:t>
      </w:r>
    </w:p>
    <w:p>
      <w:pPr>
        <w:pStyle w:val="Heading3"/>
      </w:pPr>
      <w:r>
        <w:t>2.6.1 Experimentação computacional, parâmetros e cenários</w:t>
      </w:r>
    </w:p>
    <w:p>
      <w:pPr/>
      <w:r>
        <w:t>A experimentação computacional permite investigar como um modelo responde à alteração de hipóteses, regras de interação, condições iniciais e parâmetros. Em um modelo baseado em agentes, fenômenos agregados podem emergir de ações locais, mas uma associação visual entre determinada alteração e uma curva simulada não substitui um desenho experimental controlado. É necessário definir antecipadamente fatores, níveis, variáveis-resposta, número de replicações e critérios de análise.</w:t>
      </w:r>
    </w:p>
    <w:p>
      <w:pPr/>
      <w:r>
        <w:t>Sanderson (2020), na apresentação didática Simulating an epidemic, exemplifica a comparação de cenários em um modelo SIR espacial simplificado. O autor examina alterações no alcance das interações, nas probabilidades de transmissão, na circulação entre comunidades e na concentração de pessoas em pontos de encontro, observando diferenças na evolução das curvas simuladas. A exposição também ilustra que execuções com os mesmos parâmetros podem produzir trajetórias distintas devido à aleatoriedade, reforçando a necessidade de replicações independentes. Trata-se de demonstração pedagógica, e não de evidência de validade epidemiológica do presente simulador.</w:t>
      </w:r>
    </w:p>
    <w:p>
      <w:pPr/>
      <w:r>
        <w:t>Nesse contexto, convém distinguir três procedimentos: (i) experimentos de cenário, que contrastam configurações previamente definidas; (ii) análise de sensibilidade, que investiga quanto as respostas dependem de entradas selecionadas; e (iii) avaliação estocástica, que estima a dispersão das saídas quando variam as sementes pseudoaleatórias. A alteração de um fator por vez facilita a interpretação inicial, mas não identifica necessariamente efeitos de interação entre parâmetros. Para investigações mais abrangentes, métodos como Morris (1991) e Sobol (2001) oferecem referenciais de análise de sensibilidade, condicionados à adequação do desenho amostral e do custo computacional.</w:t>
      </w:r>
    </w:p>
    <w:p>
      <w:pPr/>
      <w:r>
        <w:t>A transposição desses exemplos para a dengue requer ressalvas. No modelo SIR ilustrado no vídeo, a infecção é representada por interações diretas entre pessoas; na dengue, a transmissão usual depende de mosquitos vetores. Assim, parâmetros de distanciamento interpessoal, higiene respiratória e isolamento não podem ser interpretados automaticamente como medidas de controle vetorial. Para este trabalho, o aproveitamento metodológico concentra-se na comparação controlada de parâmetros pertinentes à interação humano–mosquito, na mobilidade espacial, na distribuição dos vetores e na quantificação da variabilidade das execuções.</w:t>
      </w:r>
    </w:p>
    <w:p>
      <w:pPr>
        <w:pStyle w:val="Heading3"/>
      </w:pPr>
      <w:r>
        <w:t>2.6.2 Fontes de incerteza em modelos baseados em agentes</w:t>
      </w:r>
    </w:p>
    <w:p>
      <w:r>
        <w:t>A natureza estocástica de muitos modelos baseados em agentes introduz variabilidade nas saídas mesmo quando as configurações de entrada são mantidas constantes. Entretanto, a dispersão entre execuções não representa a única fonte de incerteza. Gamal et al. (2025) distinguem, no contexto de modelos comportamentais, incertezas associadas aos parâmetros, à estrutura do modelo, à variabilidade entre execuções estocásticas e às evidências empíricas utilizadas para representar o sistema real.</w:t>
      </w:r>
    </w:p>
    <w:p>
      <w:r>
        <w:t>A incerteza paramétrica decorre da seleção e dos valores atribuídos às entradas; a incerteza estrutural relaciona-se às abstrações, regras e interações adotadas na construção do modelo; a variabilidade entre execuções resulta dos componentes aleatórios; e a incerteza empírica está associada às limitações dos dados observados. Essas dimensões não são equivalentes e não podem ser eliminadas apenas pela repetição das simulações (GAMAL et al., 2025).</w:t>
      </w:r>
    </w:p>
    <w:p>
      <w:r>
        <w:t>No estudo da transmissão da dengue, a distinção é relevante porque a escolha das probabilidades de infecção, a representação de deslocamentos e a resolução dos dados geográficos podem influenciar os resultados por mecanismos diferentes. Por exemplo, executar o mesmo cenário com múltiplas sementes permite caracterizar a variabilidade estocástica condicionada à configuração adotada, mas não demonstra que os parâmetros ou as regras implementadas correspondem aos processos epidemiológicos reais.</w:t>
      </w:r>
    </w:p>
    <w:p>
      <w:r>
        <w:t>A análise de sensibilidade (Sensitivity Analysis — SA) e a quantificação da incerteza (Uncertainty Quantification — UQ) constituem enfoques complementares. Enquanto a primeira investiga a influência das entradas sobre as saídas, a segunda procura caracterizar a incerteza dos resultados, conforme as fontes consideradas. A análise local pode variar uma entrada de cada vez; abordagens globais exploram combinações de parâmetros e permitem investigar interações que a variação isolada pode deixar de captar (GAMAL et al., 2025).</w:t>
      </w:r>
    </w:p>
    <w:p>
      <w:r>
        <w:t>Entre os métodos globais, os índices de Sobol permitem estimar contribuições dos parâmetros para a variância das saídas, inclusive efeitos associados às interações. Sua aplicação, contudo, requer um desenho amostral apropriado e esforço computacional compatível com o número de parâmetros e execuções. Portanto, a escolha do método deve respeitar a questão de pesquisa, o orçamento computacional e a estabilidade das estimativas, evitando interpretar alterações isoladas de parâmetros como uma análise global completa.</w:t>
      </w:r>
    </w:p>
    <w:p>
      <w:pPr>
        <w:pStyle w:val="Heading3"/>
      </w:pPr>
      <w:r>
        <w:t>2.6.3 Heterogeneidade espacial e propagação temporal da incerteza</w:t>
      </w:r>
    </w:p>
    <w:p>
      <w:r>
        <w:t>Em modelos espacialmente explícitos, os indicadores agregados podem ocultar diferenças entre unidades geográficas. Duas execuções com totais municipais semelhantes podem produzir distribuições regionais distintas. Por isso, a avaliação da variabilidade apenas no encerramento das simulações pode ser insuficiente para compreender onde e quando a incerteza se manifesta.</w:t>
      </w:r>
    </w:p>
    <w:p>
      <w:r>
        <w:t>Gamal et al. (2025) propõem a abordagem Spatio-Temporal Uncertainty Analysis (ST-UA), que combina medidas de incerteza ou sensibilidade por unidade espacial com índices destinados a caracterizar a relevância de sua propagação entre dois instantes da simulação. Para demonstrar o procedimento, os autores empregam o modelo Tobacco Town, voltado a comportamentos relacionados ao tabagismo, e um indicador de sensibilidade de efeitos totais associado ao método de Sobol. A contribuição do artigo consiste na metodologia para examinar resultados espacialmente heterogêneos, e não em regras ou parâmetros diretamente transferíveis à transmissão da dengue.</w:t>
      </w:r>
    </w:p>
    <w:p>
      <w:r>
        <w:t>A abordagem destaca a importância de definir antecipadamente a unidade espacial, a variável de resposta e os instantes de comparação. No caso de uma simulação aplicada ao município de São Paulo, análises futuras poderiam considerar, mediante exportação adequada de dados, contagens ou proporções de agentes infectados por unidades espaciais estáveis, em diferentes tempos simulados. Tal aplicação dependeria da correspondência entre as unidades geográficas usadas, da existência de replicações suficientes e da consistência dos mecanismos de contagem.</w:t>
      </w:r>
    </w:p>
    <w:p>
      <w:r>
        <w:t>Uma estratégia metodológica progressiva consiste em começar pela verificação das saídas e pela comparação descritiva entre execuções repetidas, incluindo médias e medidas de dispersão ao longo do tempo. Somente depois, se houver suporte nos dados e no desempenho da implementação, seria justificável empregar índices globais de sensibilidade ou a ST-UA completa. Mapas de incerteza, por si sós, não validam epidemiologicamente o modelo; tornam explícita a variabilidade das consequências de determinadas hipóteses computacionais.</w:t>
      </w:r>
    </w:p>
    <w:p>
      <w:pPr>
        <w:pStyle w:val="Heading2"/>
      </w:pPr>
      <w:r>
        <w:t>2.7 Plataforma GAMA e linguagem GAML</w:t>
      </w:r>
    </w:p>
    <w:p>
      <w:r>
        <w:t>A plataforma GAMA oferece recursos para especificar e executar modelos espacialmente explícitos baseados em agentes. A linguagem GAML organiza elementos como global, species, init, reflex, action e experiment, permitindo definir estados, operações, inicialização e interfaces de observação. Taillandier et al. (2019) descrevem sua aplicação à construção, composição e experimentação de modelos espaciais complexos.</w:t>
      </w:r>
    </w:p>
    <w:p>
      <w:r>
        <w:t>A escolha do GAMA para este estudo decorre da necessidade de articular agentes heterogêneos, dados geográficos e observação das execuções. Essa adequação funcional não constitui demonstração de superioridade de desempenho sobre NetLogo, Mesa, Repast ou AnyLogic. Comparações de velocidade ou memória exigiriam implementações e condições experimentais equivalentes, não examinadas nesta pesquisa.</w:t>
      </w:r>
    </w:p>
    <w:p>
      <w:pPr>
        <w:pStyle w:val="Heading3"/>
      </w:pPr>
      <w:r>
        <w:t>2.7.1 Primitivas geométricas e relevância para interações espaciais</w:t>
      </w:r>
    </w:p>
    <w:p>
      <w:pPr/>
      <w:r>
        <w:t>Taillandier e Drogoul (2010) descrevem operações geométricas disponibilizadas no GAMA, entre elas cálculo de distância, teste de interseção, construção de áreas de influência, seleção de pontos dentro de polígonos, identificação de vizinhos e cálculo de trajetórias em geometrias ou redes. Essas possibilidades são especialmente pertinentes à representação de encontros entre agentes humanos e mosquitos em modelos de transmissão vetorial. Entretanto, a disponibilidade de um operador na plataforma não autoriza afirmar que ele foi utilizado no simulador analisado; tal afirmação exige rastreabilidade até o código-fonte.</w:t>
      </w:r>
    </w:p>
    <w:p>
      <w:pPr/>
      <w:r>
        <w:t>Além disso, consultas espaciais envolvem escolhas de implementação com consequências para o desempenho. A interpretação de um raio de busca exige identificar a unidade do sistema de referência espacial e a semântica do operador de distância; uma distância numérica sem unidade explicitada não representa automaticamente metros no território real. A eventual utilização de estruturas de indexação, grafos ou algoritmos de caminho mínimo deve ser apresentada somente após inspeção da implementação correspondente.</w:t>
      </w:r>
    </w:p>
    <w:p>
      <w:pPr>
        <w:pStyle w:val="Heading2"/>
      </w:pPr>
      <w:r>
        <w:t>2.8 Documentação ODD e rastreabilidade entre modelo e software</w:t>
      </w:r>
    </w:p>
    <w:p>
      <w:r>
        <w:t>O protocolo ODD (Overview, Design concepts and Details) organiza a descrição de modelos baseados em agentes em componentes relacionados a propósito, entidades, escalas, processos, inicialização, entradas e submodelos. Grimm et al. (2020) ressaltam a importância de tornar descrições compreensíveis, verificáveis e úteis à replicação, incluindo as justificativas das escolhas de modelagem.</w:t>
      </w:r>
    </w:p>
    <w:p>
      <w:r>
        <w:t>Neste TCC, o ODD será utilizado como referência para mapear requisitos conceituais aos componentes GAML, explicando o que o software realmente faz. O documento da especificação, entretanto, não substitui a análise do código, nem comprova sozinho a correção dos processos. A rastreabilidade depende de trechos identificáveis, versões documentadas e testes executáveis.</w:t>
      </w:r>
    </w:p>
    <w:p>
      <w:pPr>
        <w:pStyle w:val="Heading2"/>
      </w:pPr>
      <w:r>
        <w:t>2.9 Verificação, validação e desempenho computacional</w:t>
      </w:r>
    </w:p>
    <w:p>
      <w:r>
        <w:t>Verificação examina se a implementação corresponde às regras especificadas; validação avalia em que medida o modelo é adequado ao uso pretendido em relação ao sistema representado; calibração corresponde ao ajuste de parâmetros perante observações. Os procedimentos precisam ser distintos: um programa pode funcionar sem erros aparentes e produzir padrões epidemiológicos inadequados. Da mesma maneira, a proximidade entre uma curva simulada e outra observada não confirma isoladamente a correção dos mecanismos internos.</w:t>
      </w:r>
    </w:p>
    <w:p>
      <w:r>
        <w:t>A avaliação computacional pode utilizar cenários controlados para verificar estados e invariantes, testes de reprodutibilidade, comparação entre sementes e perfis de execução. Indicadores de desempenho incluem tempo de inicialização, duração dos ciclos, memória e custo do registro de saídas. No contexto de São Paulo, importa separar escala geográfica da quantidade de agentes sintéticos, evitando interpretar redução populacional como equivalência automática ao comportamento do município real.</w:t>
      </w:r>
    </w:p>
    <w:p>
      <w:pPr>
        <w:pStyle w:val="Heading2"/>
      </w:pPr>
      <w:r>
        <w:t>2.10 Trabalhos relacionados</w:t>
      </w:r>
    </w:p>
    <w:p>
      <w:pPr>
        <w:pStyle w:val="Heading3"/>
      </w:pPr>
      <w:r>
        <w:t>2.10.1 Garcias (2024): simulador GAMA em Portugal</w:t>
      </w:r>
    </w:p>
    <w:p>
      <w:r>
        <w:t>Garcias (2024) apresenta um modelo baseado em agentes para a transmissão da dengue no contexto de Portugal Continental, utilizando principalmente Aedes albopictus, agentes humanos e entidades territoriais. O trabalho descreve decisões epidemiológicas, parâmetros, mobilidade e componentes ambientais, além de organizar cenários e procedimentos de verificação e validação. Sua principal contribuição para este TCC é a estrutura de documentação dos comportamentos e a relação entre representação geográfica, regras e experimentação.</w:t>
      </w:r>
    </w:p>
    <w:p>
      <w:r>
        <w:t>A diferença entre os vetores e as áreas de aplicação impede a transferência automática de parâmetros, dados demográficos e conclusões. Além disso, a afirmação de validação do estudo anterior não equivale à validação do software analisado neste trabalho.</w:t>
      </w:r>
    </w:p>
    <w:p>
      <w:pPr>
        <w:pStyle w:val="Heading3"/>
      </w:pPr>
      <w:r>
        <w:t>2.10.2 Oliveira et al. (2025): simulação multiagentes em Alto Santo</w:t>
      </w:r>
    </w:p>
    <w:p>
      <w:r>
        <w:t>Oliveira et al. (2025) apresentam uma simulação multiagentes da dengue aplicada ao município de Alto Santo, no Ceará, também na plataforma GAMA. Os autores representam humanos, mosquitos, ovos e criadouros; empregam dados geoespaciais e realizam experimentos variando mortalidade vetorial, oviposição, criadouros, estratégias de nebulização e distribuição espacial. Os resultados apresentados pertencem ao contexto daquele estudo e não devem ser tratados como resultados da simulação de São Paulo.</w:t>
      </w:r>
    </w:p>
    <w:p>
      <w:r>
        <w:t>O trabalho fornece um exemplo concreto de organização de parâmetros e de comparação de cenários. Seu horizonte experimental e suas hipóteses diferem do presente projeto; por isso, sua utilidade está no desenho da investigação e na comparação crítica, não na substituição do protocolo de verificação próprio.</w:t>
      </w:r>
    </w:p>
    <w:p>
      <w:pPr>
        <w:pStyle w:val="Heading3"/>
      </w:pPr>
      <w:r>
        <w:t>2.10.3 Estudos espaciais de vetores e outras doenças</w:t>
      </w:r>
    </w:p>
    <w:p>
      <w:r>
        <w:t>Gharakhanlou, Mesgari e Hooshangi (2019) e Gharakhanlou, Hooshangi e Helbich (2020) discutem modelos espaciais baseados em agentes para malária na região de Sarbaz, no Irã. Embora o sistema biológico seja diferente, os trabalhos contribuem para compreender a integração entre entidades, espaço, parâmetros ambientais e intervenções. As regras epidemiológicas específicas da malária não são transferíveis sem adaptação ao mecanismo da dengue.</w:t>
      </w:r>
    </w:p>
    <w:p>
      <w:pPr>
        <w:pStyle w:val="Heading3"/>
      </w:pPr>
      <w:r>
        <w:t>2.10.4 Gamal et al. (2025): propagação espaço-temporal da incerteza</w:t>
      </w:r>
    </w:p>
    <w:p>
      <w:r>
        <w:t>Gamal et al. (2025) apresentam uma abordagem de análise da incerteza espaço-temporal aplicada a modelos baseados em agentes. Diferentemente de estudos centrados exclusivamente na evolução de um indicador agregado, sua proposta examina como medidas de sensibilidade ou incerteza variam entre unidades espaciais e entre estados temporais do modelo.</w:t>
      </w:r>
    </w:p>
    <w:p>
      <w:r>
        <w:t>O estudo emprega o Tobacco Town, um modelo de comportamentos relacionados ao tabagismo, para ilustrar a metodologia ST-UA. A aplicação utiliza distribuições de variáveis individuais, múltiplas execuções e índices relacionados à decomposição da variância, com resultados representados espacialmente. A originalidade metodológica reside na comunicação e identificação de áreas com alterações relevantes na incerteza, não em uma contribuição específica à epidemiologia da dengue.</w:t>
      </w:r>
    </w:p>
    <w:p>
      <w:r>
        <w:t>Para o presente TCC, o artigo oferece fundamentação para tratar a variabilidade estocástica e a heterogeneidade espacial como dimensões distintas da avaliação computacional. Sua metodologia poderá inspirar protocolos de observação por região e tempo, mas a reprodução integral dos índices propostos não constitui resultado alcançado e exigiria adequação do armazenamento de dados, definição das unidades de análise, controle de parâmetros e recursos computacionais.</w:t>
      </w:r>
    </w:p>
    <w:p>
      <w:pPr>
        <w:pStyle w:val="Heading3"/>
      </w:pPr>
      <w:r>
        <w:t>2.10.5 Comparação crítica e posicionamento do presente trabalho</w:t>
      </w:r>
    </w:p>
    <w:p>
      <w:pPr>
        <w:ind w:firstLine="0"/>
        <w:jc w:val="center"/>
      </w:pPr>
      <w:r>
        <w:t>Quadro 3 — Síntese comparativa dos trabalhos relacionados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ind w:firstLine="0"/>
            </w:pPr>
            <w:r>
              <w:rPr>
                <w:rFonts w:ascii="Times New Roman" w:hAnsi="Times New Roman"/>
                <w:sz w:val="20"/>
              </w:rPr>
              <w:t>Estudo</w:t>
            </w:r>
          </w:p>
        </w:tc>
        <w:tc>
          <w:tcPr>
            <w:tcW w:type="dxa" w:w="2351"/>
          </w:tcPr>
          <w:p>
            <w:pPr>
              <w:spacing w:line="240" w:lineRule="auto"/>
              <w:ind w:firstLine="0"/>
            </w:pPr>
            <w:r>
              <w:rPr>
                <w:rFonts w:ascii="Times New Roman" w:hAnsi="Times New Roman"/>
                <w:sz w:val="20"/>
              </w:rPr>
              <w:t>Domínio e enfoque</w:t>
            </w:r>
          </w:p>
        </w:tc>
        <w:tc>
          <w:tcPr>
            <w:tcW w:type="dxa" w:w="2351"/>
          </w:tcPr>
          <w:p>
            <w:pPr>
              <w:spacing w:line="240" w:lineRule="auto"/>
              <w:ind w:firstLine="0"/>
            </w:pPr>
            <w:r>
              <w:rPr>
                <w:rFonts w:ascii="Times New Roman" w:hAnsi="Times New Roman"/>
                <w:sz w:val="20"/>
              </w:rPr>
              <w:t>Contribuição ao presente TCC</w:t>
            </w:r>
          </w:p>
        </w:tc>
        <w:tc>
          <w:tcPr>
            <w:tcW w:type="dxa" w:w="2351"/>
          </w:tcPr>
          <w:p>
            <w:pPr>
              <w:spacing w:line="240" w:lineRule="auto"/>
              <w:ind w:firstLine="0"/>
            </w:pPr>
            <w:r>
              <w:rPr>
                <w:rFonts w:ascii="Times New Roman" w:hAnsi="Times New Roman"/>
                <w:sz w:val="20"/>
              </w:rPr>
              <w:t>Não transferir automaticamente</w:t>
            </w:r>
          </w:p>
        </w:tc>
      </w:tr>
      <w:tr>
        <w:tc>
          <w:tcPr>
            <w:tcW w:type="dxa" w:w="2351"/>
          </w:tcPr>
          <w:p>
            <w:pPr>
              <w:spacing w:line="240" w:lineRule="auto"/>
              <w:ind w:firstLine="0"/>
            </w:pPr>
            <w:r>
              <w:rPr>
                <w:rFonts w:ascii="Times New Roman" w:hAnsi="Times New Roman"/>
                <w:sz w:val="20"/>
              </w:rPr>
              <w:t>Garcias (2024)</w:t>
            </w:r>
          </w:p>
        </w:tc>
        <w:tc>
          <w:tcPr>
            <w:tcW w:type="dxa" w:w="2351"/>
          </w:tcPr>
          <w:p>
            <w:pPr>
              <w:spacing w:line="240" w:lineRule="auto"/>
              <w:ind w:firstLine="0"/>
            </w:pPr>
            <w:r>
              <w:rPr>
                <w:rFonts w:ascii="Times New Roman" w:hAnsi="Times New Roman"/>
                <w:sz w:val="20"/>
              </w:rPr>
              <w:t>Dengue / A. albopictus / Portugal / GAMA</w:t>
            </w:r>
          </w:p>
        </w:tc>
        <w:tc>
          <w:tcPr>
            <w:tcW w:type="dxa" w:w="2351"/>
          </w:tcPr>
          <w:p>
            <w:pPr>
              <w:spacing w:line="240" w:lineRule="auto"/>
              <w:ind w:firstLine="0"/>
            </w:pPr>
            <w:r>
              <w:rPr>
                <w:rFonts w:ascii="Times New Roman" w:hAnsi="Times New Roman"/>
                <w:sz w:val="20"/>
              </w:rPr>
              <w:t>Especificação dos agentes, cenários e documentação</w:t>
            </w:r>
          </w:p>
        </w:tc>
        <w:tc>
          <w:tcPr>
            <w:tcW w:type="dxa" w:w="2351"/>
          </w:tcPr>
          <w:p>
            <w:pPr>
              <w:spacing w:line="240" w:lineRule="auto"/>
              <w:ind w:firstLine="0"/>
            </w:pPr>
            <w:r>
              <w:rPr>
                <w:rFonts w:ascii="Times New Roman" w:hAnsi="Times New Roman"/>
                <w:sz w:val="20"/>
              </w:rPr>
              <w:t>Biologia e parâmetros do vetor</w:t>
            </w:r>
          </w:p>
        </w:tc>
      </w:tr>
      <w:tr>
        <w:tc>
          <w:tcPr>
            <w:tcW w:type="dxa" w:w="2351"/>
          </w:tcPr>
          <w:p>
            <w:pPr>
              <w:spacing w:line="240" w:lineRule="auto"/>
              <w:ind w:firstLine="0"/>
            </w:pPr>
            <w:r>
              <w:rPr>
                <w:rFonts w:ascii="Times New Roman" w:hAnsi="Times New Roman"/>
                <w:sz w:val="20"/>
              </w:rPr>
              <w:t>Oliveira et al. (2025)</w:t>
            </w:r>
          </w:p>
        </w:tc>
        <w:tc>
          <w:tcPr>
            <w:tcW w:type="dxa" w:w="2351"/>
          </w:tcPr>
          <w:p>
            <w:pPr>
              <w:spacing w:line="240" w:lineRule="auto"/>
              <w:ind w:firstLine="0"/>
            </w:pPr>
            <w:r>
              <w:rPr>
                <w:rFonts w:ascii="Times New Roman" w:hAnsi="Times New Roman"/>
                <w:sz w:val="20"/>
              </w:rPr>
              <w:t>Dengue / A. aegypti / Alto Santo / GAMA</w:t>
            </w:r>
          </w:p>
        </w:tc>
        <w:tc>
          <w:tcPr>
            <w:tcW w:type="dxa" w:w="2351"/>
          </w:tcPr>
          <w:p>
            <w:pPr>
              <w:spacing w:line="240" w:lineRule="auto"/>
              <w:ind w:firstLine="0"/>
            </w:pPr>
            <w:r>
              <w:rPr>
                <w:rFonts w:ascii="Times New Roman" w:hAnsi="Times New Roman"/>
                <w:sz w:val="20"/>
              </w:rPr>
              <w:t>Desenho experimental e análises de parâmetros</w:t>
            </w:r>
          </w:p>
        </w:tc>
        <w:tc>
          <w:tcPr>
            <w:tcW w:type="dxa" w:w="2351"/>
          </w:tcPr>
          <w:p>
            <w:pPr>
              <w:spacing w:line="240" w:lineRule="auto"/>
              <w:ind w:firstLine="0"/>
            </w:pPr>
            <w:r>
              <w:rPr>
                <w:rFonts w:ascii="Times New Roman" w:hAnsi="Times New Roman"/>
                <w:sz w:val="20"/>
              </w:rPr>
              <w:t>Resultados e configuração territorial</w:t>
            </w:r>
          </w:p>
        </w:tc>
      </w:tr>
      <w:tr>
        <w:tc>
          <w:tcPr>
            <w:tcW w:type="dxa" w:w="2351"/>
          </w:tcPr>
          <w:p>
            <w:pPr>
              <w:spacing w:line="240" w:lineRule="auto"/>
              <w:ind w:firstLine="0"/>
            </w:pPr>
            <w:r>
              <w:rPr>
                <w:rFonts w:ascii="Times New Roman" w:hAnsi="Times New Roman"/>
                <w:sz w:val="20"/>
              </w:rPr>
              <w:t>Gharakhanlou et al. (2019; 2020)</w:t>
            </w:r>
          </w:p>
        </w:tc>
        <w:tc>
          <w:tcPr>
            <w:tcW w:type="dxa" w:w="2351"/>
          </w:tcPr>
          <w:p>
            <w:pPr>
              <w:spacing w:line="240" w:lineRule="auto"/>
              <w:ind w:firstLine="0"/>
            </w:pPr>
            <w:r>
              <w:rPr>
                <w:rFonts w:ascii="Times New Roman" w:hAnsi="Times New Roman"/>
                <w:sz w:val="20"/>
              </w:rPr>
              <w:t>Malária / Sarbaz / ABM espacial</w:t>
            </w:r>
          </w:p>
        </w:tc>
        <w:tc>
          <w:tcPr>
            <w:tcW w:type="dxa" w:w="2351"/>
          </w:tcPr>
          <w:p>
            <w:pPr>
              <w:spacing w:line="240" w:lineRule="auto"/>
              <w:ind w:firstLine="0"/>
            </w:pPr>
            <w:r>
              <w:rPr>
                <w:rFonts w:ascii="Times New Roman" w:hAnsi="Times New Roman"/>
                <w:sz w:val="20"/>
              </w:rPr>
              <w:t>Integração geográfica e discussão de intervenções</w:t>
            </w:r>
          </w:p>
        </w:tc>
        <w:tc>
          <w:tcPr>
            <w:tcW w:type="dxa" w:w="2351"/>
          </w:tcPr>
          <w:p>
            <w:pPr>
              <w:spacing w:line="240" w:lineRule="auto"/>
              <w:ind w:firstLine="0"/>
            </w:pPr>
            <w:r>
              <w:rPr>
                <w:rFonts w:ascii="Times New Roman" w:hAnsi="Times New Roman"/>
                <w:sz w:val="20"/>
              </w:rPr>
              <w:t>Regras de transmissão da malária</w:t>
            </w:r>
          </w:p>
        </w:tc>
      </w:tr>
      <w:tr>
        <w:tc>
          <w:tcPr>
            <w:tcW w:type="dxa" w:w="2351"/>
          </w:tcPr>
          <w:p>
            <w:pPr>
              <w:spacing w:line="240" w:lineRule="auto"/>
              <w:ind w:firstLine="0"/>
            </w:pPr>
            <w:r>
              <w:rPr>
                <w:rFonts w:ascii="Times New Roman" w:hAnsi="Times New Roman"/>
                <w:sz w:val="20"/>
              </w:rPr>
              <w:t>Este TCC</w:t>
            </w:r>
          </w:p>
        </w:tc>
        <w:tc>
          <w:tcPr>
            <w:tcW w:type="dxa" w:w="2351"/>
          </w:tcPr>
          <w:p>
            <w:pPr>
              <w:spacing w:line="240" w:lineRule="auto"/>
              <w:ind w:firstLine="0"/>
            </w:pPr>
            <w:r>
              <w:rPr>
                <w:rFonts w:ascii="Times New Roman" w:hAnsi="Times New Roman"/>
                <w:sz w:val="20"/>
              </w:rPr>
              <w:t>Dengue / São Paulo / GAMA</w:t>
            </w:r>
          </w:p>
        </w:tc>
        <w:tc>
          <w:tcPr>
            <w:tcW w:type="dxa" w:w="2351"/>
          </w:tcPr>
          <w:p>
            <w:pPr>
              <w:spacing w:line="240" w:lineRule="auto"/>
              <w:ind w:firstLine="0"/>
            </w:pPr>
            <w:r>
              <w:rPr>
                <w:rFonts w:ascii="Times New Roman" w:hAnsi="Times New Roman"/>
                <w:sz w:val="20"/>
              </w:rPr>
              <w:t>Análise de código, rastreabilidade, verificação e avaliação computacional</w:t>
            </w:r>
          </w:p>
        </w:tc>
        <w:tc>
          <w:tcPr>
            <w:tcW w:type="dxa" w:w="2351"/>
          </w:tcPr>
          <w:p>
            <w:pPr>
              <w:spacing w:line="240" w:lineRule="auto"/>
              <w:ind w:firstLine="0"/>
            </w:pPr>
            <w:r>
              <w:rPr>
                <w:rFonts w:ascii="Times New Roman" w:hAnsi="Times New Roman"/>
                <w:sz w:val="20"/>
              </w:rPr>
              <w:t>A validade ainda depende de evidências próprias</w:t>
            </w:r>
          </w:p>
        </w:tc>
      </w:tr>
    </w:tbl>
    <w:p>
      <w:pPr>
        <w:ind w:firstLine="0"/>
      </w:pPr>
      <w:r>
        <w:rPr>
          <w:sz w:val="20"/>
        </w:rPr>
        <w:t>Fonte: elaboração própria, a partir das referências citadas.</w:t>
      </w:r>
    </w:p>
    <w:p>
      <w:r>
        <w:t>A contribuição que este TCC pode efetivamente demonstrar não decorre apenas da mudança do território para São Paulo. Ela deverá resultar da descrição rastreável da implementação, da identificação de escolhas e limitações computacionais, da execução de testes e da apresentação de resultados próprios. O repositório público constitui fonte primária para a descrição técnica posterior, mas as afirmações de correção e desempenho dependem de evidência adicional.</w:t>
      </w:r>
    </w:p>
    <w:p>
      <w:pPr>
        <w:pStyle w:val="Heading3"/>
      </w:pPr>
      <w:r>
        <w:t>2.10.6 Taillandier e Drogoul (2010): integração de GIS e agentificação na plataforma GAMA</w:t>
      </w:r>
    </w:p>
    <w:p>
      <w:pPr/>
      <w:r>
        <w:t>Taillandier e Drogoul (2010) apresentam uma contribuição conceitual para a integração de informações geográficas em modelos baseados em agentes, enfatizando a possibilidade de representar feições vetoriais como agentes. Os exemplos de propagação de influenza aviária e de resposta a desastres demonstram a aplicabilidade dessa abordagem em sistemas cujas relações dependem do espaço. Em contraste com trabalhos voltados à dinâmica epidemiológica específica da dengue, essa referência fundamenta a arquitetura espacial e os recursos da plataforma. Sua principal limitação para este TCC é a antiguidade tecnológica: a comparação com plataformas concorrentes e as descrições de versões do GAMA refletem o contexto de publicação de 2010 e não substituem uma avaliação atual das ferramentas.</w:t>
      </w:r>
    </w:p>
    <w:p>
      <w:pPr>
        <w:pStyle w:val="Heading2"/>
      </w:pPr>
      <w:r>
        <w:t>2.11 Síntese do capítulo</w:t>
      </w:r>
    </w:p>
    <w:p>
      <w:r>
        <w:t>A literatura examinada fundamenta a escolha da modelagem baseada em agentes para representar heterogeneidade individual e interações espaciais na transmissão da dengue. Também estabelece requisitos computacionais: definição precisa das máquinas de estados, integração de dados territoriais, controle temporal, rastreabilidade dos algoritmos e reprodução de experimentos. O capítulo seguinte transforma esses conceitos em uma especificação explícita do modelo, distinguindo o comportamento desejado das regras presentes na implementação examinada.</w:t>
      </w:r>
    </w:p>
    <w:p>
      <w:r>
        <w:t>A discussão de Gamal et al. (2025) complementa essa fundamentação ao demonstrar que a avaliação de modelos espaciais pode exigir a caracterização das incertezas tanto entre regiões quanto ao longo do tempo. No presente estudo, tal perspectiva constitui orientação metodológica para análises futuras, e não evidência de experimentos já executados.</w:t>
      </w:r>
    </w:p>
    <w:p>
      <w:pPr>
        <w:pStyle w:val="Heading1"/>
      </w:pPr>
      <w:r>
        <w:t>REFERÊNCIAS CITADAS NESTE CAPÍTULO — LISTA DE TRABALHO</w:t>
      </w:r>
    </w:p>
    <w:p>
      <w:r>
        <w:t>GAMAL, Yahya; HEPPENSTALL, Alison; STRACHAN, William; COLASANTI, Ricardo; ZIA, Kashif. An analysis of spatial and temporal uncertainty propagation in agent-based models. Philosophical Transactions of the Royal Society A: Mathematical, Physical and Engineering Sciences, v. 383, n. 2293, art. 20240229, 2025. DOI: 10.1098/rsta.2024.0229. Disponível em: https://doi.org/10.1098/rsta.2024.0229. Acesso em: 27 out. 2026.</w:t>
      </w:r>
    </w:p>
    <w:p>
      <w:pPr>
        <w:spacing w:after="120" w:line="240" w:lineRule="auto"/>
        <w:ind w:firstLine="0"/>
      </w:pPr>
      <w:r>
        <w:t>GARCIAS, David Batista. Modelo de Simulação da Transmissão da Dengue Baseado em Agentes. 2024. Dissertação (Mestrado em Engenharia Eletrotécnica e de Computadores) — Universidade NOVA de Lisboa, 2024.</w:t>
      </w:r>
    </w:p>
    <w:p>
      <w:pPr>
        <w:spacing w:after="120" w:line="240" w:lineRule="auto"/>
        <w:ind w:firstLine="0"/>
      </w:pPr>
      <w:r>
        <w:t>GHARAKHANLOU, N. M.; MESGARI, M. S.; HOOSHANGI, N. Developing an agent-based model for simulating the dynamic spread of Plasmodium vivax malaria: a case study of Sarbaz, Iran. Ecological Informatics, v. 54, art. 101006, 2019. DOI: 10.1016/j.ecoinf.2019.101006.</w:t>
      </w:r>
    </w:p>
    <w:p>
      <w:pPr>
        <w:spacing w:after="120" w:line="240" w:lineRule="auto"/>
        <w:ind w:firstLine="0"/>
      </w:pPr>
      <w:r>
        <w:t>GHARAKHANLOU, N. M.; HOOSHANGI, N.; HELBICH, M. A spatial agent-based model to assess the spread of malaria in relation to anti-malaria interventions in Southeast Iran. ISPRS International Journal of Geo-Information, v. 9, n. 9, art. 549, 2020. DOI: 10.3390/ijgi9090549.</w:t>
      </w:r>
    </w:p>
    <w:p>
      <w:pPr>
        <w:spacing w:after="120" w:line="240" w:lineRule="auto"/>
        <w:ind w:firstLine="0"/>
      </w:pPr>
      <w:r>
        <w:t>GRIMM, V. et al. The ODD protocol for describing agent-based and other simulation models: a second update to improve clarity, replication, and structural realism. Journal of Artificial Societies and Social Simulation, v. 23, n. 2, art. 7, 2020. DOI: 10.18564/jasss.4259.</w:t>
      </w:r>
    </w:p>
    <w:p>
      <w:pPr>
        <w:spacing w:after="120" w:line="240" w:lineRule="auto"/>
        <w:ind w:firstLine="0"/>
      </w:pPr>
      <w:r>
        <w:t>MACAL, C. M.; NORTH, M. J. Tutorial on agent-based modelling and simulation. Journal of Simulation, v. 4, p. 151–162, 2010. DOI: 10.1057/jos.2010.3.</w:t>
      </w:r>
    </w:p>
    <w:p>
      <w:pPr>
        <w:spacing w:after="120" w:line="240" w:lineRule="auto"/>
        <w:ind w:firstLine="0"/>
      </w:pPr>
      <w:r>
        <w:t>MORRIS, M. D. Factorial sampling plans for preliminary computational experiments. Technometrics, v. 33, n. 2, p. 161–174, 1991. DOI: 10.1080/00401706.1991.10484804.</w:t>
      </w:r>
    </w:p>
    <w:p>
      <w:pPr>
        <w:spacing w:after="120" w:line="240" w:lineRule="auto"/>
        <w:ind w:firstLine="0"/>
      </w:pPr>
      <w:r>
        <w:t>OLIVEIRA, Emily Brito de et al. Modelo de transmissão da dengue por simulação multi-agentes. In: SIMPÓSIO BRASILEIRO DE PESQUISA OPERACIONAL, 57., 2025, Gramado. Anais [...]. 2025. DOI: 10.59254/sbpo-2025-212362.</w:t>
      </w:r>
    </w:p>
    <w:p>
      <w:pPr>
        <w:spacing w:after="120" w:line="240" w:lineRule="auto"/>
        <w:ind w:firstLine="0"/>
      </w:pPr>
      <w:r>
        <w:t>SOBOL, I. M. Global sensitivity indices for nonlinear mathematical models and their Monte Carlo estimates. Mathematics and Computers in Simulation, v. 55, p. 271–280, 2001. DOI: 10.1016/S0378-4754(00)00270-6.</w:t>
      </w:r>
    </w:p>
    <w:p>
      <w:pPr>
        <w:spacing w:after="120" w:line="240" w:lineRule="auto"/>
        <w:ind w:firstLine="0"/>
      </w:pPr>
      <w:r>
        <w:t>TAILLANDIER, P. et al. Building, composing and experimenting complex spatial models with the GAMA platform. GeoInformatica, v. 23, p. 299–322, 2019. DOI: 10.1007/s10707-018-00339-6.</w:t>
      </w:r>
    </w:p>
    <w:p>
      <w:pPr/>
      <w:r>
        <w:t>SANDERSON, Grant. Simulating an epidemic. 3Blue1Brown, 27 mar. 2020. Vídeo (23 min 12 s). Disponível em: https://www.youtube.com/watch?v=gxAaO2rsdIs. Acesso em: 27 out. 2026.</w:t>
      </w:r>
    </w:p>
    <w:p>
      <w:pPr>
        <w:spacing w:after="120" w:line="240" w:lineRule="auto"/>
        <w:ind w:firstLine="0"/>
      </w:pPr>
      <w:r>
        <w:t>WORLD HEALTH ORGANIZATION. Global dengue update. Weekly Epidemiological Record, n. 40, p. 285–289, 9 out. 2026. Disponível em: https://www.who.int/publications/i/item/who-wer10140-285-289. Acesso em: 26 out. 2026.</w:t>
      </w:r>
    </w:p>
    <w:p>
      <w:pPr/>
      <w:r>
        <w:t>HINSCH, Martin. Introduction to Modelling, Part 1. YouTube, [s.d.]. Vídeo (aprox. 15 min). Disponível em: https://www.youtube.com/watch?v=V5XyzCQa6uo. Acesso em: 27 out. 2026. [Título identificado a partir de indexação do vídeo; data de publicação não confirmada.]</w:t>
      </w:r>
    </w:p>
    <w:p>
      <w:pPr/>
      <w:r>
        <w:t>TAILLANDIER, Patrick; DROGOUL, Alexis. From GIS data to GIS agents, modeling with the GAMA simulation platform. In: TECHNICAL FORUM GROUP ON AGENT AND MULTI-AGENT-BASED SIMULATION (TF-SIM), 1., 2010, Paris. [Trabalho apresentado]. 2010. Disponível em: https://www.irit.fr/TFGSIM/DOCS/PatrickTaillandier_GAMASimulationPlatform.pdf. Acesso em: 27 out. 2026.</w:t>
      </w:r>
    </w:p>
    <w:p>
      <w:r>
        <w:t>Nota editorial: as referências acima são mantidas como lista de trabalho do capítulo. Na versão final do TCC deverão integrar uma bibliografia única, com conferência de metadados e adequação ao manual institucional.</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