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ARQUITETURA E IMPLEMENTAÇÃO DO SIMULADOR</w:t>
      </w:r>
    </w:p>
    <w:p>
      <w:r>
        <w:t>Este capítulo analisa a implementação existente no repositório público TccAbm, desenvolvida em GAML para a plataforma GAMA. A descrição foi baseada na leitura dos arquivos-fonte da ramificação main em 26 de outubro de 2026. Por se tratar de análise estática do código, não se atribui a ela o mesmo estatuto de teste executado, validação epidemiológica ou medição de desempenho. A área geográfica declarada para o experimento é o município de São Paulo; sua representação computacional utiliza feições geográficas e uma agregação operacional em cinco regiões.</w:t>
      </w:r>
    </w:p>
    <w:p>
      <w:pPr>
        <w:pStyle w:val="Heading2"/>
      </w:pPr>
      <w:r>
        <w:t>4.1 Organização arquitetural e responsabilidades dos módulos</w:t>
      </w:r>
    </w:p>
    <w:p>
      <w:r>
        <w:t>O arquivo Main.gaml funciona como ponto de entrada do experimento gráfico, importando explicitamente Mosquito.gaml, Pessoa.gaml, Ambiente.gaml, Poca.gaml e globals.gaml. O componente global, por sua vez, centraliza parâmetros, inicialização, agendamento, ambiente geográfico e exportação de dados. Existe ainda um componente Imaturo.gaml, importado por Poca.gaml, destinado às fases anteriores à vida adulta. Essa separação por arquivos favorece a leitura das responsabilidades, embora importações cruzadas exijam cuidado com o acoplamento (TCCABM, 2026).</w:t>
      </w:r>
    </w:p>
    <w:p>
      <w:r>
        <w:drawing>
          <wp:inline xmlns:a="http://schemas.openxmlformats.org/drawingml/2006/main" xmlns:pic="http://schemas.openxmlformats.org/drawingml/2006/picture">
            <wp:extent cx="5472000" cy="1863358"/>
            <wp:docPr id="1" name="Picture 1"/>
            <wp:cNvGraphicFramePr>
              <a:graphicFrameLocks noChangeAspect="1"/>
            </wp:cNvGraphicFramePr>
            <a:graphic>
              <a:graphicData uri="http://schemas.openxmlformats.org/drawingml/2006/picture">
                <pic:pic>
                  <pic:nvPicPr>
                    <pic:cNvPr id="0" name="ch4_arch.png"/>
                    <pic:cNvPicPr/>
                  </pic:nvPicPr>
                  <pic:blipFill>
                    <a:blip r:embed="rId9"/>
                    <a:stretch>
                      <a:fillRect/>
                    </a:stretch>
                  </pic:blipFill>
                  <pic:spPr>
                    <a:xfrm>
                      <a:off x="0" y="0"/>
                      <a:ext cx="5472000" cy="1863358"/>
                    </a:xfrm>
                    <a:prstGeom prst="rect"/>
                  </pic:spPr>
                </pic:pic>
              </a:graphicData>
            </a:graphic>
          </wp:inline>
        </w:drawing>
      </w:r>
    </w:p>
    <w:p>
      <w:pPr>
        <w:ind w:firstLine="0"/>
        <w:jc w:val="center"/>
      </w:pPr>
      <w:r>
        <w:t>Figura 4.1 — Organização lógica dos componentes identificados. Fonte: elaboração própria, com base em TccAbm (2026).</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ind w:firstLine="0"/>
            </w:pPr>
            <w:r>
              <w:rPr>
                <w:rFonts w:ascii="Times New Roman" w:hAnsi="Times New Roman"/>
                <w:sz w:val="18"/>
              </w:rPr>
              <w:t>Arquivo</w:t>
            </w:r>
          </w:p>
        </w:tc>
        <w:tc>
          <w:tcPr>
            <w:tcW w:type="dxa" w:w="4702"/>
          </w:tcPr>
          <w:p>
            <w:pPr>
              <w:spacing w:line="240" w:lineRule="auto"/>
              <w:ind w:firstLine="0"/>
            </w:pPr>
            <w:r>
              <w:rPr>
                <w:rFonts w:ascii="Times New Roman" w:hAnsi="Times New Roman"/>
                <w:sz w:val="18"/>
              </w:rPr>
              <w:t>Responsabilidade identificada</w:t>
            </w:r>
          </w:p>
        </w:tc>
      </w:tr>
      <w:tr>
        <w:tc>
          <w:tcPr>
            <w:tcW w:type="dxa" w:w="4702"/>
          </w:tcPr>
          <w:p>
            <w:pPr>
              <w:spacing w:line="240" w:lineRule="auto"/>
              <w:ind w:firstLine="0"/>
            </w:pPr>
            <w:r>
              <w:rPr>
                <w:rFonts w:ascii="Times New Roman" w:hAnsi="Times New Roman"/>
                <w:sz w:val="18"/>
              </w:rPr>
              <w:t>Main.gaml</w:t>
            </w:r>
          </w:p>
        </w:tc>
        <w:tc>
          <w:tcPr>
            <w:tcW w:type="dxa" w:w="4702"/>
          </w:tcPr>
          <w:p>
            <w:pPr>
              <w:spacing w:line="240" w:lineRule="auto"/>
              <w:ind w:firstLine="0"/>
            </w:pPr>
            <w:r>
              <w:rPr>
                <w:rFonts w:ascii="Times New Roman" w:hAnsi="Times New Roman"/>
                <w:sz w:val="18"/>
              </w:rPr>
              <w:t>Parâmetros da interface, exibição cartográfica e monitores</w:t>
            </w:r>
          </w:p>
        </w:tc>
      </w:tr>
      <w:tr>
        <w:tc>
          <w:tcPr>
            <w:tcW w:type="dxa" w:w="4702"/>
          </w:tcPr>
          <w:p>
            <w:pPr>
              <w:spacing w:line="240" w:lineRule="auto"/>
              <w:ind w:firstLine="0"/>
            </w:pPr>
            <w:r>
              <w:rPr>
                <w:rFonts w:ascii="Times New Roman" w:hAnsi="Times New Roman"/>
                <w:sz w:val="18"/>
              </w:rPr>
              <w:t>globals/globals.gaml</w:t>
            </w:r>
          </w:p>
        </w:tc>
        <w:tc>
          <w:tcPr>
            <w:tcW w:type="dxa" w:w="4702"/>
          </w:tcPr>
          <w:p>
            <w:pPr>
              <w:spacing w:line="240" w:lineRule="auto"/>
              <w:ind w:firstLine="0"/>
            </w:pPr>
            <w:r>
              <w:rPr>
                <w:rFonts w:ascii="Times New Roman" w:hAnsi="Times New Roman"/>
                <w:sz w:val="18"/>
              </w:rPr>
              <w:t>Inicialização, clima, tempo, população, mortalidade e relatório CSV</w:t>
            </w:r>
          </w:p>
        </w:tc>
      </w:tr>
      <w:tr>
        <w:tc>
          <w:tcPr>
            <w:tcW w:type="dxa" w:w="4702"/>
          </w:tcPr>
          <w:p>
            <w:pPr>
              <w:spacing w:line="240" w:lineRule="auto"/>
              <w:ind w:firstLine="0"/>
            </w:pPr>
            <w:r>
              <w:rPr>
                <w:rFonts w:ascii="Times New Roman" w:hAnsi="Times New Roman"/>
                <w:sz w:val="18"/>
              </w:rPr>
              <w:t>agents/Pessoa.gaml</w:t>
            </w:r>
          </w:p>
        </w:tc>
        <w:tc>
          <w:tcPr>
            <w:tcW w:type="dxa" w:w="4702"/>
          </w:tcPr>
          <w:p>
            <w:pPr>
              <w:spacing w:line="240" w:lineRule="auto"/>
              <w:ind w:firstLine="0"/>
            </w:pPr>
            <w:r>
              <w:rPr>
                <w:rFonts w:ascii="Times New Roman" w:hAnsi="Times New Roman"/>
                <w:sz w:val="18"/>
              </w:rPr>
              <w:t>Atributos humanos, estados epidemiológicos, mobilidade e natalidade</w:t>
            </w:r>
          </w:p>
        </w:tc>
      </w:tr>
      <w:tr>
        <w:tc>
          <w:tcPr>
            <w:tcW w:type="dxa" w:w="4702"/>
          </w:tcPr>
          <w:p>
            <w:pPr>
              <w:spacing w:line="240" w:lineRule="auto"/>
              <w:ind w:firstLine="0"/>
            </w:pPr>
            <w:r>
              <w:rPr>
                <w:rFonts w:ascii="Times New Roman" w:hAnsi="Times New Roman"/>
                <w:sz w:val="18"/>
              </w:rPr>
              <w:t>agents/Mosquito.gaml</w:t>
            </w:r>
          </w:p>
        </w:tc>
        <w:tc>
          <w:tcPr>
            <w:tcW w:type="dxa" w:w="4702"/>
          </w:tcPr>
          <w:p>
            <w:pPr>
              <w:spacing w:line="240" w:lineRule="auto"/>
              <w:ind w:firstLine="0"/>
            </w:pPr>
            <w:r>
              <w:rPr>
                <w:rFonts w:ascii="Times New Roman" w:hAnsi="Times New Roman"/>
                <w:sz w:val="18"/>
              </w:rPr>
              <w:t>Atributos vetoriais, picada, transmissão, deslocamento e mortalidade</w:t>
            </w:r>
          </w:p>
        </w:tc>
      </w:tr>
      <w:tr>
        <w:tc>
          <w:tcPr>
            <w:tcW w:type="dxa" w:w="4702"/>
          </w:tcPr>
          <w:p>
            <w:pPr>
              <w:spacing w:line="240" w:lineRule="auto"/>
              <w:ind w:firstLine="0"/>
            </w:pPr>
            <w:r>
              <w:rPr>
                <w:rFonts w:ascii="Times New Roman" w:hAnsi="Times New Roman"/>
                <w:sz w:val="18"/>
              </w:rPr>
              <w:t>agents/Poca.gaml</w:t>
            </w:r>
          </w:p>
        </w:tc>
        <w:tc>
          <w:tcPr>
            <w:tcW w:type="dxa" w:w="4702"/>
          </w:tcPr>
          <w:p>
            <w:pPr>
              <w:spacing w:line="240" w:lineRule="auto"/>
              <w:ind w:firstLine="0"/>
            </w:pPr>
            <w:r>
              <w:rPr>
                <w:rFonts w:ascii="Times New Roman" w:hAnsi="Times New Roman"/>
                <w:sz w:val="18"/>
              </w:rPr>
              <w:t>Capacidade de criadouro conforme chuva e temperatura</w:t>
            </w:r>
          </w:p>
        </w:tc>
      </w:tr>
      <w:tr>
        <w:tc>
          <w:tcPr>
            <w:tcW w:type="dxa" w:w="4702"/>
          </w:tcPr>
          <w:p>
            <w:pPr>
              <w:spacing w:line="240" w:lineRule="auto"/>
              <w:ind w:firstLine="0"/>
            </w:pPr>
            <w:r>
              <w:rPr>
                <w:rFonts w:ascii="Times New Roman" w:hAnsi="Times New Roman"/>
                <w:sz w:val="18"/>
              </w:rPr>
              <w:t>agents/Imaturo.gaml</w:t>
            </w:r>
          </w:p>
        </w:tc>
        <w:tc>
          <w:tcPr>
            <w:tcW w:type="dxa" w:w="4702"/>
          </w:tcPr>
          <w:p>
            <w:pPr>
              <w:spacing w:line="240" w:lineRule="auto"/>
              <w:ind w:firstLine="0"/>
            </w:pPr>
            <w:r>
              <w:rPr>
                <w:rFonts w:ascii="Times New Roman" w:hAnsi="Times New Roman"/>
                <w:sz w:val="18"/>
              </w:rPr>
              <w:t>Estágios ovo, larva e pupa e criação de adultos</w:t>
            </w:r>
          </w:p>
        </w:tc>
      </w:tr>
      <w:tr>
        <w:tc>
          <w:tcPr>
            <w:tcW w:type="dxa" w:w="4702"/>
          </w:tcPr>
          <w:p>
            <w:pPr>
              <w:spacing w:line="240" w:lineRule="auto"/>
              <w:ind w:firstLine="0"/>
            </w:pPr>
            <w:r>
              <w:rPr>
                <w:rFonts w:ascii="Times New Roman" w:hAnsi="Times New Roman"/>
                <w:sz w:val="18"/>
              </w:rPr>
              <w:t>agents/Ambiente.gaml</w:t>
            </w:r>
          </w:p>
        </w:tc>
        <w:tc>
          <w:tcPr>
            <w:tcW w:type="dxa" w:w="4702"/>
          </w:tcPr>
          <w:p>
            <w:pPr>
              <w:spacing w:line="240" w:lineRule="auto"/>
              <w:ind w:firstLine="0"/>
            </w:pPr>
            <w:r>
              <w:rPr>
                <w:rFonts w:ascii="Times New Roman" w:hAnsi="Times New Roman"/>
                <w:sz w:val="18"/>
              </w:rPr>
              <w:t>Feições territoriais, atributo de região e representação gráfica</w:t>
            </w:r>
          </w:p>
        </w:tc>
      </w:tr>
    </w:tbl>
    <w:p>
      <w:pPr>
        <w:pStyle w:val="Heading2"/>
      </w:pPr>
      <w:r>
        <w:t>4.2 Importação GIS e delimitação municipal</w:t>
      </w:r>
    </w:p>
    <w:p>
      <w:r>
        <w:t>No componente global, o arquivo ../Gis/subprefeitura_v2.shp é declarado como entrada e seu envelope é utilizado para definir a geometria global do mundo. A criação dos agentes territoriais emprega o atributo nm_regiao_. A abordagem permite associar posições e agentes humanos a geometrias reais, mas o nome do arquivo ou da variável não comprova por si só a exatidão da fronteira municipal, do sistema de referência ou da integridade topológica. Essas propriedades exigem inspeção do Shapefile e de sua documentação cartográfica.</w:t>
      </w:r>
    </w:p>
    <w:tbl>
      <w:tblPr>
        <w:tblStyle w:val="TableGrid"/>
        <w:tblW w:type="auto" w:w="0"/>
        <w:tblLook w:firstColumn="1" w:firstRow="1" w:lastColumn="0" w:lastRow="0" w:noHBand="0" w:noVBand="1" w:val="04A0"/>
      </w:tblPr>
      <w:tblGrid>
        <w:gridCol w:w="9405"/>
      </w:tblGrid>
      <w:tr>
        <w:tc>
          <w:tcPr>
            <w:tcW w:type="dxa" w:w="9405"/>
          </w:tcPr>
          <w:p>
            <w:pPr>
              <w:spacing w:line="240" w:lineRule="auto" w:after="0"/>
              <w:ind w:firstLine="0"/>
            </w:pPr>
            <w:r/>
            <w:r>
              <w:rPr>
                <w:rFonts w:ascii="Consolas" w:hAnsi="Consolas"/>
                <w:sz w:val="16"/>
              </w:rPr>
              <w:t>file subprefeituras_shapefile &lt;- file("../Gis/subprefeitura_v2.shp");</w:t>
            </w:r>
          </w:p>
          <w:p>
            <w:pPr>
              <w:spacing w:line="240" w:lineRule="auto" w:after="0"/>
              <w:ind w:firstLine="0"/>
            </w:pPr>
            <w:r>
              <w:rPr>
                <w:rFonts w:ascii="Consolas" w:hAnsi="Consolas"/>
                <w:sz w:val="16"/>
              </w:rPr>
              <w:t>geometry shape &lt;- envelope(subprefeituras_shapefile);</w:t>
            </w:r>
          </w:p>
          <w:p>
            <w:pPr>
              <w:spacing w:line="240" w:lineRule="auto" w:after="0"/>
              <w:ind w:firstLine="0"/>
            </w:pPr>
            <w:r>
              <w:rPr>
                <w:rFonts w:ascii="Consolas" w:hAnsi="Consolas"/>
                <w:sz w:val="16"/>
              </w:rPr>
              <w:t>create ambiente from: subprefeituras_shapefile</w:t>
            </w:r>
          </w:p>
          <w:p>
            <w:pPr>
              <w:spacing w:line="240" w:lineRule="auto" w:after="0"/>
              <w:ind w:firstLine="0"/>
            </w:pPr>
            <w:r>
              <w:rPr>
                <w:rFonts w:ascii="Consolas" w:hAnsi="Consolas"/>
                <w:sz w:val="16"/>
              </w:rPr>
              <w:t xml:space="preserve">  with: [nm_regiao_::read("nm_regiao_")];</w:t>
            </w:r>
          </w:p>
        </w:tc>
      </w:tr>
    </w:tbl>
    <w:p>
      <w:pPr>
        <w:spacing w:line="240" w:lineRule="auto"/>
        <w:ind w:firstLine="0"/>
        <w:jc w:val="center"/>
      </w:pPr>
      <w:r>
        <w:t>Código — fragmentos de globals.gaml, linhas 58–59 e 113 (TccAbm, 2026).</w:t>
      </w:r>
    </w:p>
    <w:p>
      <w:r>
        <w:t>A implementação analisada utiliza cinco rótulos de região: Centro, Norte, Leste, Sul e Oeste. Esse agrupamento é uma simplificação operacional e não deve ser confundido com os distritos administrativos ou com a totalidade das subprefeituras do município. O posicionamento utiliza any_location_in sobre geometrias das regiões, devendo ser conferidos o sistema de coordenadas, a unidade efetiva das distâncias e a forma de tratar fronteiras.</w:t>
      </w:r>
    </w:p>
    <w:p>
      <w:pPr>
        <w:pStyle w:val="Heading2"/>
      </w:pPr>
      <w:r>
        <w:t>4.3 Inicialização das populações sintéticas</w:t>
      </w:r>
    </w:p>
    <w:p>
      <w:r>
        <w:t>O parâmetro quantidade_pessoas é fixado em 1.191, acompanhado de comentário que o descreve como escala 1:10.000. A implementação também cria 100 mosquitos na inicialização. Os humanos são alocados entre as cinco regiões mediante fatores proporcionais expressos diretamente no código; o total da região Oeste é calculado por diferença para preservar o total de humanos definido. Os fatores efetivamente programados devem prevalecer sobre percentuais descritos em comentários antigos, pois não são idênticos.</w:t>
      </w:r>
    </w:p>
    <w:tbl>
      <w:tblPr>
        <w:tblStyle w:val="TableGrid"/>
        <w:tblW w:type="auto" w:w="0"/>
        <w:tblLook w:firstColumn="1" w:firstRow="1" w:lastColumn="0" w:lastRow="0" w:noHBand="0" w:noVBand="1" w:val="04A0"/>
      </w:tblPr>
      <w:tblGrid>
        <w:gridCol w:w="9405"/>
      </w:tblGrid>
      <w:tr>
        <w:tc>
          <w:tcPr>
            <w:tcW w:type="dxa" w:w="9405"/>
          </w:tcPr>
          <w:p>
            <w:pPr>
              <w:spacing w:line="240" w:lineRule="auto" w:after="0"/>
              <w:ind w:firstLine="0"/>
            </w:pPr>
            <w:r/>
            <w:r>
              <w:rPr>
                <w:rFonts w:ascii="Consolas" w:hAnsi="Consolas"/>
                <w:sz w:val="16"/>
              </w:rPr>
              <w:t>int quantidade_pessoas &lt;- 1191;</w:t>
            </w:r>
          </w:p>
          <w:p>
            <w:pPr>
              <w:spacing w:line="240" w:lineRule="auto" w:after="0"/>
              <w:ind w:firstLine="0"/>
            </w:pPr>
            <w:r>
              <w:rPr>
                <w:rFonts w:ascii="Consolas" w:hAnsi="Consolas"/>
                <w:sz w:val="16"/>
              </w:rPr>
              <w:t>int qtd_centro &lt;- int(quantidade_pessoas * 0.0370);</w:t>
            </w:r>
          </w:p>
          <w:p>
            <w:pPr>
              <w:spacing w:line="240" w:lineRule="auto" w:after="0"/>
              <w:ind w:firstLine="0"/>
            </w:pPr>
            <w:r>
              <w:rPr>
                <w:rFonts w:ascii="Consolas" w:hAnsi="Consolas"/>
                <w:sz w:val="16"/>
              </w:rPr>
              <w:t>int qtd_norte &lt;- int(quantidade_pessoas * 0.1929);</w:t>
            </w:r>
          </w:p>
          <w:p>
            <w:pPr>
              <w:spacing w:line="240" w:lineRule="auto" w:after="0"/>
              <w:ind w:firstLine="0"/>
            </w:pPr>
            <w:r>
              <w:rPr>
                <w:rFonts w:ascii="Consolas" w:hAnsi="Consolas"/>
                <w:sz w:val="16"/>
              </w:rPr>
              <w:t>int qtd_leste &lt;- int(quantidade_pessoas * 0.3485);</w:t>
            </w:r>
          </w:p>
          <w:p>
            <w:pPr>
              <w:spacing w:line="240" w:lineRule="auto" w:after="0"/>
              <w:ind w:firstLine="0"/>
            </w:pPr>
            <w:r>
              <w:rPr>
                <w:rFonts w:ascii="Consolas" w:hAnsi="Consolas"/>
                <w:sz w:val="16"/>
              </w:rPr>
              <w:t>int qtd_sul &lt;- int(quantidade_pessoas * 0.3262);</w:t>
            </w:r>
          </w:p>
          <w:p>
            <w:pPr>
              <w:spacing w:line="240" w:lineRule="auto" w:after="0"/>
              <w:ind w:firstLine="0"/>
            </w:pPr>
            <w:r>
              <w:rPr>
                <w:rFonts w:ascii="Consolas" w:hAnsi="Consolas"/>
                <w:sz w:val="16"/>
              </w:rPr>
              <w:t>int qtd_oeste &lt;- quantidade_pessoas - qtd_centro - qtd_norte - qtd_leste - qtd_sul;</w:t>
            </w:r>
          </w:p>
        </w:tc>
      </w:tr>
    </w:tbl>
    <w:p>
      <w:pPr>
        <w:spacing w:line="240" w:lineRule="auto"/>
        <w:ind w:firstLine="0"/>
        <w:jc w:val="center"/>
      </w:pPr>
      <w:r>
        <w:t>Código — globals.gaml, linhas 62 e 128–132 (TccAbm, 2026).</w:t>
      </w:r>
    </w:p>
    <w:p>
      <w:r>
        <w:t>Atribuir proporções regionais a uma amostra populacional não assegura, isoladamente, equivalência de contatos e densidade com a população real de São Paulo. A calibração espacial e a relação entre as grandezas simuladas e observadas precisam ser tratadas na seção experimental.</w:t>
      </w:r>
    </w:p>
    <w:p>
      <w:pPr>
        <w:pStyle w:val="Heading2"/>
      </w:pPr>
      <w:r>
        <w:t>4.4 Agentes humanos e mobilidade espacial</w:t>
      </w:r>
    </w:p>
    <w:p>
      <w:r>
        <w:t>A espécie pessoa usa a skill moving e possui idade, condição vacinal, estado epidemiológico, variáveis de duração da infecção, destino, velocidade e atributos de mortalidade. A ação andar implementa deslocamentos em janelas horárias entre 5h e 8h e entre 16h e 19h; nessas janelas o destino é sorteado conforme uma tabela de probabilidades por região e executado com goto. Fora delas, o indivíduo realiza um movimento local por wander. A rotina também reposiciona o agente quando ele é detectado fora das geometrias territoriais (TCCABM, 2026).</w:t>
      </w:r>
    </w:p>
    <w:tbl>
      <w:tblPr>
        <w:tblStyle w:val="TableGrid"/>
        <w:tblW w:type="auto" w:w="0"/>
        <w:tblLook w:firstColumn="1" w:firstRow="1" w:lastColumn="0" w:lastRow="0" w:noHBand="0" w:noVBand="1" w:val="04A0"/>
      </w:tblPr>
      <w:tblGrid>
        <w:gridCol w:w="9405"/>
      </w:tblGrid>
      <w:tr>
        <w:tc>
          <w:tcPr>
            <w:tcW w:type="dxa" w:w="9405"/>
          </w:tcPr>
          <w:p>
            <w:pPr>
              <w:spacing w:line="240" w:lineRule="auto" w:after="0"/>
              <w:ind w:firstLine="0"/>
            </w:pPr>
            <w:r/>
            <w:r>
              <w:rPr>
                <w:rFonts w:ascii="Consolas" w:hAnsi="Consolas"/>
                <w:sz w:val="16"/>
              </w:rPr>
              <w:t>if ((hora &gt;= 5 and hora &lt; 8) or (hora &gt;= 16 and hora &lt; 19)) {</w:t>
            </w:r>
          </w:p>
          <w:p>
            <w:pPr>
              <w:spacing w:line="240" w:lineRule="auto" w:after="0"/>
              <w:ind w:firstLine="0"/>
            </w:pPr>
            <w:r>
              <w:rPr>
                <w:rFonts w:ascii="Consolas" w:hAnsi="Consolas"/>
                <w:sz w:val="16"/>
              </w:rPr>
              <w:t xml:space="preserve">    if (destino = nil) {</w:t>
            </w:r>
          </w:p>
          <w:p>
            <w:pPr>
              <w:spacing w:line="240" w:lineRule="auto" w:after="0"/>
              <w:ind w:firstLine="0"/>
            </w:pPr>
            <w:r>
              <w:rPr>
                <w:rFonts w:ascii="Consolas" w:hAnsi="Consolas"/>
                <w:sz w:val="16"/>
              </w:rPr>
              <w:t xml:space="preserve">        destino &lt;- sortear_destino(location);</w:t>
            </w:r>
          </w:p>
          <w:p>
            <w:pPr>
              <w:spacing w:line="240" w:lineRule="auto" w:after="0"/>
              <w:ind w:firstLine="0"/>
            </w:pPr>
            <w:r>
              <w:rPr>
                <w:rFonts w:ascii="Consolas" w:hAnsi="Consolas"/>
                <w:sz w:val="16"/>
              </w:rPr>
              <w:t xml:space="preserve">        velocidade &lt;- velocidade_andando;</w:t>
            </w:r>
          </w:p>
          <w:p>
            <w:pPr>
              <w:spacing w:line="240" w:lineRule="auto" w:after="0"/>
              <w:ind w:firstLine="0"/>
            </w:pPr>
            <w:r>
              <w:rPr>
                <w:rFonts w:ascii="Consolas" w:hAnsi="Consolas"/>
                <w:sz w:val="16"/>
              </w:rPr>
              <w:t xml:space="preserve">    }</w:t>
            </w:r>
          </w:p>
          <w:p>
            <w:pPr>
              <w:spacing w:line="240" w:lineRule="auto" w:after="0"/>
              <w:ind w:firstLine="0"/>
            </w:pPr>
            <w:r>
              <w:rPr>
                <w:rFonts w:ascii="Consolas" w:hAnsi="Consolas"/>
                <w:sz w:val="16"/>
              </w:rPr>
              <w:t xml:space="preserve">    if (destino != nil) {</w:t>
            </w:r>
          </w:p>
          <w:p>
            <w:pPr>
              <w:spacing w:line="240" w:lineRule="auto" w:after="0"/>
              <w:ind w:firstLine="0"/>
            </w:pPr>
            <w:r>
              <w:rPr>
                <w:rFonts w:ascii="Consolas" w:hAnsi="Consolas"/>
                <w:sz w:val="16"/>
              </w:rPr>
              <w:t xml:space="preserve">        do goto target: destino speed: velocidade;</w:t>
            </w:r>
          </w:p>
          <w:p>
            <w:pPr>
              <w:spacing w:line="240" w:lineRule="auto" w:after="0"/>
              <w:ind w:firstLine="0"/>
            </w:pPr>
            <w:r>
              <w:rPr>
                <w:rFonts w:ascii="Consolas" w:hAnsi="Consolas"/>
                <w:sz w:val="16"/>
              </w:rPr>
              <w:t xml:space="preserve">    }</w:t>
            </w:r>
          </w:p>
          <w:p>
            <w:pPr>
              <w:spacing w:line="240" w:lineRule="auto" w:after="0"/>
              <w:ind w:firstLine="0"/>
            </w:pPr>
            <w:r>
              <w:rPr>
                <w:rFonts w:ascii="Consolas" w:hAnsi="Consolas"/>
                <w:sz w:val="16"/>
              </w:rPr>
              <w:t>} else {</w:t>
            </w:r>
          </w:p>
          <w:p>
            <w:pPr>
              <w:spacing w:line="240" w:lineRule="auto" w:after="0"/>
              <w:ind w:firstLine="0"/>
            </w:pPr>
            <w:r>
              <w:rPr>
                <w:rFonts w:ascii="Consolas" w:hAnsi="Consolas"/>
                <w:sz w:val="16"/>
              </w:rPr>
              <w:t xml:space="preserve">    do wander speed: velocidade amplitude: 360.0;</w:t>
            </w:r>
          </w:p>
          <w:p>
            <w:pPr>
              <w:spacing w:line="240" w:lineRule="auto" w:after="0"/>
              <w:ind w:firstLine="0"/>
            </w:pPr>
            <w:r>
              <w:rPr>
                <w:rFonts w:ascii="Consolas" w:hAnsi="Consolas"/>
                <w:sz w:val="16"/>
              </w:rPr>
              <w:t>}</w:t>
            </w:r>
          </w:p>
        </w:tc>
      </w:tr>
    </w:tbl>
    <w:p>
      <w:pPr>
        <w:spacing w:line="240" w:lineRule="auto"/>
        <w:ind w:firstLine="0"/>
        <w:jc w:val="center"/>
      </w:pPr>
      <w:r>
        <w:t>Código — excerto abreviado de Pessoa.gaml, linhas 62–87 (TccAbm, 2026).</w:t>
      </w:r>
    </w:p>
    <w:p>
      <w:r>
        <w:t>A rotina de escolha de destinos define distribuições distintas para manhã e tarde. Não se identificou, nesses trechos, cálculo de caminhos sobre um grafo viário; o movimento documentado deve ser descrito como deslocamento para coordenadas espaciais, e não como roteamento comprovado pela malha de ruas. É necessário verificar ainda se os intervalos de seleção de destinos são completos e mutuamente exclusivos para os valores sorteados.</w:t>
      </w:r>
    </w:p>
    <w:p>
      <w:pPr>
        <w:pStyle w:val="Heading2"/>
      </w:pPr>
      <w:r>
        <w:t>4.5 Estados epidemiológicos humanos</w:t>
      </w:r>
    </w:p>
    <w:p>
      <w:r>
        <w:t>O arquivo Pessoa.gaml estabelece a codificação 0 = suscetível, 1 = exposto, 2 = infectado e 3 = recuperado. A ação MudarEstado incrementa o estado e retorna ao suscetível após o estado 3. A progressão temporal está na ação Envelhecer, que utiliza periodo_incubacao, periodo_viral e periodo_recuperacao. A condição vacinal é mantida separadamente, como atributo booleano. Essa estrutura aproxima-se da especificação SEIR, mas seu comportamento exato depende das condições de acionamento.</w:t>
      </w:r>
    </w:p>
    <w:p>
      <w:r>
        <w:t>Há um ponto de atenção: o contador dias_Infectado só é incrementado quando o estado é 1 ou 2. Como a condição de saída do estado 3 depende desse contador atingir a soma dos três períodos, pode ocorrer permanência indefinida em R caso ele não atinja o limite antes da recuperação. O comportamento deverá ser demonstrado por teste unitário de transições, não presumido a partir do nome do parâmetro.</w:t>
      </w:r>
    </w:p>
    <w:p>
      <w:pPr>
        <w:pStyle w:val="Heading2"/>
      </w:pPr>
      <w:r>
        <w:t>4.6 Agente mosquito, transmissão e reprodução</w:t>
      </w:r>
    </w:p>
    <w:p>
      <w:r>
        <w:t>A espécie mosquito define sexo, idade, velocidade, posição associada à poça natal, distância máxima, alcance de contato e parâmetros probabilísticos. A ação Picar é convocada pelo agendamento global somente para mosquitos identificados como fêmeas. Ela efetua o sorteio de tentativa de picada, seleciona uma pessoa dentro da distância de 1.800 unidades espaciais e avalia combinações de estados que podem provocar transmissão. A eficácia vacinal aparece como redução multiplicativa da probabilidade efetiva de infecção do humano.</w:t>
      </w:r>
    </w:p>
    <w:tbl>
      <w:tblPr>
        <w:tblStyle w:val="TableGrid"/>
        <w:tblW w:type="auto" w:w="0"/>
        <w:tblLook w:firstColumn="1" w:firstRow="1" w:lastColumn="0" w:lastRow="0" w:noHBand="0" w:noVBand="1" w:val="04A0"/>
      </w:tblPr>
      <w:tblGrid>
        <w:gridCol w:w="9405"/>
      </w:tblGrid>
      <w:tr>
        <w:tc>
          <w:tcPr>
            <w:tcW w:type="dxa" w:w="9405"/>
          </w:tcPr>
          <w:p>
            <w:pPr>
              <w:spacing w:line="240" w:lineRule="auto" w:after="0"/>
              <w:ind w:firstLine="0"/>
            </w:pPr>
            <w:r/>
            <w:r>
              <w:rPr>
                <w:rFonts w:ascii="Consolas" w:hAnsi="Consolas"/>
                <w:sz w:val="16"/>
              </w:rPr>
              <w:t>if (alvo.estado = 0 and estado = 2) {</w:t>
            </w:r>
          </w:p>
          <w:p>
            <w:pPr>
              <w:spacing w:line="240" w:lineRule="auto" w:after="0"/>
              <w:ind w:firstLine="0"/>
            </w:pPr>
            <w:r>
              <w:rPr>
                <w:rFonts w:ascii="Consolas" w:hAnsi="Consolas"/>
                <w:sz w:val="16"/>
              </w:rPr>
              <w:t xml:space="preserve">    ask alvo {</w:t>
            </w:r>
          </w:p>
          <w:p>
            <w:pPr>
              <w:spacing w:line="240" w:lineRule="auto" w:after="0"/>
              <w:ind w:firstLine="0"/>
            </w:pPr>
            <w:r>
              <w:rPr>
                <w:rFonts w:ascii="Consolas" w:hAnsi="Consolas"/>
                <w:sz w:val="16"/>
              </w:rPr>
              <w:t xml:space="preserve">        float prob_efetiva &lt;- prob_transmissao;</w:t>
            </w:r>
          </w:p>
          <w:p>
            <w:pPr>
              <w:spacing w:line="240" w:lineRule="auto" w:after="0"/>
              <w:ind w:firstLine="0"/>
            </w:pPr>
            <w:r>
              <w:rPr>
                <w:rFonts w:ascii="Consolas" w:hAnsi="Consolas"/>
                <w:sz w:val="16"/>
              </w:rPr>
              <w:t xml:space="preserve">        if (vacinado) {</w:t>
            </w:r>
          </w:p>
          <w:p>
            <w:pPr>
              <w:spacing w:line="240" w:lineRule="auto" w:after="0"/>
              <w:ind w:firstLine="0"/>
            </w:pPr>
            <w:r>
              <w:rPr>
                <w:rFonts w:ascii="Consolas" w:hAnsi="Consolas"/>
                <w:sz w:val="16"/>
              </w:rPr>
              <w:t xml:space="preserve">            prob_efetiva &lt;- prob_transmissao * (1 - eficacia / 100.0);</w:t>
            </w:r>
          </w:p>
          <w:p>
            <w:pPr>
              <w:spacing w:line="240" w:lineRule="auto" w:after="0"/>
              <w:ind w:firstLine="0"/>
            </w:pPr>
            <w:r>
              <w:rPr>
                <w:rFonts w:ascii="Consolas" w:hAnsi="Consolas"/>
                <w:sz w:val="16"/>
              </w:rPr>
              <w:t xml:space="preserve">        }</w:t>
            </w:r>
          </w:p>
          <w:p>
            <w:pPr>
              <w:spacing w:line="240" w:lineRule="auto" w:after="0"/>
              <w:ind w:firstLine="0"/>
            </w:pPr>
            <w:r>
              <w:rPr>
                <w:rFonts w:ascii="Consolas" w:hAnsi="Consolas"/>
                <w:sz w:val="16"/>
              </w:rPr>
              <w:t xml:space="preserve">        if (rnd(1, 100) &lt;= prob_efetiva) { do MudarEstado; }</w:t>
            </w:r>
          </w:p>
          <w:p>
            <w:pPr>
              <w:spacing w:line="240" w:lineRule="auto" w:after="0"/>
              <w:ind w:firstLine="0"/>
            </w:pPr>
            <w:r>
              <w:rPr>
                <w:rFonts w:ascii="Consolas" w:hAnsi="Consolas"/>
                <w:sz w:val="16"/>
              </w:rPr>
              <w:t xml:space="preserve">    }</w:t>
            </w:r>
          </w:p>
          <w:p>
            <w:pPr>
              <w:spacing w:line="240" w:lineRule="auto" w:after="0"/>
              <w:ind w:firstLine="0"/>
            </w:pPr>
            <w:r>
              <w:rPr>
                <w:rFonts w:ascii="Consolas" w:hAnsi="Consolas"/>
                <w:sz w:val="16"/>
              </w:rPr>
              <w:t>}</w:t>
            </w:r>
          </w:p>
        </w:tc>
      </w:tr>
    </w:tbl>
    <w:p>
      <w:pPr>
        <w:spacing w:line="240" w:lineRule="auto"/>
        <w:ind w:firstLine="0"/>
        <w:jc w:val="center"/>
      </w:pPr>
      <w:r>
        <w:t>Código — excerto de Mosquito.gaml, linhas 81–92 (TccAbm, 2026).</w:t>
      </w:r>
    </w:p>
    <w:p>
      <w:r>
        <w:t>O uso de rnd(0,1) na tentativa de picada e de rnd(1,100) na transmissão exige explicitar a escala de cada parâmetro. O código declara prob_picada = 0,25 e prob_transmissao = 27,50 no mosquito, enquanto o agente humano apresenta outro parâmetro de transmissão. Não é metodologicamente correto tratá-los como a mesma probabilidade. Também há condição que considera humanos expostos ou infectados aptos a transmitir ao mosquito, aspecto que deve ser justificado biologicamente ou ajustado.</w:t>
      </w:r>
    </w:p>
    <w:p>
      <w:r>
        <w:t>A rotina de reprodução cria um lote de 100 agentes imaturos ao encontrar poça próxima e capacidade residual. Como a condição antecedente apenas testa se a quantidade atual é menor que a capacidade, deve-se verificar se a criação do lote pode ultrapassar o limite. O vínculo entre reprodução e a existência de pessoa próxima é outra hipótese da implementação que demanda revisão.</w:t>
      </w:r>
    </w:p>
    <w:p>
      <w:pPr>
        <w:pStyle w:val="Heading2"/>
      </w:pPr>
      <w:r>
        <w:t>4.7 Desenvolvimento imaturo e dinâmica de criadouros</w:t>
      </w:r>
    </w:p>
    <w:p>
      <w:r>
        <w:t>Imaturo.gaml implementa três estágios numéricos: ovo, larva e pupa. A duração de cada fase é sorteada em função da temperatura global; quando o estágio 2 termina, o agente imaturo cria um mosquito adulto na localização da poça e é removido. Poca.gaml representa a disponibilidade hídrica por um atributo tamanho, limitado a cinco níveis. A intensidade de chuva aumenta o nível e a ausência de chuva o diminui, enquanto a capacidade é expressa pelo produto tamanho × 20. Essas relações são hipóteses operacionais e não equivalem, automaticamente, a uma medição entomológica no município.</w:t>
      </w:r>
    </w:p>
    <w:p>
      <w:r>
        <w:t>A leitura estática identifica o mecanismo de atualização ambiental, mas não comprova que todas as listas de imaturos estejam sempre sincronizadas após mortalidade e transformação em adultos. Essa invariável deve ser testada. Também é importante documentar se as durações sorteadas em dias são aplicadas na mesma unidade de Envelhecer, o que depende do agendamento global.</w:t>
      </w:r>
    </w:p>
    <w:p>
      <w:pPr>
        <w:pStyle w:val="Heading2"/>
      </w:pPr>
      <w:r>
        <w:t>4.8 Controle temporal, clima e variabilidade estocástica</w:t>
      </w:r>
    </w:p>
    <w:p>
      <w:r>
        <w:t>Na versão atual de globals.gaml, a atualização da hora está configurada para ocorrer a cada cinco ciclos (tempo_hora = 5), e o evento diário a cada 120 × velocidade_tempo ciclos (tempo_dia = 24 × 5). Esses parâmetros diferem da versão anteriormente examinada. O modelo também emprega atualização climática e eventos de agentes, cuja ordem de execução deve ser verificada no GAMA.</w:t>
      </w:r>
    </w:p>
    <w:p>
      <w:r>
        <w:t>A interface expõe o parâmetro seed, mas a rotina init atribui seed &lt;- 12345.0. Trata-se de um risco de reprodutibilidade a ser verificado em execução, principalmente nos experimentos batch que declaram 30 repetições.</w:t>
      </w:r>
    </w:p>
    <w:p>
      <w:pPr>
        <w:pStyle w:val="Heading2"/>
      </w:pPr>
      <w:r>
        <w:t>4.9 Interface, indicadores e persistência das saídas</w:t>
      </w:r>
    </w:p>
    <w:p>
      <w:r>
        <w:t>O experimento MeuExperimento, em Main.gaml, disponibiliza velocidade do tempo, percentual de vacinados, semente e eficácia vacinal. A visualização bidimensional exibe ambiente, pessoas, mosquitos e poças. Monitores mostram ciclo, dia, mês, hora, população por estado e mortes por dengue. O arquivo globals.gaml contém a ação Relatorio, que grava em resultados.csv totais por classe, estados epidemiológicos e mortalidade por faixas etárias.</w:t>
      </w:r>
    </w:p>
    <w:p>
      <w:r>
        <w:t>A estrutura de gravação é adequada para produzir uma série temporal de indicadores. Contudo, a ausência de campos explícitos para a versão do código, conjunto de parâmetros, semente efetiva e identificador de repetição dificulta a auditoria de experimentos. Recomenda-se um manifesto por execução e verificações automáticas de consistência: totais de humanos e mosquitos devem corresponder à soma das respectivas categorias válidas, desde que as categorias sejam mutuamente exclusivas e exaustivas.</w:t>
      </w:r>
    </w:p>
    <w:p>
      <w:pPr>
        <w:pStyle w:val="Heading2"/>
      </w:pPr>
      <w:r>
        <w:t>4.10 Revisão crítica: divergências e requisitos de verificação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rFonts w:ascii="Times New Roman" w:hAnsi="Times New Roman"/>
                <w:sz w:val="18"/>
              </w:rPr>
              <w:t>Achado na leitura estática</w:t>
            </w:r>
          </w:p>
        </w:tc>
        <w:tc>
          <w:tcPr>
            <w:tcW w:type="dxa" w:w="3135"/>
          </w:tcPr>
          <w:p>
            <w:pPr>
              <w:spacing w:line="240" w:lineRule="auto"/>
              <w:ind w:firstLine="0"/>
            </w:pPr>
            <w:r>
              <w:rPr>
                <w:rFonts w:ascii="Times New Roman" w:hAnsi="Times New Roman"/>
                <w:sz w:val="18"/>
              </w:rPr>
              <w:t>Risco ou interpretação</w:t>
            </w:r>
          </w:p>
        </w:tc>
        <w:tc>
          <w:tcPr>
            <w:tcW w:type="dxa" w:w="3135"/>
          </w:tcPr>
          <w:p>
            <w:pPr>
              <w:spacing w:line="240" w:lineRule="auto"/>
              <w:ind w:firstLine="0"/>
            </w:pPr>
            <w:r>
              <w:rPr>
                <w:rFonts w:ascii="Times New Roman" w:hAnsi="Times New Roman"/>
                <w:sz w:val="18"/>
              </w:rPr>
              <w:t>Teste ou ação recomendada</w:t>
            </w:r>
          </w:p>
        </w:tc>
      </w:tr>
      <w:tr>
        <w:tc>
          <w:tcPr>
            <w:tcW w:type="dxa" w:w="3135"/>
          </w:tcPr>
          <w:p>
            <w:pPr>
              <w:spacing w:line="240" w:lineRule="auto"/>
              <w:ind w:firstLine="0"/>
            </w:pPr>
            <w:r>
              <w:rPr>
                <w:rFonts w:ascii="Times New Roman" w:hAnsi="Times New Roman"/>
                <w:sz w:val="18"/>
              </w:rPr>
              <w:t>rnd(0,3) na inicialização dos mosquitos</w:t>
            </w:r>
          </w:p>
        </w:tc>
        <w:tc>
          <w:tcPr>
            <w:tcW w:type="dxa" w:w="3135"/>
          </w:tcPr>
          <w:p>
            <w:pPr>
              <w:spacing w:line="240" w:lineRule="auto"/>
              <w:ind w:firstLine="0"/>
            </w:pPr>
            <w:r>
              <w:rPr>
                <w:rFonts w:ascii="Times New Roman" w:hAnsi="Times New Roman"/>
                <w:sz w:val="18"/>
              </w:rPr>
              <w:t>Possível estado 3 não monitorado, se os limites forem inclusivos</w:t>
            </w:r>
          </w:p>
        </w:tc>
        <w:tc>
          <w:tcPr>
            <w:tcW w:type="dxa" w:w="3135"/>
          </w:tcPr>
          <w:p>
            <w:pPr>
              <w:spacing w:line="240" w:lineRule="auto"/>
              <w:ind w:firstLine="0"/>
            </w:pPr>
            <w:r>
              <w:rPr>
                <w:rFonts w:ascii="Times New Roman" w:hAnsi="Times New Roman"/>
                <w:sz w:val="18"/>
              </w:rPr>
              <w:t>Assegurar domínio {0,1,2} e testar toda inicialização</w:t>
            </w:r>
          </w:p>
        </w:tc>
      </w:tr>
      <w:tr>
        <w:tc>
          <w:tcPr>
            <w:tcW w:type="dxa" w:w="3135"/>
          </w:tcPr>
          <w:p>
            <w:pPr>
              <w:spacing w:line="240" w:lineRule="auto"/>
              <w:ind w:firstLine="0"/>
            </w:pPr>
            <w:r>
              <w:rPr>
                <w:rFonts w:ascii="Times New Roman" w:hAnsi="Times New Roman"/>
                <w:sz w:val="18"/>
              </w:rPr>
              <w:t>MudarEstado do mosquito com mod 3</w:t>
            </w:r>
          </w:p>
        </w:tc>
        <w:tc>
          <w:tcPr>
            <w:tcW w:type="dxa" w:w="3135"/>
          </w:tcPr>
          <w:p>
            <w:pPr>
              <w:spacing w:line="240" w:lineRule="auto"/>
              <w:ind w:firstLine="0"/>
            </w:pPr>
            <w:r>
              <w:rPr>
                <w:rFonts w:ascii="Times New Roman" w:hAnsi="Times New Roman"/>
                <w:sz w:val="18"/>
              </w:rPr>
              <w:t>Possível retorno I → S em acionamentos adicionais</w:t>
            </w:r>
          </w:p>
        </w:tc>
        <w:tc>
          <w:tcPr>
            <w:tcW w:type="dxa" w:w="3135"/>
          </w:tcPr>
          <w:p>
            <w:pPr>
              <w:spacing w:line="240" w:lineRule="auto"/>
              <w:ind w:firstLine="0"/>
            </w:pPr>
            <w:r>
              <w:rPr>
                <w:rFonts w:ascii="Times New Roman" w:hAnsi="Times New Roman"/>
                <w:sz w:val="18"/>
              </w:rPr>
              <w:t>Verificar ciclo de vida epidemiológico e trajetórias</w:t>
            </w:r>
          </w:p>
        </w:tc>
      </w:tr>
      <w:tr>
        <w:tc>
          <w:tcPr>
            <w:tcW w:type="dxa" w:w="3135"/>
          </w:tcPr>
          <w:p>
            <w:pPr>
              <w:spacing w:line="240" w:lineRule="auto"/>
              <w:ind w:firstLine="0"/>
            </w:pPr>
            <w:r>
              <w:rPr>
                <w:rFonts w:ascii="Times New Roman" w:hAnsi="Times New Roman"/>
                <w:sz w:val="18"/>
              </w:rPr>
              <w:t>Contador humano não cresce no estado R</w:t>
            </w:r>
          </w:p>
        </w:tc>
        <w:tc>
          <w:tcPr>
            <w:tcW w:type="dxa" w:w="3135"/>
          </w:tcPr>
          <w:p>
            <w:pPr>
              <w:spacing w:line="240" w:lineRule="auto"/>
              <w:ind w:firstLine="0"/>
            </w:pPr>
            <w:r>
              <w:rPr>
                <w:rFonts w:ascii="Times New Roman" w:hAnsi="Times New Roman"/>
                <w:sz w:val="18"/>
              </w:rPr>
              <w:t>Possível impossibilidade de R → S</w:t>
            </w:r>
          </w:p>
        </w:tc>
        <w:tc>
          <w:tcPr>
            <w:tcW w:type="dxa" w:w="3135"/>
          </w:tcPr>
          <w:p>
            <w:pPr>
              <w:spacing w:line="240" w:lineRule="auto"/>
              <w:ind w:firstLine="0"/>
            </w:pPr>
            <w:r>
              <w:rPr>
                <w:rFonts w:ascii="Times New Roman" w:hAnsi="Times New Roman"/>
                <w:sz w:val="18"/>
              </w:rPr>
              <w:t>Teste das transições com relógio controlado</w:t>
            </w:r>
          </w:p>
        </w:tc>
      </w:tr>
      <w:tr>
        <w:tc>
          <w:tcPr>
            <w:tcW w:type="dxa" w:w="3135"/>
          </w:tcPr>
          <w:p>
            <w:pPr>
              <w:spacing w:line="240" w:lineRule="auto"/>
              <w:ind w:firstLine="0"/>
            </w:pPr>
            <w:r>
              <w:rPr>
                <w:rFonts w:ascii="Times New Roman" w:hAnsi="Times New Roman"/>
                <w:sz w:val="18"/>
              </w:rPr>
              <w:t>seed definida na interface e no init</w:t>
            </w:r>
          </w:p>
        </w:tc>
        <w:tc>
          <w:tcPr>
            <w:tcW w:type="dxa" w:w="3135"/>
          </w:tcPr>
          <w:p>
            <w:pPr>
              <w:spacing w:line="240" w:lineRule="auto"/>
              <w:ind w:firstLine="0"/>
            </w:pPr>
            <w:r>
              <w:rPr>
                <w:rFonts w:ascii="Times New Roman" w:hAnsi="Times New Roman"/>
                <w:sz w:val="18"/>
              </w:rPr>
              <w:t>Semente da interface pode ser sobrescrita</w:t>
            </w:r>
          </w:p>
        </w:tc>
        <w:tc>
          <w:tcPr>
            <w:tcW w:type="dxa" w:w="3135"/>
          </w:tcPr>
          <w:p>
            <w:pPr>
              <w:spacing w:line="240" w:lineRule="auto"/>
              <w:ind w:firstLine="0"/>
            </w:pPr>
            <w:r>
              <w:rPr>
                <w:rFonts w:ascii="Times New Roman" w:hAnsi="Times New Roman"/>
                <w:sz w:val="18"/>
              </w:rPr>
              <w:t>Testar igualdade e variação entre execuções</w:t>
            </w:r>
          </w:p>
        </w:tc>
      </w:tr>
      <w:tr>
        <w:tc>
          <w:tcPr>
            <w:tcW w:type="dxa" w:w="3135"/>
          </w:tcPr>
          <w:p>
            <w:pPr>
              <w:spacing w:line="240" w:lineRule="auto"/>
              <w:ind w:firstLine="0"/>
            </w:pPr>
            <w:r>
              <w:rPr>
                <w:rFonts w:ascii="Times New Roman" w:hAnsi="Times New Roman"/>
                <w:sz w:val="18"/>
              </w:rPr>
              <w:t>240 × velocidade_tempo para evento diário</w:t>
            </w:r>
          </w:p>
        </w:tc>
        <w:tc>
          <w:tcPr>
            <w:tcW w:type="dxa" w:w="3135"/>
          </w:tcPr>
          <w:p>
            <w:pPr>
              <w:spacing w:line="240" w:lineRule="auto"/>
              <w:ind w:firstLine="0"/>
            </w:pPr>
            <w:r>
              <w:rPr>
                <w:rFonts w:ascii="Times New Roman" w:hAnsi="Times New Roman"/>
                <w:sz w:val="18"/>
              </w:rPr>
              <w:t>Inconsistência potencial de escala temporal</w:t>
            </w:r>
          </w:p>
        </w:tc>
        <w:tc>
          <w:tcPr>
            <w:tcW w:type="dxa" w:w="3135"/>
          </w:tcPr>
          <w:p>
            <w:pPr>
              <w:spacing w:line="240" w:lineRule="auto"/>
              <w:ind w:firstLine="0"/>
            </w:pPr>
            <w:r>
              <w:rPr>
                <w:rFonts w:ascii="Times New Roman" w:hAnsi="Times New Roman"/>
                <w:sz w:val="18"/>
              </w:rPr>
              <w:t>Tabela de equivalência ciclo–hora–dia</w:t>
            </w:r>
          </w:p>
        </w:tc>
      </w:tr>
      <w:tr>
        <w:tc>
          <w:tcPr>
            <w:tcW w:type="dxa" w:w="3135"/>
          </w:tcPr>
          <w:p>
            <w:pPr>
              <w:spacing w:line="240" w:lineRule="auto"/>
              <w:ind w:firstLine="0"/>
            </w:pPr>
            <w:r>
              <w:rPr>
                <w:rFonts w:ascii="Times New Roman" w:hAnsi="Times New Roman"/>
                <w:sz w:val="18"/>
              </w:rPr>
              <w:t>Lote de 100 imaturos com teste apenas do limite inicial</w:t>
            </w:r>
          </w:p>
        </w:tc>
        <w:tc>
          <w:tcPr>
            <w:tcW w:type="dxa" w:w="3135"/>
          </w:tcPr>
          <w:p>
            <w:pPr>
              <w:spacing w:line="240" w:lineRule="auto"/>
              <w:ind w:firstLine="0"/>
            </w:pPr>
            <w:r>
              <w:rPr>
                <w:rFonts w:ascii="Times New Roman" w:hAnsi="Times New Roman"/>
                <w:sz w:val="18"/>
              </w:rPr>
              <w:t>Possível excesso de capacidade da poça</w:t>
            </w:r>
          </w:p>
        </w:tc>
        <w:tc>
          <w:tcPr>
            <w:tcW w:type="dxa" w:w="3135"/>
          </w:tcPr>
          <w:p>
            <w:pPr>
              <w:spacing w:line="240" w:lineRule="auto"/>
              <w:ind w:firstLine="0"/>
            </w:pPr>
            <w:r>
              <w:rPr>
                <w:rFonts w:ascii="Times New Roman" w:hAnsi="Times New Roman"/>
                <w:sz w:val="18"/>
              </w:rPr>
              <w:t>Teste com capacidade residual de 1 a 99</w:t>
            </w:r>
          </w:p>
        </w:tc>
      </w:tr>
      <w:tr>
        <w:tc>
          <w:tcPr>
            <w:tcW w:type="dxa" w:w="3135"/>
          </w:tcPr>
          <w:p>
            <w:pPr>
              <w:spacing w:line="240" w:lineRule="auto"/>
              <w:ind w:firstLine="0"/>
            </w:pPr>
            <w:r>
              <w:rPr>
                <w:rFonts w:ascii="Times New Roman" w:hAnsi="Times New Roman"/>
                <w:sz w:val="18"/>
              </w:rPr>
              <w:t>Distâncias 1.800 e 50.000 sem CRS documentado</w:t>
            </w:r>
          </w:p>
        </w:tc>
        <w:tc>
          <w:tcPr>
            <w:tcW w:type="dxa" w:w="3135"/>
          </w:tcPr>
          <w:p>
            <w:pPr>
              <w:spacing w:line="240" w:lineRule="auto"/>
              <w:ind w:firstLine="0"/>
            </w:pPr>
            <w:r>
              <w:rPr>
                <w:rFonts w:ascii="Times New Roman" w:hAnsi="Times New Roman"/>
                <w:sz w:val="18"/>
              </w:rPr>
              <w:t>Impossibilidade de interpretar alcances fisicamente</w:t>
            </w:r>
          </w:p>
        </w:tc>
        <w:tc>
          <w:tcPr>
            <w:tcW w:type="dxa" w:w="3135"/>
          </w:tcPr>
          <w:p>
            <w:pPr>
              <w:spacing w:line="240" w:lineRule="auto"/>
              <w:ind w:firstLine="0"/>
            </w:pPr>
            <w:r>
              <w:rPr>
                <w:rFonts w:ascii="Times New Roman" w:hAnsi="Times New Roman"/>
                <w:sz w:val="18"/>
              </w:rPr>
              <w:t>Documentar projeção e unidade espacial</w:t>
            </w:r>
          </w:p>
        </w:tc>
      </w:tr>
      <w:tr>
        <w:tc>
          <w:tcPr>
            <w:tcW w:type="dxa" w:w="3135"/>
          </w:tcPr>
          <w:p>
            <w:pPr>
              <w:spacing w:line="240" w:lineRule="auto"/>
              <w:ind w:firstLine="0"/>
            </w:pPr>
            <w:r>
              <w:rPr>
                <w:rFonts w:ascii="Times New Roman" w:hAnsi="Times New Roman"/>
                <w:sz w:val="18"/>
              </w:rPr>
              <w:t>População sintética de 1.191 pessoas</w:t>
            </w:r>
          </w:p>
        </w:tc>
        <w:tc>
          <w:tcPr>
            <w:tcW w:type="dxa" w:w="3135"/>
          </w:tcPr>
          <w:p>
            <w:pPr>
              <w:spacing w:line="240" w:lineRule="auto"/>
              <w:ind w:firstLine="0"/>
            </w:pPr>
            <w:r>
              <w:rPr>
                <w:rFonts w:ascii="Times New Roman" w:hAnsi="Times New Roman"/>
                <w:sz w:val="18"/>
              </w:rPr>
              <w:t>Resultados não equivalentes automaticamente à cidade real</w:t>
            </w:r>
          </w:p>
        </w:tc>
        <w:tc>
          <w:tcPr>
            <w:tcW w:type="dxa" w:w="3135"/>
          </w:tcPr>
          <w:p>
            <w:pPr>
              <w:spacing w:line="240" w:lineRule="auto"/>
              <w:ind w:firstLine="0"/>
            </w:pPr>
            <w:r>
              <w:rPr>
                <w:rFonts w:ascii="Times New Roman" w:hAnsi="Times New Roman"/>
                <w:sz w:val="18"/>
              </w:rPr>
              <w:t>Documentar escala, densidade e sensibilidade</w:t>
            </w:r>
          </w:p>
        </w:tc>
      </w:tr>
    </w:tbl>
    <w:p>
      <w:r>
        <w:t>Esses achados não são equivalentes a erros confirmados em execução; descrevem riscos, inconsistências textuais ou consequências possíveis da lógica examinada. A etapa seguinte deverá gerar evidências por meio de testes reproduzíveis e registros de execução, com identificação de versão e parâmetros.</w:t>
      </w:r>
    </w:p>
    <w:p>
      <w:pPr>
        <w:pStyle w:val="Heading2"/>
      </w:pPr>
      <w:r>
        <w:t>4.11 Configuração de experimentos em lote (batch)</w:t>
      </w:r>
    </w:p>
    <w:p>
      <w:pPr/>
      <w:r>
        <w:t>A versão pública de Main.gaml consultada em 30 de outubro de 2026 contém, além do experimento interativo MeuExperimento, quatro definições de experimentos do tipo batch. Na linguagem GAML, essas declarações especificam variações de parâmetros, números de repetições e condições de término. Sua existência no código comprova a configuração experimental, mas não a conclusão das execuções nem a integridade das saídas.</w:t>
      </w:r>
    </w:p>
    <w:p>
      <w:pPr/>
      <w:r>
        <w:t>Quadro 4.1 — Experimentos declarados em Main.gaml. Fonte: elaboração própria a partir de TccAbm (2026), Main.gaml, linhas 71–129.</w:t>
      </w:r>
    </w:p>
    <w:p>
      <w:pPr/>
      <w:r>
        <w:t>E03Variabilidade — repeat: 30; porcentagem_de_vacinados = 0; eficacia = 0; condição de término: cycle &gt;= 87600.</w:t>
      </w:r>
    </w:p>
    <w:p>
      <w:pPr/>
      <w:r>
        <w:t>E04Vacinacao — repeat: 30; porcentagem_de_vacinados de 0 a 100, passo 25; eficacia = 100; condição de término: cycle &gt;= 87600.</w:t>
      </w:r>
    </w:p>
    <w:p>
      <w:pPr/>
      <w:r>
        <w:t>E05PopulacaoVetorial — repeat: 30; quantidade_mosquito de 50 a 400, passo 50; vacinação desativada; condição de término: cycle &gt;= 87600.</w:t>
      </w:r>
    </w:p>
    <w:p>
      <w:pPr/>
      <w:r>
        <w:t>E07Escalabilidade — repeat: 1; quantidade_pessoas de 500 a 10.000, passo 500; quantidade_mosquito = 100; vacinação desativada; condição de término: cycle &gt;= 87600.</w:t>
      </w:r>
    </w:p>
    <w:p>
      <w:pPr/>
      <w:r>
        <w:t>Uma distinção arquitetural necessária é que o número de repetições indicado por repeat não substitui o registro de identificadores de execução e sementes efetivamente utilizadas. O experimento de escalabilidade tem apenas uma execução configurada por combinação; por isso, sua definição atual não basta para caracterizar estatisticamente a variabilidade do desempenho.</w:t>
      </w:r>
    </w:p>
    <w:p>
      <w:pPr>
        <w:pStyle w:val="Heading2"/>
      </w:pPr>
      <w:r>
        <w:t>4.12 Contrato entre parâmetros, inicialização e execução</w:t>
      </w:r>
    </w:p>
    <w:p>
      <w:pPr/>
      <w:r>
        <w:t>A configuração externa de um parâmetro só se torna efetiva se as rotinas de inicialização e atualização o consumirem. Em globals.gaml, embora quantidade_mosquito seja declarada com valor inicial 100 e variada no experimento E05PopulacaoVetorial, o bloco de inicialização continua utilizando create mosquito number: 100. Portanto, na leitura estática do código, não se identifica aplicação direta da variável quantidade_mosquito na criação inicial. A alteração da variável no batch não permite, por si só, afirmar que o número inicial de mosquitos mudou.</w:t>
      </w:r>
    </w:p>
    <w:p>
      <w:pPr/>
      <w:r>
        <w:t>O parâmetro seed é exposto no experimento gráfico, mas a rotina global init executa seed &lt;- 12345.0. Esta atribuição merece teste controlado, especialmente nas 30 replicações, para determinar como o mecanismo interno de sementes do GAMA e a atribuição no código interagem. Sem registrar a semente efetiva de cada execução, não é possível assegurar independência estatística nem reprodução exata dos resultados.</w:t>
      </w:r>
    </w:p>
    <w:p>
      <w:pPr/>
      <w:r>
        <w:t>O mecanismo temporal usa tempo_hora = 5 ciclos e tempo_dia = 24 × 5 = 120 ciclos. A atualização de hora ocorre a cada 5 ciclos, enquanto o evento diário usa 120 × velocidade_tempo ciclos. Assim, a compatibilidade entre hora, dia, velocidade_tempo e condição de término cycle &gt;= 87600 precisa ser verificada para cada cenário. Com velocidade_tempo = 1, 87.600/120 = 730 intervalos diários de 120 ciclos; a duração real da série registrada depende também da lógica de atualização do contador dia e dos demais eventos.</w:t>
      </w:r>
    </w:p>
    <w:p>
      <w:pPr>
        <w:pStyle w:val="Heading2"/>
      </w:pPr>
      <w:r>
        <w:t>4.13 Registro de resultados, rastreabilidade e requisitos de verificação</w:t>
      </w:r>
    </w:p>
    <w:p>
      <w:pPr/>
      <w:r>
        <w:t>A ação Relatorio grava 19 campos em resultados.csv: dia, chuva, temperatura, quatro indicadores humanos mais o total, três compartimentos vetoriais mais o total, e sete contadores de mortalidade. O cabeçalho é regravado na inicialização (rewrite: true), enquanto as linhas de resultado são acrescentadas posteriormente (rewrite: false). Este desenho fornece uma série temporal para uma execução, mas pode apagar registros anteriores e não inclui automaticamente o nome do experimento, a repetição, a semente, os parâmetros, o commit ou o tempo de processamento.</w:t>
      </w:r>
    </w:p>
    <w:p>
      <w:pPr/>
      <w:r>
        <w:t>A representação dos mosquitos utiliza contagens para estados 0, 1 e 2; entretanto, a inicialização executa estado &lt;- rnd(0,3), que também admite o valor 3. Além disso, a ação MudarEstado usa (estado + 1) mod 3. Estas construções exigem verificar os invariantes de contagem e as transições esperadas para a progressão vetorial antes de interpretar as séries epidemiológicas.</w:t>
      </w:r>
    </w:p>
    <w:p>
      <w:pPr/>
      <w:r>
        <w:t>Requisitos de verificação resultantes da auditoria estática: (a) assegurar que todas as entidades estejam em estados válidos e que a soma dos compartimentos corresponda aos totais; (b) comprovar que os parâmetros alterados pelo batch mudam o comportamento inicial ou dinâmico esperado; (c) guardar semente e identificador por réplica; (d) aferir a duração temporal real e a frequência de registro; (e) separar resultados por execução; (f) medir explicitamente tempo e memória para sustentar alegações de escalabilidade. A realização desses testes pertence à avaliação experimental do Capítulo 5.</w:t>
      </w:r>
    </w:p>
    <w:p>
      <w:pPr/>
      <w:r>
        <w:t>Versão consultada: branch main do repositório público TccAbm, em 30 de outubro de 2026. A inspeção foi estática, a partir dos arquivos Main.gaml, globals.gaml e Mosquito.gaml disponibilizados publicamente; não foi efetuada execução da plataforma GAMA nesta revisão.</w:t>
      </w:r>
    </w:p>
    <w:p>
      <w:pPr>
        <w:pStyle w:val="Heading2"/>
      </w:pPr>
      <w:r>
        <w:t>4.14 Síntese do capítulo</w:t>
      </w:r>
    </w:p>
    <w:p>
      <w:r>
        <w:t>A implementação examinada reúne módulos GAML, agentes humanos e vetoriais, dados GIS, estados imaturos, atualização ambiental e mecanismos de exportação. A versão mais recente acrescenta quatro experimentos batch. Sua descrição técnica, porém, revela contratos de parâmetros e invariantes epidemiológicos que demandam verificação funcional antes de interpretar resultados. A avaliação experimental correspondente será conduzida no Capítulo 5.</w:t>
      </w:r>
    </w:p>
    <w:p>
      <w:pPr>
        <w:pStyle w:val="Heading1"/>
      </w:pPr>
      <w:r>
        <w:t>REFERÊNCIAS DO CAPÍTULO</w:t>
      </w:r>
    </w:p>
    <w:p>
      <w:pPr>
        <w:spacing w:after="120"/>
        <w:ind w:firstLine="0"/>
      </w:pPr>
      <w:r>
        <w:t>TCCABM. TccAbm: código-fonte de simulador baseado em agentes. GitHub, 2026. Disponível em: https://github.com/hkioshi/TccAbm. Acesso em: 30 out. 2026.</w:t>
      </w:r>
    </w:p>
    <w:p>
      <w:pPr>
        <w:spacing w:after="120"/>
        <w:ind w:firstLine="0"/>
      </w:pPr>
      <w:r>
        <w:t>TAILLANDIER, Patrick et al. Building, composing and experimenting complex spatial models with the GAMA platform. GeoInformatica, v. 23, p. 299–322, 2019. DOI: 10.1007/s10707-018-00339-6.</w:t>
      </w:r>
    </w:p>
    <w:p>
      <w:pPr>
        <w:spacing w:after="120"/>
        <w:ind w:firstLine="0"/>
      </w:pPr>
      <w:r>
        <w:t>GRIMM, Volker et al. The ODD protocol for describing agent-based and other simulation models: a second update to improve clarity, replication, and structural realism. Journal of Artificial Societies and Social Simulation, v. 23, n. 2, art. 7, 2020. DOI: 10.18564/jasss.4259.</w:t>
      </w:r>
    </w:p>
    <w:sectPr w:rsidR="00FC693F" w:rsidRPr="0006063C" w:rsidSect="00034616">
      <w:footerReference w:type="default" r:id="rId10"/>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