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MODELAGEM COMPUTACIONAL E JUSTIFICATIVA DA PLATAFORMA</w:t>
      </w:r>
    </w:p>
    <w:p>
      <w:r>
        <w:t>Este capítulo estabelece a especificação computacional do simulador de transmissão da dengue aplicado ao município de São Paulo. O propósito não é repetir a fundamentação epidemiológica, mas transformá-la em requisitos, entidades, estados, regras, entradas e saídas verificáveis. Também apresenta os critérios utilizados para justificar a seleção da plataforma GAMA e dos recursos de Sistemas de Informação Geográfica (SIG ou GIS), confrontando-os com alternativas reconhecidas de modelagem baseada em agentes.</w:t>
      </w:r>
    </w:p>
    <w:p>
      <w:r>
        <w:t>A especificação distingue três níveis de evidência: regras desejadas do modelo conceitual; comportamentos reconhecidos nos arquivos públicos do projeto TccAbm; e procedimentos de avaliação ainda necessários. A presença de uma função no código não comprova sua execução correta, e saídas armazenadas não constituem, isoladamente, validação epidemiológica.</w:t>
      </w:r>
    </w:p>
    <w:p>
      <w:pPr>
        <w:pStyle w:val="Heading2"/>
      </w:pPr>
      <w:r>
        <w:t>3.1 Propósito, fronteira e requisitos da simulação</w:t>
      </w:r>
    </w:p>
    <w:p>
      <w:r>
        <w:t>O sistema investigado é uma simulação espacial e estocástica da interação entre pessoas, mosquitos Aedes aegypti e estruturas ambientais. O ambiente territorial corresponde ao município de São Paulo. A representação não pretende reproduzir um a um os habitantes reais: agentes sintéticos ocupam regiões do município conforme regras de inicialização e dados geográficos. Consequentemente, devem ser distinguidos o domínio espacial, a resolução das unidades cartográficas e o tamanho efetivo da população representada.</w:t>
      </w:r>
    </w:p>
    <w:p>
      <w:r>
        <w:t>O objetivo computacional é permitir observação, explicação e comparação de trajetórias simuladas sob alterações de parâmetros. A utilização epidemiológica é exploratória: padrões produzidos dependem de hipóteses, escalas, condições iniciais e algoritmos, não devendo ser interpretados como previsões de notificações oficiais sem calibração e validação independentes.</w:t>
      </w:r>
    </w:p>
    <w:p>
      <w:pPr>
        <w:ind w:firstLine="0"/>
        <w:jc w:val="center"/>
      </w:pPr>
      <w:r>
        <w:t>Quadro 4 — Requisitos computacionais e evidências esperadas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ind w:firstLine="0"/>
            </w:pPr>
            <w:r>
              <w:rPr>
                <w:rFonts w:ascii="Times New Roman" w:hAnsi="Times New Roman"/>
                <w:sz w:val="18"/>
              </w:rPr>
              <w:t>Código</w:t>
            </w:r>
          </w:p>
        </w:tc>
        <w:tc>
          <w:tcPr>
            <w:tcW w:type="dxa" w:w="3135"/>
          </w:tcPr>
          <w:p>
            <w:pPr>
              <w:spacing w:line="240" w:lineRule="auto"/>
              <w:ind w:firstLine="0"/>
            </w:pPr>
            <w:r>
              <w:rPr>
                <w:rFonts w:ascii="Times New Roman" w:hAnsi="Times New Roman"/>
                <w:sz w:val="18"/>
              </w:rPr>
              <w:t>Requisito</w:t>
            </w:r>
          </w:p>
        </w:tc>
        <w:tc>
          <w:tcPr>
            <w:tcW w:type="dxa" w:w="3135"/>
          </w:tcPr>
          <w:p>
            <w:pPr>
              <w:spacing w:line="240" w:lineRule="auto"/>
              <w:ind w:firstLine="0"/>
            </w:pPr>
            <w:r>
              <w:rPr>
                <w:rFonts w:ascii="Times New Roman" w:hAnsi="Times New Roman"/>
                <w:sz w:val="18"/>
              </w:rPr>
              <w:t>Evidência ou teste</w:t>
            </w:r>
          </w:p>
        </w:tc>
      </w:tr>
      <w:tr>
        <w:tc>
          <w:tcPr>
            <w:tcW w:type="dxa" w:w="3135"/>
          </w:tcPr>
          <w:p>
            <w:pPr>
              <w:spacing w:line="240" w:lineRule="auto"/>
              <w:ind w:firstLine="0"/>
            </w:pPr>
            <w:r>
              <w:rPr>
                <w:rFonts w:ascii="Times New Roman" w:hAnsi="Times New Roman"/>
                <w:sz w:val="18"/>
              </w:rPr>
              <w:t>R01</w:t>
            </w:r>
          </w:p>
        </w:tc>
        <w:tc>
          <w:tcPr>
            <w:tcW w:type="dxa" w:w="3135"/>
          </w:tcPr>
          <w:p>
            <w:pPr>
              <w:spacing w:line="240" w:lineRule="auto"/>
              <w:ind w:firstLine="0"/>
            </w:pPr>
            <w:r>
              <w:rPr>
                <w:rFonts w:ascii="Times New Roman" w:hAnsi="Times New Roman"/>
                <w:sz w:val="18"/>
              </w:rPr>
              <w:t>Criar e identificar diferentes espécies de agentes</w:t>
            </w:r>
          </w:p>
        </w:tc>
        <w:tc>
          <w:tcPr>
            <w:tcW w:type="dxa" w:w="3135"/>
          </w:tcPr>
          <w:p>
            <w:pPr>
              <w:spacing w:line="240" w:lineRule="auto"/>
              <w:ind w:firstLine="0"/>
            </w:pPr>
            <w:r>
              <w:rPr>
                <w:rFonts w:ascii="Times New Roman" w:hAnsi="Times New Roman"/>
                <w:sz w:val="18"/>
              </w:rPr>
              <w:t>Inspeção das species e testes de contagem</w:t>
            </w:r>
          </w:p>
        </w:tc>
      </w:tr>
      <w:tr>
        <w:tc>
          <w:tcPr>
            <w:tcW w:type="dxa" w:w="3135"/>
          </w:tcPr>
          <w:p>
            <w:pPr>
              <w:spacing w:line="240" w:lineRule="auto"/>
              <w:ind w:firstLine="0"/>
            </w:pPr>
            <w:r>
              <w:rPr>
                <w:rFonts w:ascii="Times New Roman" w:hAnsi="Times New Roman"/>
                <w:sz w:val="18"/>
              </w:rPr>
              <w:t>R02</w:t>
            </w:r>
          </w:p>
        </w:tc>
        <w:tc>
          <w:tcPr>
            <w:tcW w:type="dxa" w:w="3135"/>
          </w:tcPr>
          <w:p>
            <w:pPr>
              <w:spacing w:line="240" w:lineRule="auto"/>
              <w:ind w:firstLine="0"/>
            </w:pPr>
            <w:r>
              <w:rPr>
                <w:rFonts w:ascii="Times New Roman" w:hAnsi="Times New Roman"/>
                <w:sz w:val="18"/>
              </w:rPr>
              <w:t>Carregar unidades geográficas compatíveis com o município</w:t>
            </w:r>
          </w:p>
        </w:tc>
        <w:tc>
          <w:tcPr>
            <w:tcW w:type="dxa" w:w="3135"/>
          </w:tcPr>
          <w:p>
            <w:pPr>
              <w:spacing w:line="240" w:lineRule="auto"/>
              <w:ind w:firstLine="0"/>
            </w:pPr>
            <w:r>
              <w:rPr>
                <w:rFonts w:ascii="Times New Roman" w:hAnsi="Times New Roman"/>
                <w:sz w:val="18"/>
              </w:rPr>
              <w:t>Inventário de arquivos GIS, projeção e cobertura</w:t>
            </w:r>
          </w:p>
        </w:tc>
      </w:tr>
      <w:tr>
        <w:tc>
          <w:tcPr>
            <w:tcW w:type="dxa" w:w="3135"/>
          </w:tcPr>
          <w:p>
            <w:pPr>
              <w:spacing w:line="240" w:lineRule="auto"/>
              <w:ind w:firstLine="0"/>
            </w:pPr>
            <w:r>
              <w:rPr>
                <w:rFonts w:ascii="Times New Roman" w:hAnsi="Times New Roman"/>
                <w:sz w:val="18"/>
              </w:rPr>
              <w:t>R03</w:t>
            </w:r>
          </w:p>
        </w:tc>
        <w:tc>
          <w:tcPr>
            <w:tcW w:type="dxa" w:w="3135"/>
          </w:tcPr>
          <w:p>
            <w:pPr>
              <w:spacing w:line="240" w:lineRule="auto"/>
              <w:ind w:firstLine="0"/>
            </w:pPr>
            <w:r>
              <w:rPr>
                <w:rFonts w:ascii="Times New Roman" w:hAnsi="Times New Roman"/>
                <w:sz w:val="18"/>
              </w:rPr>
              <w:t>Definir transições epidemiológicas sem estados inválidos</w:t>
            </w:r>
          </w:p>
        </w:tc>
        <w:tc>
          <w:tcPr>
            <w:tcW w:type="dxa" w:w="3135"/>
          </w:tcPr>
          <w:p>
            <w:pPr>
              <w:spacing w:line="240" w:lineRule="auto"/>
              <w:ind w:firstLine="0"/>
            </w:pPr>
            <w:r>
              <w:rPr>
                <w:rFonts w:ascii="Times New Roman" w:hAnsi="Times New Roman"/>
                <w:sz w:val="18"/>
              </w:rPr>
              <w:t>Tabela de transições e testes de invariantes</w:t>
            </w:r>
          </w:p>
        </w:tc>
      </w:tr>
      <w:tr>
        <w:tc>
          <w:tcPr>
            <w:tcW w:type="dxa" w:w="3135"/>
          </w:tcPr>
          <w:p>
            <w:pPr>
              <w:spacing w:line="240" w:lineRule="auto"/>
              <w:ind w:firstLine="0"/>
            </w:pPr>
            <w:r>
              <w:rPr>
                <w:rFonts w:ascii="Times New Roman" w:hAnsi="Times New Roman"/>
                <w:sz w:val="18"/>
              </w:rPr>
              <w:t>R04</w:t>
            </w:r>
          </w:p>
        </w:tc>
        <w:tc>
          <w:tcPr>
            <w:tcW w:type="dxa" w:w="3135"/>
          </w:tcPr>
          <w:p>
            <w:pPr>
              <w:spacing w:line="240" w:lineRule="auto"/>
              <w:ind w:firstLine="0"/>
            </w:pPr>
            <w:r>
              <w:rPr>
                <w:rFonts w:ascii="Times New Roman" w:hAnsi="Times New Roman"/>
                <w:sz w:val="18"/>
              </w:rPr>
              <w:t>Implementar contatos espaciais e deslocamentos</w:t>
            </w:r>
          </w:p>
        </w:tc>
        <w:tc>
          <w:tcPr>
            <w:tcW w:type="dxa" w:w="3135"/>
          </w:tcPr>
          <w:p>
            <w:pPr>
              <w:spacing w:line="240" w:lineRule="auto"/>
              <w:ind w:firstLine="0"/>
            </w:pPr>
            <w:r>
              <w:rPr>
                <w:rFonts w:ascii="Times New Roman" w:hAnsi="Times New Roman"/>
                <w:sz w:val="18"/>
              </w:rPr>
              <w:t>Trajetórias e inspeção de distâncias</w:t>
            </w:r>
          </w:p>
        </w:tc>
      </w:tr>
      <w:tr>
        <w:tc>
          <w:tcPr>
            <w:tcW w:type="dxa" w:w="3135"/>
          </w:tcPr>
          <w:p>
            <w:pPr>
              <w:spacing w:line="240" w:lineRule="auto"/>
              <w:ind w:firstLine="0"/>
            </w:pPr>
            <w:r>
              <w:rPr>
                <w:rFonts w:ascii="Times New Roman" w:hAnsi="Times New Roman"/>
                <w:sz w:val="18"/>
              </w:rPr>
              <w:t>R05</w:t>
            </w:r>
          </w:p>
        </w:tc>
        <w:tc>
          <w:tcPr>
            <w:tcW w:type="dxa" w:w="3135"/>
          </w:tcPr>
          <w:p>
            <w:pPr>
              <w:spacing w:line="240" w:lineRule="auto"/>
              <w:ind w:firstLine="0"/>
            </w:pPr>
            <w:r>
              <w:rPr>
                <w:rFonts w:ascii="Times New Roman" w:hAnsi="Times New Roman"/>
                <w:sz w:val="18"/>
              </w:rPr>
              <w:t>Controlar tempo simulado e probabilidades</w:t>
            </w:r>
          </w:p>
        </w:tc>
        <w:tc>
          <w:tcPr>
            <w:tcW w:type="dxa" w:w="3135"/>
          </w:tcPr>
          <w:p>
            <w:pPr>
              <w:spacing w:line="240" w:lineRule="auto"/>
              <w:ind w:firstLine="0"/>
            </w:pPr>
            <w:r>
              <w:rPr>
                <w:rFonts w:ascii="Times New Roman" w:hAnsi="Times New Roman"/>
                <w:sz w:val="18"/>
              </w:rPr>
              <w:t>Rastreio dos ciclos e teste de frequência</w:t>
            </w:r>
          </w:p>
        </w:tc>
      </w:tr>
      <w:tr>
        <w:tc>
          <w:tcPr>
            <w:tcW w:type="dxa" w:w="3135"/>
          </w:tcPr>
          <w:p>
            <w:pPr>
              <w:spacing w:line="240" w:lineRule="auto"/>
              <w:ind w:firstLine="0"/>
            </w:pPr>
            <w:r>
              <w:rPr>
                <w:rFonts w:ascii="Times New Roman" w:hAnsi="Times New Roman"/>
                <w:sz w:val="18"/>
              </w:rPr>
              <w:t>R06</w:t>
            </w:r>
          </w:p>
        </w:tc>
        <w:tc>
          <w:tcPr>
            <w:tcW w:type="dxa" w:w="3135"/>
          </w:tcPr>
          <w:p>
            <w:pPr>
              <w:spacing w:line="240" w:lineRule="auto"/>
              <w:ind w:firstLine="0"/>
            </w:pPr>
            <w:r>
              <w:rPr>
                <w:rFonts w:ascii="Times New Roman" w:hAnsi="Times New Roman"/>
                <w:sz w:val="18"/>
              </w:rPr>
              <w:t>Registrar parâmetros, sementes e indicadores</w:t>
            </w:r>
          </w:p>
        </w:tc>
        <w:tc>
          <w:tcPr>
            <w:tcW w:type="dxa" w:w="3135"/>
          </w:tcPr>
          <w:p>
            <w:pPr>
              <w:spacing w:line="240" w:lineRule="auto"/>
              <w:ind w:firstLine="0"/>
            </w:pPr>
            <w:r>
              <w:rPr>
                <w:rFonts w:ascii="Times New Roman" w:hAnsi="Times New Roman"/>
                <w:sz w:val="18"/>
              </w:rPr>
              <w:t>Arquivos de saída e metadados da execução</w:t>
            </w:r>
          </w:p>
        </w:tc>
      </w:tr>
      <w:tr>
        <w:tc>
          <w:tcPr>
            <w:tcW w:type="dxa" w:w="3135"/>
          </w:tcPr>
          <w:p>
            <w:pPr>
              <w:spacing w:line="240" w:lineRule="auto"/>
              <w:ind w:firstLine="0"/>
            </w:pPr>
            <w:r>
              <w:rPr>
                <w:rFonts w:ascii="Times New Roman" w:hAnsi="Times New Roman"/>
                <w:sz w:val="18"/>
              </w:rPr>
              <w:t>R07</w:t>
            </w:r>
          </w:p>
        </w:tc>
        <w:tc>
          <w:tcPr>
            <w:tcW w:type="dxa" w:w="3135"/>
          </w:tcPr>
          <w:p>
            <w:pPr>
              <w:spacing w:line="240" w:lineRule="auto"/>
              <w:ind w:firstLine="0"/>
            </w:pPr>
            <w:r>
              <w:rPr>
                <w:rFonts w:ascii="Times New Roman" w:hAnsi="Times New Roman"/>
                <w:sz w:val="18"/>
              </w:rPr>
              <w:t>Viabilizar execuções comparáveis e aferir custo</w:t>
            </w:r>
          </w:p>
        </w:tc>
        <w:tc>
          <w:tcPr>
            <w:tcW w:type="dxa" w:w="3135"/>
          </w:tcPr>
          <w:p>
            <w:pPr>
              <w:spacing w:line="240" w:lineRule="auto"/>
              <w:ind w:firstLine="0"/>
            </w:pPr>
            <w:r>
              <w:rPr>
                <w:rFonts w:ascii="Times New Roman" w:hAnsi="Times New Roman"/>
                <w:sz w:val="18"/>
              </w:rPr>
              <w:t>Protocolos de repetição, tempo e memória</w:t>
            </w:r>
          </w:p>
        </w:tc>
      </w:tr>
    </w:tbl>
    <w:p>
      <w:pPr>
        <w:ind w:firstLine="0"/>
      </w:pPr>
      <w:r>
        <w:rPr>
          <w:sz w:val="20"/>
        </w:rPr>
        <w:t>Fonte: elaboração própria.</w:t>
      </w:r>
    </w:p>
    <w:p>
      <w:pPr>
        <w:pStyle w:val="Heading2"/>
      </w:pPr>
      <w:r>
        <w:t>3.2 Seleção do ambiente de desenvolvimento: GAMA com GIS</w:t>
      </w:r>
    </w:p>
    <w:p>
      <w:pPr>
        <w:pStyle w:val="Heading3"/>
      </w:pPr>
      <w:r>
        <w:t>3.2.1 Critérios de seleção</w:t>
      </w:r>
    </w:p>
    <w:p>
      <w:r>
        <w:t>A definição da ferramenta foi orientada pela compatibilidade com as características do problema: heterogeneidade de agentes; geometrias reais; proximidade e mobilidade; regras temporais e probabilísticas; visualização do estado do sistema; experimentos parametrizados; disponibilidade para uso acadêmico; e facilidade de registrar a implementação. Esses critérios dizem respeito à adequação funcional, e não à superioridade universal de uma linguagem ou plataforma.</w:t>
      </w:r>
    </w:p>
    <w:p>
      <w:r>
        <w:t>GAMA disponibiliza uma linguagem específica de modelagem, GAML, na qual elementos como global, species, init, reflex, action e experiment oferecem uma organização diretamente relacionada aos conceitos de modelos baseados em agentes. A plataforma possui orientação geoespacial e recursos para representar objetos e consultas no mesmo ambiente da simulação (TAILLANDIER et al., 2019). A documentação de experimentos em lote descreve mecanismos para explorar configurações de parâmetros e replicações com diferentes sementes (GAMA PLATFORM, s.d.).</w:t>
      </w:r>
    </w:p>
    <w:p>
      <w:pPr>
        <w:pStyle w:val="Heading3"/>
      </w:pPr>
      <w:r>
        <w:t>3.2.2 Alternativas consideradas</w:t>
      </w:r>
    </w:p>
    <w:p>
      <w:r>
        <w:t>NetLogo oferece um ambiente amplamente difundido para experimentação com agentes. Sua extensão GIS carrega dados vetoriais, incluindo Shapefile e GeoJSON, e grades raster, mediante transformação entre coordenadas geográficas e espaço do modelo. Portanto, seria incorreto dizer que NetLogo não trabalha com dados geográficos; a diferença pertinente é a forma de organizar a integração espacial e o fluxo de desenvolvimento.</w:t>
      </w:r>
    </w:p>
    <w:p>
      <w:r>
        <w:t>Mesa, em Python, permite estruturar agentes em um ecossistema de programação geral, enquanto Mesa-Geo oferece estruturas geográficas e integração com bibliotecas de análise espacial. Repast Simphony fornece recursos baseados em Java e objetos geográficos; AnyLogic permite combinar paradigmas de simulação e possui recursos de mapas e deslocamentos, sujeitos às funcionalidades e licenciamento da edição escolhida. Todas constituem alternativas tecnicamente plausíveis, mas exigiriam decisões distintas de implementação, dependências e documentação (NETLOGO, 2026; MESA, s.d.; MESA-GEO, s.d.; REPAST, s.d.; ANYLOGIC, s.d.).</w:t>
      </w:r>
    </w:p>
    <w:p>
      <w:pPr>
        <w:ind w:firstLine="0"/>
        <w:jc w:val="center"/>
      </w:pPr>
      <w:r>
        <w:t>Quadro 5 — Comparação qualitativa de plataformas para o projeto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ind w:firstLine="0"/>
            </w:pPr>
            <w:r>
              <w:rPr>
                <w:rFonts w:ascii="Times New Roman" w:hAnsi="Times New Roman"/>
                <w:sz w:val="18"/>
              </w:rPr>
              <w:t>Ferramenta</w:t>
            </w:r>
          </w:p>
        </w:tc>
        <w:tc>
          <w:tcPr>
            <w:tcW w:type="dxa" w:w="2351"/>
          </w:tcPr>
          <w:p>
            <w:pPr>
              <w:spacing w:line="240" w:lineRule="auto"/>
              <w:ind w:firstLine="0"/>
            </w:pPr>
            <w:r>
              <w:rPr>
                <w:rFonts w:ascii="Times New Roman" w:hAnsi="Times New Roman"/>
                <w:sz w:val="18"/>
              </w:rPr>
              <w:t>GIS e representação espacial</w:t>
            </w:r>
          </w:p>
        </w:tc>
        <w:tc>
          <w:tcPr>
            <w:tcW w:type="dxa" w:w="2351"/>
          </w:tcPr>
          <w:p>
            <w:pPr>
              <w:spacing w:line="240" w:lineRule="auto"/>
              <w:ind w:firstLine="0"/>
            </w:pPr>
            <w:r>
              <w:rPr>
                <w:rFonts w:ascii="Times New Roman" w:hAnsi="Times New Roman"/>
                <w:sz w:val="18"/>
              </w:rPr>
              <w:t>Programação e experimentos</w:t>
            </w:r>
          </w:p>
        </w:tc>
        <w:tc>
          <w:tcPr>
            <w:tcW w:type="dxa" w:w="2351"/>
          </w:tcPr>
          <w:p>
            <w:pPr>
              <w:spacing w:line="240" w:lineRule="auto"/>
              <w:ind w:firstLine="0"/>
            </w:pPr>
            <w:r>
              <w:rPr>
                <w:rFonts w:ascii="Times New Roman" w:hAnsi="Times New Roman"/>
                <w:sz w:val="18"/>
              </w:rPr>
              <w:t>Implicação para este estudo</w:t>
            </w:r>
          </w:p>
        </w:tc>
      </w:tr>
      <w:tr>
        <w:tc>
          <w:tcPr>
            <w:tcW w:type="dxa" w:w="2351"/>
          </w:tcPr>
          <w:p>
            <w:pPr>
              <w:spacing w:line="240" w:lineRule="auto"/>
              <w:ind w:firstLine="0"/>
            </w:pPr>
            <w:r>
              <w:rPr>
                <w:rFonts w:ascii="Times New Roman" w:hAnsi="Times New Roman"/>
                <w:sz w:val="18"/>
              </w:rPr>
              <w:t>GAMA</w:t>
            </w:r>
          </w:p>
        </w:tc>
        <w:tc>
          <w:tcPr>
            <w:tcW w:type="dxa" w:w="2351"/>
          </w:tcPr>
          <w:p>
            <w:pPr>
              <w:spacing w:line="240" w:lineRule="auto"/>
              <w:ind w:firstLine="0"/>
            </w:pPr>
            <w:r>
              <w:rPr>
                <w:rFonts w:ascii="Times New Roman" w:hAnsi="Times New Roman"/>
                <w:sz w:val="18"/>
              </w:rPr>
              <w:t>Integração geográfica no ambiente de simulação</w:t>
            </w:r>
          </w:p>
        </w:tc>
        <w:tc>
          <w:tcPr>
            <w:tcW w:type="dxa" w:w="2351"/>
          </w:tcPr>
          <w:p>
            <w:pPr>
              <w:spacing w:line="240" w:lineRule="auto"/>
              <w:ind w:firstLine="0"/>
            </w:pPr>
            <w:r>
              <w:rPr>
                <w:rFonts w:ascii="Times New Roman" w:hAnsi="Times New Roman"/>
                <w:sz w:val="18"/>
              </w:rPr>
              <w:t>GAML; experimentos gráficos e em lote</w:t>
            </w:r>
          </w:p>
        </w:tc>
        <w:tc>
          <w:tcPr>
            <w:tcW w:type="dxa" w:w="2351"/>
          </w:tcPr>
          <w:p>
            <w:pPr>
              <w:spacing w:line="240" w:lineRule="auto"/>
              <w:ind w:firstLine="0"/>
            </w:pPr>
            <w:r>
              <w:rPr>
                <w:rFonts w:ascii="Times New Roman" w:hAnsi="Times New Roman"/>
                <w:sz w:val="18"/>
              </w:rPr>
              <w:t>Alinhamento direto com o modelo geográfico já implementado</w:t>
            </w:r>
          </w:p>
        </w:tc>
      </w:tr>
      <w:tr>
        <w:tc>
          <w:tcPr>
            <w:tcW w:type="dxa" w:w="2351"/>
          </w:tcPr>
          <w:p>
            <w:pPr>
              <w:spacing w:line="240" w:lineRule="auto"/>
              <w:ind w:firstLine="0"/>
            </w:pPr>
            <w:r>
              <w:rPr>
                <w:rFonts w:ascii="Times New Roman" w:hAnsi="Times New Roman"/>
                <w:sz w:val="18"/>
              </w:rPr>
              <w:t>NetLogo</w:t>
            </w:r>
          </w:p>
        </w:tc>
        <w:tc>
          <w:tcPr>
            <w:tcW w:type="dxa" w:w="2351"/>
          </w:tcPr>
          <w:p>
            <w:pPr>
              <w:spacing w:line="240" w:lineRule="auto"/>
              <w:ind w:firstLine="0"/>
            </w:pPr>
            <w:r>
              <w:rPr>
                <w:rFonts w:ascii="Times New Roman" w:hAnsi="Times New Roman"/>
                <w:sz w:val="18"/>
              </w:rPr>
              <w:t>Extensão GIS, Shapefile, GeoJSON e raster</w:t>
            </w:r>
          </w:p>
        </w:tc>
        <w:tc>
          <w:tcPr>
            <w:tcW w:type="dxa" w:w="2351"/>
          </w:tcPr>
          <w:p>
            <w:pPr>
              <w:spacing w:line="240" w:lineRule="auto"/>
              <w:ind w:firstLine="0"/>
            </w:pPr>
            <w:r>
              <w:rPr>
                <w:rFonts w:ascii="Times New Roman" w:hAnsi="Times New Roman"/>
                <w:sz w:val="18"/>
              </w:rPr>
              <w:t>Linguagem NetLogo; BehaviorSpace</w:t>
            </w:r>
          </w:p>
        </w:tc>
        <w:tc>
          <w:tcPr>
            <w:tcW w:type="dxa" w:w="2351"/>
          </w:tcPr>
          <w:p>
            <w:pPr>
              <w:spacing w:line="240" w:lineRule="auto"/>
              <w:ind w:firstLine="0"/>
            </w:pPr>
            <w:r>
              <w:rPr>
                <w:rFonts w:ascii="Times New Roman" w:hAnsi="Times New Roman"/>
                <w:sz w:val="18"/>
              </w:rPr>
              <w:t>Alternativa didática; requer adequação da integração espacial</w:t>
            </w:r>
          </w:p>
        </w:tc>
      </w:tr>
      <w:tr>
        <w:tc>
          <w:tcPr>
            <w:tcW w:type="dxa" w:w="2351"/>
          </w:tcPr>
          <w:p>
            <w:pPr>
              <w:spacing w:line="240" w:lineRule="auto"/>
              <w:ind w:firstLine="0"/>
            </w:pPr>
            <w:r>
              <w:rPr>
                <w:rFonts w:ascii="Times New Roman" w:hAnsi="Times New Roman"/>
                <w:sz w:val="18"/>
              </w:rPr>
              <w:t>Mesa + Mesa-Geo</w:t>
            </w:r>
          </w:p>
        </w:tc>
        <w:tc>
          <w:tcPr>
            <w:tcW w:type="dxa" w:w="2351"/>
          </w:tcPr>
          <w:p>
            <w:pPr>
              <w:spacing w:line="240" w:lineRule="auto"/>
              <w:ind w:firstLine="0"/>
            </w:pPr>
            <w:r>
              <w:rPr>
                <w:rFonts w:ascii="Times New Roman" w:hAnsi="Times New Roman"/>
                <w:sz w:val="18"/>
              </w:rPr>
              <w:t>Agentes geográficos no ecossistema GeoPandas</w:t>
            </w:r>
          </w:p>
        </w:tc>
        <w:tc>
          <w:tcPr>
            <w:tcW w:type="dxa" w:w="2351"/>
          </w:tcPr>
          <w:p>
            <w:pPr>
              <w:spacing w:line="240" w:lineRule="auto"/>
              <w:ind w:firstLine="0"/>
            </w:pPr>
            <w:r>
              <w:rPr>
                <w:rFonts w:ascii="Times New Roman" w:hAnsi="Times New Roman"/>
                <w:sz w:val="18"/>
              </w:rPr>
              <w:t>Python e bibliotecas auxiliares</w:t>
            </w:r>
          </w:p>
        </w:tc>
        <w:tc>
          <w:tcPr>
            <w:tcW w:type="dxa" w:w="2351"/>
          </w:tcPr>
          <w:p>
            <w:pPr>
              <w:spacing w:line="240" w:lineRule="auto"/>
              <w:ind w:firstLine="0"/>
            </w:pPr>
            <w:r>
              <w:rPr>
                <w:rFonts w:ascii="Times New Roman" w:hAnsi="Times New Roman"/>
                <w:sz w:val="18"/>
              </w:rPr>
              <w:t>Flexibilidade e análise; mais decisões de integração</w:t>
            </w:r>
          </w:p>
        </w:tc>
      </w:tr>
      <w:tr>
        <w:tc>
          <w:tcPr>
            <w:tcW w:type="dxa" w:w="2351"/>
          </w:tcPr>
          <w:p>
            <w:pPr>
              <w:spacing w:line="240" w:lineRule="auto"/>
              <w:ind w:firstLine="0"/>
            </w:pPr>
            <w:r>
              <w:rPr>
                <w:rFonts w:ascii="Times New Roman" w:hAnsi="Times New Roman"/>
                <w:sz w:val="18"/>
              </w:rPr>
              <w:t>Repast Simphony</w:t>
            </w:r>
          </w:p>
        </w:tc>
        <w:tc>
          <w:tcPr>
            <w:tcW w:type="dxa" w:w="2351"/>
          </w:tcPr>
          <w:p>
            <w:pPr>
              <w:spacing w:line="240" w:lineRule="auto"/>
              <w:ind w:firstLine="0"/>
            </w:pPr>
            <w:r>
              <w:rPr>
                <w:rFonts w:ascii="Times New Roman" w:hAnsi="Times New Roman"/>
                <w:sz w:val="18"/>
              </w:rPr>
              <w:t>Representação geográfica no ecossistema Java</w:t>
            </w:r>
          </w:p>
        </w:tc>
        <w:tc>
          <w:tcPr>
            <w:tcW w:type="dxa" w:w="2351"/>
          </w:tcPr>
          <w:p>
            <w:pPr>
              <w:spacing w:line="240" w:lineRule="auto"/>
              <w:ind w:firstLine="0"/>
            </w:pPr>
            <w:r>
              <w:rPr>
                <w:rFonts w:ascii="Times New Roman" w:hAnsi="Times New Roman"/>
                <w:sz w:val="18"/>
              </w:rPr>
              <w:t>Java e framework de simulação</w:t>
            </w:r>
          </w:p>
        </w:tc>
        <w:tc>
          <w:tcPr>
            <w:tcW w:type="dxa" w:w="2351"/>
          </w:tcPr>
          <w:p>
            <w:pPr>
              <w:spacing w:line="240" w:lineRule="auto"/>
              <w:ind w:firstLine="0"/>
            </w:pPr>
            <w:r>
              <w:rPr>
                <w:rFonts w:ascii="Times New Roman" w:hAnsi="Times New Roman"/>
                <w:sz w:val="18"/>
              </w:rPr>
              <w:t>Alternativa de engenharia com curva própria</w:t>
            </w:r>
          </w:p>
        </w:tc>
      </w:tr>
      <w:tr>
        <w:tc>
          <w:tcPr>
            <w:tcW w:type="dxa" w:w="2351"/>
          </w:tcPr>
          <w:p>
            <w:pPr>
              <w:spacing w:line="240" w:lineRule="auto"/>
              <w:ind w:firstLine="0"/>
            </w:pPr>
            <w:r>
              <w:rPr>
                <w:rFonts w:ascii="Times New Roman" w:hAnsi="Times New Roman"/>
                <w:sz w:val="18"/>
              </w:rPr>
              <w:t>AnyLogic</w:t>
            </w:r>
          </w:p>
        </w:tc>
        <w:tc>
          <w:tcPr>
            <w:tcW w:type="dxa" w:w="2351"/>
          </w:tcPr>
          <w:p>
            <w:pPr>
              <w:spacing w:line="240" w:lineRule="auto"/>
              <w:ind w:firstLine="0"/>
            </w:pPr>
            <w:r>
              <w:rPr>
                <w:rFonts w:ascii="Times New Roman" w:hAnsi="Times New Roman"/>
                <w:sz w:val="18"/>
              </w:rPr>
              <w:t>GIS e roteamento conforme recursos disponíveis</w:t>
            </w:r>
          </w:p>
        </w:tc>
        <w:tc>
          <w:tcPr>
            <w:tcW w:type="dxa" w:w="2351"/>
          </w:tcPr>
          <w:p>
            <w:pPr>
              <w:spacing w:line="240" w:lineRule="auto"/>
              <w:ind w:firstLine="0"/>
            </w:pPr>
            <w:r>
              <w:rPr>
                <w:rFonts w:ascii="Times New Roman" w:hAnsi="Times New Roman"/>
                <w:sz w:val="18"/>
              </w:rPr>
              <w:t>Modelagem gráfica e Java</w:t>
            </w:r>
          </w:p>
        </w:tc>
        <w:tc>
          <w:tcPr>
            <w:tcW w:type="dxa" w:w="2351"/>
          </w:tcPr>
          <w:p>
            <w:pPr>
              <w:spacing w:line="240" w:lineRule="auto"/>
              <w:ind w:firstLine="0"/>
            </w:pPr>
            <w:r>
              <w:rPr>
                <w:rFonts w:ascii="Times New Roman" w:hAnsi="Times New Roman"/>
                <w:sz w:val="18"/>
              </w:rPr>
              <w:t>Opção híbrida; avaliar limites de licença/edição</w:t>
            </w:r>
          </w:p>
        </w:tc>
      </w:tr>
    </w:tbl>
    <w:p>
      <w:pPr>
        <w:ind w:firstLine="0"/>
      </w:pPr>
      <w:r>
        <w:rPr>
          <w:sz w:val="20"/>
        </w:rPr>
        <w:t>Fonte: elaboração própria, com base nas documentações das plataformas; comparação funcional, não benchmark.</w:t>
      </w:r>
    </w:p>
    <w:p>
      <w:pPr>
        <w:pStyle w:val="Heading3"/>
      </w:pPr>
      <w:r>
        <w:t>3.2.3 Justificativa da adoção e limitações</w:t>
      </w:r>
    </w:p>
    <w:p>
      <w:r>
        <w:t>A adoção de GAMA com GIS mostrou-se coerente com a necessidade de reunir no mesmo modelo agentes humanos, mosquitos e entidades territoriais, cuja localização deve participar das operações de inicialização, movimento e contato. O repositório analisado apresenta arquivos GAML separados e um ponto de entrada Main.gaml, além de carregar camadas geográficas, constituindo evidência prática de que essa tecnologia corresponde à arquitetura escolhida no projeto (HKIOSHI, s.d.).</w:t>
      </w:r>
    </w:p>
    <w:p>
      <w:r>
        <w:t>Os dados GIS não são um programa independente que “executa” a simulação. Eles fornecem geometrias, atributos e relações espaciais; GAMA usa essas informações para instanciar entidades e calcular interações. O funcionamento depende da qualidade das camadas, da adequação do sistema de coordenadas, dos parâmetros de distância e do custo de processamento. Sem implementação equivalente nas alternativas, não se conclui que GAMA seja mais veloz ou precise de menos memória.</w:t>
      </w:r>
    </w:p>
    <w:p>
      <w:pPr>
        <w:pStyle w:val="Heading3"/>
      </w:pPr>
      <w:r>
        <w:t>3.2.4 Integração de dados GIS e níveis de representação espacial</w:t>
      </w:r>
    </w:p>
    <w:p>
      <w:pPr/>
      <w:r>
        <w:t>A escolha do GAMA também se fundamenta na integração de dados vetoriais com entidades e operações de simulação. Taillandier e Drogoul (2010) distinguem a importação de informações geográficas, o emprego de feições como suporte espacial e a agentificação das feições, pela qual cada objeto geográfico pode adquirir estados e comportamentos próprios. Tal distinção é importante para evitar a interpretação de qualquer camada vetorial carregada como uma população de agentes autônomos.</w:t>
      </w:r>
    </w:p>
    <w:p>
      <w:pPr/>
      <w:r>
        <w:t>Na aplicação ao município de São Paulo, a leitura de um shapefile e a organização espacial dos agentes constituem funcionalidades cuja implementação pode ser inspecionada no código. A classificação das unidades territoriais como agentes, por sua vez, exige verificar a criação de espécies e instâncias correspondentes e suas regras de execução. A utilização de regiões administrativas, geometria de referência e densidades sintéticas deve ser explicitada como escolha de modelagem, não como reprodução integral da população ou da transmissão real.</w:t>
      </w:r>
    </w:p>
    <w:p>
      <w:pPr/>
      <w:r>
        <w:t>A adequação espacial do simulador depende, adicionalmente, da consistência do sistema de coordenadas e das unidades utilizadas nas operações de proximidade. Por isso, o protocolo de verificação deverá conferir a correspondência entre os dados geográficos de entrada, a escala do mapa, as distâncias efetivamente calculadas e os limites do município. Operações de caminho mínimo e algoritmos de grafos citados na literatura sobre GAMA são possibilidades da plataforma; sua presença no modelo permanece condicionada a evidências no código-fonte.</w:t>
      </w:r>
    </w:p>
    <w:p>
      <w:pPr>
        <w:pStyle w:val="Heading2"/>
      </w:pPr>
      <w:r>
        <w:t>3.3 Delimitação territorial e representação espacial</w:t>
      </w:r>
    </w:p>
    <w:p>
      <w:r>
        <w:t>A área de estudo é o município de São Paulo. A divisão em Centro, Norte, Leste, Sul e Oeste aparece nas regras de inicialização previamente identificadas no código, enquanto o arquivo denominado subprefeitura_v2.shp fornece unidades geográficas ao modelo. Essas designações não devem ser confundidas sem conferir suas geometrias, extensão territorial, atributos e regras de associação. A existência de um Shapefile de subprefeituras não basta para demonstrar que a representação cobre adequadamente todos os distritos ou que as proporções populacionais estão atualizadas.</w:t>
      </w:r>
    </w:p>
    <w:p>
      <w:r>
        <w:t>A preparação da base requer documentar sua fonte, ano, sistema de referência de coordenadas (SRC), unidades de comprimento, consistência topológica, critérios de agregação territorial e tratamento de geometrias problemáticas. Caso as operações de distância utilizem coordenadas angulares em vez de métricas, um raio expresso no código não poderá ser interpretado diretamente em metros. Os critérios serão verificados na etapa de implementação e no protocolo experimental.</w:t>
      </w:r>
    </w:p>
    <w:p>
      <w:pPr>
        <w:pStyle w:val="Heading2"/>
      </w:pPr>
      <w:r>
        <w:t>3.4 Entidades, atributos e relações</w:t>
      </w:r>
    </w:p>
    <w:p>
      <w:r>
        <w:t>Os agentes humanos representam hospedeiros com localização, destino, estado epidemiológico, condição vacinal e rotinas. Os mosquitos representam vetores que podem movimentar-se, procurar humanos e participar de eventos probabilísticos de infecção. Elementos ambientais e criadouros fornecem suporte à dinâmica da população vetorial. O nível de individualização dos estágios imaturos deve ser descrito a partir do conteúdo efetivo dos módulos do repositório, sem assumir a existência de uma species para cada fase biológica.</w:t>
      </w:r>
    </w:p>
    <w:p>
      <w:pPr>
        <w:ind w:firstLine="0"/>
        <w:jc w:val="center"/>
      </w:pPr>
      <w:r>
        <w:t>Quadro 6 — Entidades e variáveis para a especificação</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40" w:lineRule="auto"/>
              <w:ind w:firstLine="0"/>
            </w:pPr>
            <w:r>
              <w:rPr>
                <w:rFonts w:ascii="Times New Roman" w:hAnsi="Times New Roman"/>
                <w:sz w:val="18"/>
              </w:rPr>
              <w:t>Entidade</w:t>
            </w:r>
          </w:p>
        </w:tc>
        <w:tc>
          <w:tcPr>
            <w:tcW w:type="dxa" w:w="3135"/>
          </w:tcPr>
          <w:p>
            <w:pPr>
              <w:spacing w:line="240" w:lineRule="auto"/>
              <w:ind w:firstLine="0"/>
            </w:pPr>
            <w:r>
              <w:rPr>
                <w:rFonts w:ascii="Times New Roman" w:hAnsi="Times New Roman"/>
                <w:sz w:val="18"/>
              </w:rPr>
              <w:t>Principais atributos / variáveis</w:t>
            </w:r>
          </w:p>
        </w:tc>
        <w:tc>
          <w:tcPr>
            <w:tcW w:type="dxa" w:w="3135"/>
          </w:tcPr>
          <w:p>
            <w:pPr>
              <w:spacing w:line="240" w:lineRule="auto"/>
              <w:ind w:firstLine="0"/>
            </w:pPr>
            <w:r>
              <w:rPr>
                <w:rFonts w:ascii="Times New Roman" w:hAnsi="Times New Roman"/>
                <w:sz w:val="18"/>
              </w:rPr>
              <w:t>Operações ou relações</w:t>
            </w:r>
          </w:p>
        </w:tc>
      </w:tr>
      <w:tr>
        <w:tc>
          <w:tcPr>
            <w:tcW w:type="dxa" w:w="3135"/>
          </w:tcPr>
          <w:p>
            <w:pPr>
              <w:spacing w:line="240" w:lineRule="auto"/>
              <w:ind w:firstLine="0"/>
            </w:pPr>
            <w:r>
              <w:rPr>
                <w:rFonts w:ascii="Times New Roman" w:hAnsi="Times New Roman"/>
                <w:sz w:val="18"/>
              </w:rPr>
              <w:t>Humano</w:t>
            </w:r>
          </w:p>
        </w:tc>
        <w:tc>
          <w:tcPr>
            <w:tcW w:type="dxa" w:w="3135"/>
          </w:tcPr>
          <w:p>
            <w:pPr>
              <w:spacing w:line="240" w:lineRule="auto"/>
              <w:ind w:firstLine="0"/>
            </w:pPr>
            <w:r>
              <w:rPr>
                <w:rFonts w:ascii="Times New Roman" w:hAnsi="Times New Roman"/>
                <w:sz w:val="18"/>
              </w:rPr>
              <w:t>Identificador; posição; residência e destino; estado; vacinação</w:t>
            </w:r>
          </w:p>
        </w:tc>
        <w:tc>
          <w:tcPr>
            <w:tcW w:type="dxa" w:w="3135"/>
          </w:tcPr>
          <w:p>
            <w:pPr>
              <w:spacing w:line="240" w:lineRule="auto"/>
              <w:ind w:firstLine="0"/>
            </w:pPr>
            <w:r>
              <w:rPr>
                <w:rFonts w:ascii="Times New Roman" w:hAnsi="Times New Roman"/>
                <w:sz w:val="18"/>
              </w:rPr>
              <w:t>Movimento, contato, progressão de estados</w:t>
            </w:r>
          </w:p>
        </w:tc>
      </w:tr>
      <w:tr>
        <w:tc>
          <w:tcPr>
            <w:tcW w:type="dxa" w:w="3135"/>
          </w:tcPr>
          <w:p>
            <w:pPr>
              <w:spacing w:line="240" w:lineRule="auto"/>
              <w:ind w:firstLine="0"/>
            </w:pPr>
            <w:r>
              <w:rPr>
                <w:rFonts w:ascii="Times New Roman" w:hAnsi="Times New Roman"/>
                <w:sz w:val="18"/>
              </w:rPr>
              <w:t>Mosquito</w:t>
            </w:r>
          </w:p>
        </w:tc>
        <w:tc>
          <w:tcPr>
            <w:tcW w:type="dxa" w:w="3135"/>
          </w:tcPr>
          <w:p>
            <w:pPr>
              <w:spacing w:line="240" w:lineRule="auto"/>
              <w:ind w:firstLine="0"/>
            </w:pPr>
            <w:r>
              <w:rPr>
                <w:rFonts w:ascii="Times New Roman" w:hAnsi="Times New Roman"/>
                <w:sz w:val="18"/>
              </w:rPr>
              <w:t>Posição; idade; estado; parâmetros de picada</w:t>
            </w:r>
          </w:p>
        </w:tc>
        <w:tc>
          <w:tcPr>
            <w:tcW w:type="dxa" w:w="3135"/>
          </w:tcPr>
          <w:p>
            <w:pPr>
              <w:spacing w:line="240" w:lineRule="auto"/>
              <w:ind w:firstLine="0"/>
            </w:pPr>
            <w:r>
              <w:rPr>
                <w:rFonts w:ascii="Times New Roman" w:hAnsi="Times New Roman"/>
                <w:sz w:val="18"/>
              </w:rPr>
              <w:t>Movimento, picada, infecção, mortalidade</w:t>
            </w:r>
          </w:p>
        </w:tc>
      </w:tr>
      <w:tr>
        <w:tc>
          <w:tcPr>
            <w:tcW w:type="dxa" w:w="3135"/>
          </w:tcPr>
          <w:p>
            <w:pPr>
              <w:spacing w:line="240" w:lineRule="auto"/>
              <w:ind w:firstLine="0"/>
            </w:pPr>
            <w:r>
              <w:rPr>
                <w:rFonts w:ascii="Times New Roman" w:hAnsi="Times New Roman"/>
                <w:sz w:val="18"/>
              </w:rPr>
              <w:t>Criador/poça</w:t>
            </w:r>
          </w:p>
        </w:tc>
        <w:tc>
          <w:tcPr>
            <w:tcW w:type="dxa" w:w="3135"/>
          </w:tcPr>
          <w:p>
            <w:pPr>
              <w:spacing w:line="240" w:lineRule="auto"/>
              <w:ind w:firstLine="0"/>
            </w:pPr>
            <w:r>
              <w:rPr>
                <w:rFonts w:ascii="Times New Roman" w:hAnsi="Times New Roman"/>
                <w:sz w:val="18"/>
              </w:rPr>
              <w:t>Geometria ou posição; água; capacidade</w:t>
            </w:r>
          </w:p>
        </w:tc>
        <w:tc>
          <w:tcPr>
            <w:tcW w:type="dxa" w:w="3135"/>
          </w:tcPr>
          <w:p>
            <w:pPr>
              <w:spacing w:line="240" w:lineRule="auto"/>
              <w:ind w:firstLine="0"/>
            </w:pPr>
            <w:r>
              <w:rPr>
                <w:rFonts w:ascii="Times New Roman" w:hAnsi="Times New Roman"/>
                <w:sz w:val="18"/>
              </w:rPr>
              <w:t>Atualização ambiental e suporte à reprodução</w:t>
            </w:r>
          </w:p>
        </w:tc>
      </w:tr>
      <w:tr>
        <w:tc>
          <w:tcPr>
            <w:tcW w:type="dxa" w:w="3135"/>
          </w:tcPr>
          <w:p>
            <w:pPr>
              <w:spacing w:line="240" w:lineRule="auto"/>
              <w:ind w:firstLine="0"/>
            </w:pPr>
            <w:r>
              <w:rPr>
                <w:rFonts w:ascii="Times New Roman" w:hAnsi="Times New Roman"/>
                <w:sz w:val="18"/>
              </w:rPr>
              <w:t>Unidade territorial</w:t>
            </w:r>
          </w:p>
        </w:tc>
        <w:tc>
          <w:tcPr>
            <w:tcW w:type="dxa" w:w="3135"/>
          </w:tcPr>
          <w:p>
            <w:pPr>
              <w:spacing w:line="240" w:lineRule="auto"/>
              <w:ind w:firstLine="0"/>
            </w:pPr>
            <w:r>
              <w:rPr>
                <w:rFonts w:ascii="Times New Roman" w:hAnsi="Times New Roman"/>
                <w:sz w:val="18"/>
              </w:rPr>
              <w:t>Geometria; identificador; região; atributos</w:t>
            </w:r>
          </w:p>
        </w:tc>
        <w:tc>
          <w:tcPr>
            <w:tcW w:type="dxa" w:w="3135"/>
          </w:tcPr>
          <w:p>
            <w:pPr>
              <w:spacing w:line="240" w:lineRule="auto"/>
              <w:ind w:firstLine="0"/>
            </w:pPr>
            <w:r>
              <w:rPr>
                <w:rFonts w:ascii="Times New Roman" w:hAnsi="Times New Roman"/>
                <w:sz w:val="18"/>
              </w:rPr>
              <w:t>Pertencimento, distribuição inicial e consultas</w:t>
            </w:r>
          </w:p>
        </w:tc>
      </w:tr>
      <w:tr>
        <w:tc>
          <w:tcPr>
            <w:tcW w:type="dxa" w:w="3135"/>
          </w:tcPr>
          <w:p>
            <w:pPr>
              <w:spacing w:line="240" w:lineRule="auto"/>
              <w:ind w:firstLine="0"/>
            </w:pPr>
            <w:r>
              <w:rPr>
                <w:rFonts w:ascii="Times New Roman" w:hAnsi="Times New Roman"/>
                <w:sz w:val="18"/>
              </w:rPr>
              <w:t>Controlador global</w:t>
            </w:r>
          </w:p>
        </w:tc>
        <w:tc>
          <w:tcPr>
            <w:tcW w:type="dxa" w:w="3135"/>
          </w:tcPr>
          <w:p>
            <w:pPr>
              <w:spacing w:line="240" w:lineRule="auto"/>
              <w:ind w:firstLine="0"/>
            </w:pPr>
            <w:r>
              <w:rPr>
                <w:rFonts w:ascii="Times New Roman" w:hAnsi="Times New Roman"/>
                <w:sz w:val="18"/>
              </w:rPr>
              <w:t>Relógio; parâmetros; semente; contadores</w:t>
            </w:r>
          </w:p>
        </w:tc>
        <w:tc>
          <w:tcPr>
            <w:tcW w:type="dxa" w:w="3135"/>
          </w:tcPr>
          <w:p>
            <w:pPr>
              <w:spacing w:line="240" w:lineRule="auto"/>
              <w:ind w:firstLine="0"/>
            </w:pPr>
            <w:r>
              <w:rPr>
                <w:rFonts w:ascii="Times New Roman" w:hAnsi="Times New Roman"/>
                <w:sz w:val="18"/>
              </w:rPr>
              <w:t>Inicialização, eventos, exportação</w:t>
            </w:r>
          </w:p>
        </w:tc>
      </w:tr>
    </w:tbl>
    <w:p>
      <w:pPr>
        <w:ind w:firstLine="0"/>
      </w:pPr>
      <w:r>
        <w:rPr>
          <w:sz w:val="20"/>
        </w:rPr>
        <w:t>Fonte: elaboração própria.</w:t>
      </w:r>
    </w:p>
    <w:p>
      <w:r>
        <w:t>A expressão “criador/poça” neste quadro é uma classe conceitual: o identificador exato e a existência de objetos específicos devem ser confirmados no arquivo Poca.gaml. De modo semelhante, os atributos acima não são uma transcrição literal completa das variáveis; constituem o conjunto necessário à documentação funcional.</w:t>
      </w:r>
    </w:p>
    <w:p>
      <w:pPr>
        <w:pStyle w:val="Heading2"/>
      </w:pPr>
      <w:r>
        <w:t>3.5 Estados epidemiológicos e máquinas de estados</w:t>
      </w:r>
    </w:p>
    <w:p>
      <w:r>
        <w:t>A especificação de referência considera humanos com estados suscetível (S), exposto (E), infectante (I) e recuperado (R), e mosquitos adultos com estados suscetível (S), exposto (E) e infectante (I). A condição vacinal é independente do estado epidemiológico. As transições precisam corresponder a eventos explícitos; um contato isolado não implica transmissão, e a incubação não deve ser confundida com infectividade.</w:t>
      </w:r>
    </w:p>
    <w:p>
      <w:pPr>
        <w:ind w:firstLine="0"/>
        <w:jc w:val="center"/>
      </w:pPr>
      <w:r>
        <w:t>Humano: S → E → I → R</w:t>
      </w:r>
    </w:p>
    <w:p>
      <w:pPr>
        <w:ind w:firstLine="0"/>
        <w:jc w:val="center"/>
      </w:pPr>
      <w:r>
        <w:t>Mosquito: S → E → I  (com possibilidade de morte em qualquer estágio)</w:t>
      </w:r>
    </w:p>
    <w:p>
      <w:r>
        <w:t>Essa formulação representa o modelo conceitual adotado para análise, não uma certificação de correspondência integral com o código. A inspeção anterior identificou uso de rnd(0,3) na inicialização vetorial e uma operação de transição circular (estado + 1) mod 3. É necessário testar se essas rotinas introduzem estados não previstos ou permitem retorno inadequado do mosquito infectante ao estado suscetível. A seção de implementação deverá registrar literalmente as condições de cada transição, os períodos e os gatilhos temporais.</w:t>
      </w:r>
    </w:p>
    <w:p>
      <w:pPr>
        <w:pStyle w:val="Heading2"/>
      </w:pPr>
      <w:r>
        <w:t>3.6 Interações, transmissão e probabilidade</w:t>
      </w:r>
    </w:p>
    <w:p>
      <w:r>
        <w:t>Uma oportunidade de transmissão exige um mosquito e um humano elegíveis, proximidade espacial, ocorrência da picada e sucesso probabilístico de transmissão conforme a direção humano–mosquito ou mosquito–humano. Esses eventos devem ser especificados separadamente para distinguir frequência de contatos e probabilidade condicional de infecção. O tratamento da condição vacinal precisa indicar a variável de proteção e seu alvo: infecção, manifestação clínica ou gravidade.</w:t>
      </w:r>
    </w:p>
    <w:p>
      <w:pPr>
        <w:ind w:firstLine="0"/>
        <w:jc w:val="center"/>
      </w:pPr>
      <w:r>
        <w:t>P(infecção | contato elegível) = p_base × (1 − ε_inf)   [hipótese de redução por vacinação]</w:t>
      </w:r>
    </w:p>
    <w:p>
      <w:r>
        <w:t>A equação anterior é uma regra conceitual para proteção contra infecção e somente deve ser atribuída à implementação se sua lógica e parâmetros forem confirmados no código. Taxas definidas por dia não podem ser reaplicadas sem conversão em múltiplos ciclos subdiários; sob hipótese de risco exponencial constante, p(Δt) = 1 − exp(−λΔt). A adequação dessa hipótese depende do processo e do intervalo temporal representados.</w:t>
      </w:r>
    </w:p>
    <w:p>
      <w:pPr>
        <w:pStyle w:val="Heading2"/>
      </w:pPr>
      <w:r>
        <w:t>3.7 Mobilidade humana e consultas de vizinhança</w:t>
      </w:r>
    </w:p>
    <w:p>
      <w:r>
        <w:t>A modelagem da mobilidade diferencia decisão de destino e percurso realizado. As rotinas reconhecidas anteriormente em Pessoa.gaml contemplam janelas de saída de 5h a 8h e retorno de 16h a 19h, além de deslocamentos locais. A documentação definitiva deverá esclarecer seleção do destino, velocidades, uso de redes, restrições geográficas e o significado da unidade temporal. Atribuir viagens sem verificar a conectividade das vias pode gerar trajetórias irreais.</w:t>
      </w:r>
    </w:p>
    <w:p>
      <w:r>
        <w:t>As consultas de proximidade utilizadas em eventos de picada são particularmente sensíveis à resolução espacial e ao número de agentes. Se uma busca examinar indiscriminadamente todos os pares, seu custo potencial cresce como O(N_H × N_M). A existência de operações espaciais em GAML não dispensa medir seu custo real, que dependerá dos filtros usados, da distribuição dos agentes e das estruturas de indexação disponíveis.</w:t>
      </w:r>
    </w:p>
    <w:p>
      <w:pPr>
        <w:pStyle w:val="Heading2"/>
      </w:pPr>
      <w:r>
        <w:t>3.8 Ambiente, clima, desenvolvimento e reprodução vetorial</w:t>
      </w:r>
    </w:p>
    <w:p>
      <w:r>
        <w:t>O módulo Poca.gaml contém regras de atualização de poças em função de condições ambientais como chuva e temperatura, segundo a análise anterior do repositório. Para que essas relações sejam reprodutíveis, será preciso identificar parâmetros, unidades, frequência de atualização, fonte meteorológica e interação com os mecanismos de reprodução. Uma relação climática implementada como regra simplificada não constitui estimativa observacional direta de larvas ou mosquitos.</w:t>
      </w:r>
    </w:p>
    <w:p>
      <w:r>
        <w:t>A representação dos estágios imaturos exige verificar se ovos, larvas e pupas são agentes, grupos ou estados de uma mesma entidade. É metodologicamente preferível documentar a estrutura existente e explicitar simplificações do que descrever um ciclo detalhado que ainda não corresponda aos objetos GAML.</w:t>
      </w:r>
    </w:p>
    <w:p>
      <w:pPr>
        <w:pStyle w:val="Heading2"/>
      </w:pPr>
      <w:r>
        <w:t>3.9 Tempo, agendamento e aleatoriedade</w:t>
      </w:r>
    </w:p>
    <w:p>
      <w:r>
        <w:t>O simulador depende de um relógio global e de diferentes eventos programados. A análise anterior identificou atualizações de horário a cada dez ciclos e outra regra associada ao produto 240 × velocidade_tempo; a conversão desses elementos para horas e dias simulados precisa ser estabelecida a partir do código inteiro e verificada em execuções controladas. A ordem de movimento, picada, mortalidade, transmissão e atualização de estados também deverá ser explicitada, pois pode alterar os resultados.</w:t>
      </w:r>
    </w:p>
    <w:p>
      <w:r>
        <w:t>A reprodutibilidade deve registrar versão do código, versão do GAMA, arquivos GIS, parâmetros, configuração experimental e sementes. O repositório apresenta um parâmetro configurável de semente e também uma atribuição fixa de 12345.0 na inicialização. Antes de declarar que o parâmetro da interface controla a execução, é necessário verificar qual atribuição prevalece e como o gerador pseudoaleatório é inicializado.</w:t>
      </w:r>
    </w:p>
    <w:p>
      <w:pPr>
        <w:pStyle w:val="Heading2"/>
      </w:pPr>
      <w:r>
        <w:t>3.10 Inicialização, escalonamento populacional e dados de entrada</w:t>
      </w:r>
    </w:p>
    <w:p>
      <w:r>
        <w:t>A configuração examinada anteriormente define quantidade_pessoas igual a 1.191 e distribui agentes de acordo com regiões da cidade. O valor é quantidade de agentes sintéticos, não a população real de São Paulo. Uma simulação reduzida deve justificar pesos, densidades, formação de contatos e interpretação das contagens. Preservar apenas percentuais demográficos não demonstra equivalência epidemiológica entre a população sintética e a real.</w:t>
      </w:r>
    </w:p>
    <w:p>
      <w:r>
        <w:t>A matriz de entradas deve relacionar cada arquivo a sua finalidade: base territorial, atributos populacionais, parâmetros ambientais, valores de vacinação e configuração de cenários. Sempre que uma entrada representar hipótese experimental e não informação observada, isso será declarado explicitamente. Os arquivos externos precisam ser acompanhados de origem, licença, data e transformações, quando disponíveis.</w:t>
      </w:r>
    </w:p>
    <w:p>
      <w:pPr>
        <w:pStyle w:val="Heading2"/>
      </w:pPr>
      <w:r>
        <w:t>3.11 Saídas do modelo e indicadores</w:t>
      </w:r>
    </w:p>
    <w:p>
      <w:r>
        <w:t>As saídas incluem contagens por estado humano e vetorial, população total, mortes, tempo simulado e resultados persistidos em CSV, conforme as estruturas já encontradas no repositório. Antes de utilizá-las em gráficos epidemiológicos, será necessário verificar as identidades de contagem, a interpretação de cada coluna, a escala temporal e a consistência das unidades. Contagens de infecções simuladas não equivalem automaticamente a casos notificados nos sistemas de vigilância.</w:t>
      </w:r>
    </w:p>
    <w:p>
      <w:pPr>
        <w:ind w:firstLine="0"/>
        <w:jc w:val="center"/>
      </w:pPr>
      <w:r>
        <w:t>Quadro 7 — Verificações mínimas das saídas</w:t>
      </w:r>
    </w:p>
    <w:tbl>
      <w:tblPr>
        <w:tblStyle w:val="TableGrid"/>
        <w:tblW w:type="auto" w:w="0"/>
        <w:jc w:val="center"/>
        <w:tblLook w:firstColumn="1" w:firstRow="1" w:lastColumn="0" w:lastRow="0" w:noHBand="0" w:noVBand="1" w:val="04A0"/>
      </w:tblPr>
      <w:tblGrid>
        <w:gridCol w:w="4702"/>
        <w:gridCol w:w="4702"/>
      </w:tblGrid>
      <w:tr>
        <w:tc>
          <w:tcPr>
            <w:tcW w:type="dxa" w:w="4702"/>
          </w:tcPr>
          <w:p>
            <w:pPr>
              <w:spacing w:line="240" w:lineRule="auto"/>
              <w:ind w:firstLine="0"/>
            </w:pPr>
            <w:r>
              <w:rPr>
                <w:rFonts w:ascii="Times New Roman" w:hAnsi="Times New Roman"/>
                <w:sz w:val="18"/>
              </w:rPr>
              <w:t>Indicador</w:t>
            </w:r>
          </w:p>
        </w:tc>
        <w:tc>
          <w:tcPr>
            <w:tcW w:type="dxa" w:w="4702"/>
          </w:tcPr>
          <w:p>
            <w:pPr>
              <w:spacing w:line="240" w:lineRule="auto"/>
              <w:ind w:firstLine="0"/>
            </w:pPr>
            <w:r>
              <w:rPr>
                <w:rFonts w:ascii="Times New Roman" w:hAnsi="Times New Roman"/>
                <w:sz w:val="18"/>
              </w:rPr>
              <w:t>Checagem necessária</w:t>
            </w:r>
          </w:p>
        </w:tc>
      </w:tr>
      <w:tr>
        <w:tc>
          <w:tcPr>
            <w:tcW w:type="dxa" w:w="4702"/>
          </w:tcPr>
          <w:p>
            <w:pPr>
              <w:spacing w:line="240" w:lineRule="auto"/>
              <w:ind w:firstLine="0"/>
            </w:pPr>
            <w:r>
              <w:rPr>
                <w:rFonts w:ascii="Times New Roman" w:hAnsi="Times New Roman"/>
                <w:sz w:val="18"/>
              </w:rPr>
              <w:t>Estados humanos</w:t>
            </w:r>
          </w:p>
        </w:tc>
        <w:tc>
          <w:tcPr>
            <w:tcW w:type="dxa" w:w="4702"/>
          </w:tcPr>
          <w:p>
            <w:pPr>
              <w:spacing w:line="240" w:lineRule="auto"/>
              <w:ind w:firstLine="0"/>
            </w:pPr>
            <w:r>
              <w:rPr>
                <w:rFonts w:ascii="Times New Roman" w:hAnsi="Times New Roman"/>
                <w:sz w:val="18"/>
              </w:rPr>
              <w:t>S + E + I + R ≤ população humana total, com explicação para outras condições</w:t>
            </w:r>
          </w:p>
        </w:tc>
      </w:tr>
      <w:tr>
        <w:tc>
          <w:tcPr>
            <w:tcW w:type="dxa" w:w="4702"/>
          </w:tcPr>
          <w:p>
            <w:pPr>
              <w:spacing w:line="240" w:lineRule="auto"/>
              <w:ind w:firstLine="0"/>
            </w:pPr>
            <w:r>
              <w:rPr>
                <w:rFonts w:ascii="Times New Roman" w:hAnsi="Times New Roman"/>
                <w:sz w:val="18"/>
              </w:rPr>
              <w:t>Estados vetoriais</w:t>
            </w:r>
          </w:p>
        </w:tc>
        <w:tc>
          <w:tcPr>
            <w:tcW w:type="dxa" w:w="4702"/>
          </w:tcPr>
          <w:p>
            <w:pPr>
              <w:spacing w:line="240" w:lineRule="auto"/>
              <w:ind w:firstLine="0"/>
            </w:pPr>
            <w:r>
              <w:rPr>
                <w:rFonts w:ascii="Times New Roman" w:hAnsi="Times New Roman"/>
                <w:sz w:val="18"/>
              </w:rPr>
              <w:t>S + E + I = total vivo se os estados forem exaustivos</w:t>
            </w:r>
          </w:p>
        </w:tc>
      </w:tr>
      <w:tr>
        <w:tc>
          <w:tcPr>
            <w:tcW w:type="dxa" w:w="4702"/>
          </w:tcPr>
          <w:p>
            <w:pPr>
              <w:spacing w:line="240" w:lineRule="auto"/>
              <w:ind w:firstLine="0"/>
            </w:pPr>
            <w:r>
              <w:rPr>
                <w:rFonts w:ascii="Times New Roman" w:hAnsi="Times New Roman"/>
                <w:sz w:val="18"/>
              </w:rPr>
              <w:t>Mortes</w:t>
            </w:r>
          </w:p>
        </w:tc>
        <w:tc>
          <w:tcPr>
            <w:tcW w:type="dxa" w:w="4702"/>
          </w:tcPr>
          <w:p>
            <w:pPr>
              <w:spacing w:line="240" w:lineRule="auto"/>
              <w:ind w:firstLine="0"/>
            </w:pPr>
            <w:r>
              <w:rPr>
                <w:rFonts w:ascii="Times New Roman" w:hAnsi="Times New Roman"/>
                <w:sz w:val="18"/>
              </w:rPr>
              <w:t>Não negatividade, monotonicidade se o indicador for acumulado</w:t>
            </w:r>
          </w:p>
        </w:tc>
      </w:tr>
      <w:tr>
        <w:tc>
          <w:tcPr>
            <w:tcW w:type="dxa" w:w="4702"/>
          </w:tcPr>
          <w:p>
            <w:pPr>
              <w:spacing w:line="240" w:lineRule="auto"/>
              <w:ind w:firstLine="0"/>
            </w:pPr>
            <w:r>
              <w:rPr>
                <w:rFonts w:ascii="Times New Roman" w:hAnsi="Times New Roman"/>
                <w:sz w:val="18"/>
              </w:rPr>
              <w:t>Tempo</w:t>
            </w:r>
          </w:p>
        </w:tc>
        <w:tc>
          <w:tcPr>
            <w:tcW w:type="dxa" w:w="4702"/>
          </w:tcPr>
          <w:p>
            <w:pPr>
              <w:spacing w:line="240" w:lineRule="auto"/>
              <w:ind w:firstLine="0"/>
            </w:pPr>
            <w:r>
              <w:rPr>
                <w:rFonts w:ascii="Times New Roman" w:hAnsi="Times New Roman"/>
                <w:sz w:val="18"/>
              </w:rPr>
              <w:t>Intervalo entre linhas do CSV e correspondência com ciclos</w:t>
            </w:r>
          </w:p>
        </w:tc>
      </w:tr>
      <w:tr>
        <w:tc>
          <w:tcPr>
            <w:tcW w:type="dxa" w:w="4702"/>
          </w:tcPr>
          <w:p>
            <w:pPr>
              <w:spacing w:line="240" w:lineRule="auto"/>
              <w:ind w:firstLine="0"/>
            </w:pPr>
            <w:r>
              <w:rPr>
                <w:rFonts w:ascii="Times New Roman" w:hAnsi="Times New Roman"/>
                <w:sz w:val="18"/>
              </w:rPr>
              <w:t>Reprodutibilidade</w:t>
            </w:r>
          </w:p>
        </w:tc>
        <w:tc>
          <w:tcPr>
            <w:tcW w:type="dxa" w:w="4702"/>
          </w:tcPr>
          <w:p>
            <w:pPr>
              <w:spacing w:line="240" w:lineRule="auto"/>
              <w:ind w:firstLine="0"/>
            </w:pPr>
            <w:r>
              <w:rPr>
                <w:rFonts w:ascii="Times New Roman" w:hAnsi="Times New Roman"/>
                <w:sz w:val="18"/>
              </w:rPr>
              <w:t>Comparar resultados com parâmetros e sementes idênticos</w:t>
            </w:r>
          </w:p>
        </w:tc>
      </w:tr>
    </w:tbl>
    <w:p>
      <w:pPr>
        <w:ind w:firstLine="0"/>
      </w:pPr>
      <w:r>
        <w:rPr>
          <w:sz w:val="20"/>
        </w:rPr>
        <w:t>Fonte: elaboração própria.</w:t>
      </w:r>
    </w:p>
    <w:p>
      <w:pPr>
        <w:pStyle w:val="Heading2"/>
      </w:pPr>
      <w:r>
        <w:t>3.12 Hipóteses, limitações e rastreabilidade</w:t>
      </w:r>
    </w:p>
    <w:p>
      <w:r>
        <w:t>As principais simplificações identificadas ou previstas incluem uso de população sintética, representação limitada dos sorotipos, agregação espacial, probabilidades parametrizadas e critérios simplificados de deslocamento e condições ambientais. Cada hipótese deverá ser rastreável aos arquivos GAML, à literatura que a sustenta ou à declaração de que é uma opção experimental. Uma mesma variável pode ser biologicamente significativa e, ao mesmo tempo, insuficientemente fundamentada para uso preditivo.</w:t>
      </w:r>
    </w:p>
    <w:p>
      <w:r>
        <w:t>A análise crítica inicial ainda aponta possíveis fragilidades na inicialização de estados vetoriais, no calendário de eventos, na compatibilidade das unidades espaciais e no significado epidemiológico de algumas transições. Essas observações são hipóteses de defeito a confirmar em revisão e testes, não constatação de falha em todas as execuções. Os testes e resultados serão apresentados no Capítulo 5.</w:t>
      </w:r>
    </w:p>
    <w:p>
      <w:pPr>
        <w:pStyle w:val="Heading2"/>
      </w:pPr>
      <w:r>
        <w:t>3.13 Síntese do capítulo</w:t>
      </w:r>
    </w:p>
    <w:p>
      <w:r>
        <w:t>A escolha do GAMA com recursos GIS é sustentada por sua adequação à representação integrada de entidades, espaço e experimentação e pela correspondência com os módulos existentes no repositório. O modelo computacional foi apresentado em termos de entidades, estados, interações, entradas e saídas, mantendo separadas as regras desejadas e as evidências da implementação. O Capítulo 4 apresentará os componentes GAML com trechos de código rastreáveis, detalhará o agendamento e examinará a consistência das operações descritas.</w:t>
      </w:r>
    </w:p>
    <w:p>
      <w:pPr>
        <w:pStyle w:val="Heading1"/>
      </w:pPr>
      <w:r>
        <w:t>REFERÊNCIAS COMPLEMENTARES DO CAPÍTULO — LISTA DE TRABALHO</w:t>
      </w:r>
    </w:p>
    <w:p>
      <w:pPr>
        <w:spacing w:line="240" w:lineRule="auto" w:after="120"/>
        <w:ind w:firstLine="0"/>
      </w:pPr>
      <w:r>
        <w:t>ANYLOGIC. AnyLogic Help: GIS map and multimethod modeling. Disponível em: https://anylogic.help/. Acesso em: 26 out. 2026.</w:t>
      </w:r>
    </w:p>
    <w:p>
      <w:pPr>
        <w:spacing w:line="240" w:lineRule="auto" w:after="120"/>
        <w:ind w:firstLine="0"/>
      </w:pPr>
      <w:r>
        <w:t>GAMA PLATFORM. GAMA documentation: Defining batch experiments. Disponível em: https://gama-platform.org/. Acesso em: 26 out. 2026.</w:t>
      </w:r>
    </w:p>
    <w:p>
      <w:pPr>
        <w:spacing w:line="240" w:lineRule="auto" w:after="120"/>
        <w:ind w:firstLine="0"/>
      </w:pPr>
      <w:r>
        <w:t>HKIOSHI. TccAbm: repositório de código-fonte do simulador. GitHub, s.d. Disponível em: https://github.com/hkioshi/TccAbm. Acesso em: 26 out. 2026.</w:t>
      </w:r>
    </w:p>
    <w:p>
      <w:pPr>
        <w:spacing w:line="240" w:lineRule="auto" w:after="120"/>
        <w:ind w:firstLine="0"/>
      </w:pPr>
      <w:r>
        <w:t>MESA. Mesa: agent-based modeling in Python. Disponível em: https://mesa.readthedocs.io/. Acesso em: 26 out. 2026.</w:t>
      </w:r>
    </w:p>
    <w:p>
      <w:pPr>
        <w:spacing w:line="240" w:lineRule="auto" w:after="120"/>
        <w:ind w:firstLine="0"/>
      </w:pPr>
      <w:r>
        <w:t>MESA-GEO. Mesa-Geo: GIS extension for Mesa. Disponível em: https://mesa-geo.readthedocs.io/. Acesso em: 26 out. 2026.</w:t>
      </w:r>
    </w:p>
    <w:p>
      <w:pPr>
        <w:spacing w:line="240" w:lineRule="auto" w:after="120"/>
        <w:ind w:firstLine="0"/>
      </w:pPr>
      <w:r>
        <w:t>NETLOGO. GIS Extension — NetLogo User Manual. Disponível em: https://docs.netlogo.org/gis. Acesso em: 26 out. 2026.</w:t>
      </w:r>
    </w:p>
    <w:p>
      <w:pPr>
        <w:spacing w:line="240" w:lineRule="auto" w:after="120"/>
        <w:ind w:firstLine="0"/>
      </w:pPr>
      <w:r>
        <w:t>REPAST. Repast Simphony documentation. Disponível em: https://repast.github.io/. Acesso em: 26 out. 2026.</w:t>
      </w:r>
    </w:p>
    <w:p>
      <w:pPr>
        <w:spacing w:line="240" w:lineRule="auto" w:after="120"/>
        <w:ind w:firstLine="0"/>
      </w:pPr>
      <w:r>
        <w:t>TAILLANDIER, P. et al. Building, composing and experimenting complex spatial models with the GAMA platform. GeoInformatica, v. 23, p. 299–322, 2019. DOI: 10.1007/s10707-018-00339-6.</w:t>
      </w:r>
    </w:p>
    <w:p>
      <w:pPr>
        <w:spacing w:line="240" w:lineRule="auto" w:after="120"/>
        <w:ind w:firstLine="0"/>
      </w:pPr>
      <w:r>
        <w:t>GRIMM, V. et al. The ODD protocol for describing agent-based and other simulation models: a second update to improve clarity, replication, and structural realism. Journal of Artificial Societies and Social Simulation, v. 23, n. 2, art. 7, 2020. DOI: 10.18564/jasss.4259.</w:t>
      </w:r>
    </w:p>
    <w:p>
      <w:pPr/>
      <w:r>
        <w:t>TAILLANDIER, Patrick; DROGOUL, Alexis. From GIS data to GIS agents, modeling with the GAMA simulation platform. In: TECHNICAL FORUM GROUP ON AGENT AND MULTI-AGENT-BASED SIMULATION (TF-SIM), 1., 2010, Paris. [Trabalho apresentado]. 2010. Disponível em: https://www.irit.fr/TFGSIM/DOCS/PatrickTaillandier_GAMASimulationPlatform.pdf. Acesso em: 27 out. 2026.</w:t>
      </w:r>
    </w:p>
    <w:p>
      <w:r>
        <w:t>Nota editorial: referências em lista provisória; na versão final serão unificadas e normalizadas conforme a NBR 6023 e o manual institucional. O capítulo descreve especificação e análise documental; não atesta execução de testes ou validação clínica.</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