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VERIFICAÇÃO, EXPERIMENTAÇÃO, RESULTADOS E DISCUSSÃO</w:t>
      </w:r>
    </w:p>
    <w:p>
      <w:r>
        <w:t>Este capítulo examina as evidências experimentais atualmente disponíveis para o simulador baseado em agentes implementado na plataforma GAMA, cuja área geográfica de aplicação é o município de São Paulo. São examinadas saídas arquivadas no repositório TccAbm, definidos critérios de verificação da implementação e estabelecido um protocolo para a avaliação estocástica, epidemiológica e computacional. A análise diferencia expressamente os resultados observáveis no arquivo de saída, os procedimentos ainda não executados nesta revisão e as limitações que restringem inferências sobre o comportamento real da dengue.</w:t>
      </w:r>
    </w:p>
    <w:p>
      <w:pPr/>
      <w:r>
        <w:rPr>
          <w:b/>
        </w:rPr>
        <w:t xml:space="preserve">Escopo da revisão de 30 out. 2026. </w:t>
      </w:r>
      <w:r>
        <w:t>As afirmações sobre o estado recente do repositório referem-se ao commit f3b3a424; não houve execução local do simulador GAMA. O CSV examinado não informa a identidade das repetições e as figuras herdadas da revisão anterior mostram apenas um trecho histórico. Não se declaram testes aprovados ou cenários comparativos concluídos.</w:t>
      </w:r>
    </w:p>
    <w:p>
      <w:r>
        <w:t>A simples execução de um modelo não constitui demonstração de validade epidemiológica. Verificação significa examinar a correspondência entre código e especificação; validação investiga a adequação da representação ao fenômeno e aos propósitos definidos; calibração ajusta parâmetros com dados de referência; e avaliação de desempenho caracteriza o consumo de recursos computacionais. Essas atividades precisam ser documentadas separadamente (GRIMM et al., 2020; MACAL; NORTH, 2010).</w:t>
      </w:r>
    </w:p>
    <w:p>
      <w:pPr>
        <w:pStyle w:val="Heading1"/>
      </w:pPr>
      <w:r>
        <w:t>5.1 Fontes de evidência e rastreabilidade</w:t>
      </w:r>
    </w:p>
    <w:p>
      <w:r>
        <w:t>A fonte primária desta atualização é o arquivo resultados.csv no repositório público TccAbm, examinado na revisão de 30 out. 2026 e referenciado ao commit f3b3a42414129268888e2120a275b1bcd290d525. Essa versão contém 229 registros de dados e 19 colunas, incluindo dia, chuva, temperatura, contagens humanas, estados dos mosquitos e mortalidade. O nome do arquivo e a estrutura das colunas não identificam, por si mesmos, qual experimento produziu cada linha. A branch principal do repositório pode receber modificações posteriores: por isso, as constatações abaixo se referem ao instantâneo explicitamente identificado.</w:t>
      </w:r>
    </w:p>
    <w:p>
      <w:r>
        <w:t>O arquivo CSV, isoladamente, não informa o identificador exato do commit executado, a versão do GAMA, a semente efetivamente utilizada, as dependências ambientais, as opções do experimento, o hardware e as condições de coleta. Portanto, os resultados são tratados neste capítulo como saídas arquivadas e exploratórias, sem afirmar que tenham sido reproduzidos nesta análise.</w:t>
      </w:r>
    </w:p>
    <w:p>
      <w:pPr>
        <w:ind w:firstLine="0"/>
        <w:jc w:val="center"/>
      </w:pPr>
      <w:r>
        <w:rPr>
          <w:sz w:val="20"/>
        </w:rPr>
        <w:t>Quadro 5.1 — Fontes utilizadas e alcance de suas evidências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ind w:firstLine="0"/>
            </w:pPr>
            <w:r>
              <w:rPr>
                <w:sz w:val="18"/>
              </w:rPr>
              <w:t>Fonte</w:t>
            </w:r>
          </w:p>
        </w:tc>
        <w:tc>
          <w:tcPr>
            <w:tcW w:type="dxa" w:w="3135"/>
          </w:tcPr>
          <w:p>
            <w:pPr>
              <w:spacing w:line="240" w:lineRule="auto"/>
              <w:ind w:firstLine="0"/>
            </w:pPr>
            <w:r>
              <w:rPr>
                <w:sz w:val="18"/>
              </w:rPr>
              <w:t>Permite verificar</w:t>
            </w:r>
          </w:p>
        </w:tc>
        <w:tc>
          <w:tcPr>
            <w:tcW w:type="dxa" w:w="3135"/>
          </w:tcPr>
          <w:p>
            <w:pPr>
              <w:spacing w:line="240" w:lineRule="auto"/>
              <w:ind w:firstLine="0"/>
            </w:pPr>
            <w:r>
              <w:rPr>
                <w:sz w:val="18"/>
              </w:rPr>
              <w:t>Não demonstra isoladamente</w:t>
            </w:r>
          </w:p>
        </w:tc>
      </w:tr>
      <w:tr>
        <w:tc>
          <w:tcPr>
            <w:tcW w:type="dxa" w:w="3135"/>
          </w:tcPr>
          <w:p>
            <w:pPr>
              <w:spacing w:line="240" w:lineRule="auto"/>
              <w:ind w:firstLine="0"/>
            </w:pPr>
            <w:r>
              <w:rPr>
                <w:sz w:val="18"/>
              </w:rPr>
              <w:t>Código GAML no GitHub</w:t>
            </w:r>
          </w:p>
        </w:tc>
        <w:tc>
          <w:tcPr>
            <w:tcW w:type="dxa" w:w="3135"/>
          </w:tcPr>
          <w:p>
            <w:pPr>
              <w:spacing w:line="240" w:lineRule="auto"/>
              <w:ind w:firstLine="0"/>
            </w:pPr>
            <w:r>
              <w:rPr>
                <w:sz w:val="18"/>
              </w:rPr>
              <w:t>Regras e organização da implementação</w:t>
            </w:r>
          </w:p>
        </w:tc>
        <w:tc>
          <w:tcPr>
            <w:tcW w:type="dxa" w:w="3135"/>
          </w:tcPr>
          <w:p>
            <w:pPr>
              <w:spacing w:line="240" w:lineRule="auto"/>
              <w:ind w:firstLine="0"/>
            </w:pPr>
            <w:r>
              <w:rPr>
                <w:sz w:val="18"/>
              </w:rPr>
              <w:t>Execução correta ou validade biológica</w:t>
            </w:r>
          </w:p>
        </w:tc>
      </w:tr>
      <w:tr>
        <w:tc>
          <w:tcPr>
            <w:tcW w:type="dxa" w:w="3135"/>
          </w:tcPr>
          <w:p>
            <w:pPr>
              <w:spacing w:line="240" w:lineRule="auto"/>
              <w:ind w:firstLine="0"/>
            </w:pPr>
            <w:r>
              <w:rPr>
                <w:sz w:val="18"/>
              </w:rPr>
              <w:t>resultados.csv</w:t>
            </w:r>
          </w:p>
        </w:tc>
        <w:tc>
          <w:tcPr>
            <w:tcW w:type="dxa" w:w="3135"/>
          </w:tcPr>
          <w:p>
            <w:pPr>
              <w:spacing w:line="240" w:lineRule="auto"/>
              <w:ind w:firstLine="0"/>
            </w:pPr>
            <w:r>
              <w:rPr>
                <w:sz w:val="18"/>
              </w:rPr>
              <w:t>Séries numéricas e verificações aritméticas</w:t>
            </w:r>
          </w:p>
        </w:tc>
        <w:tc>
          <w:tcPr>
            <w:tcW w:type="dxa" w:w="3135"/>
          </w:tcPr>
          <w:p>
            <w:pPr>
              <w:spacing w:line="240" w:lineRule="auto"/>
              <w:ind w:firstLine="0"/>
            </w:pPr>
            <w:r>
              <w:rPr>
                <w:sz w:val="18"/>
              </w:rPr>
              <w:t>Identificação da execução, replicações ou calibração</w:t>
            </w:r>
          </w:p>
        </w:tc>
      </w:tr>
      <w:tr>
        <w:tc>
          <w:tcPr>
            <w:tcW w:type="dxa" w:w="3135"/>
          </w:tcPr>
          <w:p>
            <w:pPr>
              <w:spacing w:line="240" w:lineRule="auto"/>
              <w:ind w:firstLine="0"/>
            </w:pPr>
            <w:r>
              <w:rPr>
                <w:sz w:val="18"/>
              </w:rPr>
              <w:t>Garcias (2024); Oliveira et al. (2025)</w:t>
            </w:r>
          </w:p>
        </w:tc>
        <w:tc>
          <w:tcPr>
            <w:tcW w:type="dxa" w:w="3135"/>
          </w:tcPr>
          <w:p>
            <w:pPr>
              <w:spacing w:line="240" w:lineRule="auto"/>
              <w:ind w:firstLine="0"/>
            </w:pPr>
            <w:r>
              <w:rPr>
                <w:sz w:val="18"/>
              </w:rPr>
              <w:t>Abordagens e experimentos de referência</w:t>
            </w:r>
          </w:p>
        </w:tc>
        <w:tc>
          <w:tcPr>
            <w:tcW w:type="dxa" w:w="3135"/>
          </w:tcPr>
          <w:p>
            <w:pPr>
              <w:spacing w:line="240" w:lineRule="auto"/>
              <w:ind w:firstLine="0"/>
            </w:pPr>
            <w:r>
              <w:rPr>
                <w:sz w:val="18"/>
              </w:rPr>
              <w:t>Resultados obtidos pelo simulador de São Paulo</w:t>
            </w:r>
          </w:p>
        </w:tc>
      </w:tr>
      <w:tr>
        <w:tc>
          <w:tcPr>
            <w:tcW w:type="dxa" w:w="3135"/>
          </w:tcPr>
          <w:p>
            <w:pPr>
              <w:spacing w:line="240" w:lineRule="auto"/>
              <w:ind w:firstLine="0"/>
            </w:pPr>
            <w:r>
              <w:rPr>
                <w:sz w:val="18"/>
              </w:rPr>
              <w:t>Bases públicas de vigilância (a selecionar)</w:t>
            </w:r>
          </w:p>
        </w:tc>
        <w:tc>
          <w:tcPr>
            <w:tcW w:type="dxa" w:w="3135"/>
          </w:tcPr>
          <w:p>
            <w:pPr>
              <w:spacing w:line="240" w:lineRule="auto"/>
              <w:ind w:firstLine="0"/>
            </w:pPr>
            <w:r>
              <w:rPr>
                <w:sz w:val="18"/>
              </w:rPr>
              <w:t>Observações da dengue em São Paulo</w:t>
            </w:r>
          </w:p>
        </w:tc>
        <w:tc>
          <w:tcPr>
            <w:tcW w:type="dxa" w:w="3135"/>
          </w:tcPr>
          <w:p>
            <w:pPr>
              <w:spacing w:line="240" w:lineRule="auto"/>
              <w:ind w:firstLine="0"/>
            </w:pPr>
            <w:r>
              <w:rPr>
                <w:sz w:val="18"/>
              </w:rPr>
              <w:t>Equivalência direta com infecções simuladas</w:t>
            </w:r>
          </w:p>
        </w:tc>
      </w:tr>
    </w:tbl>
    <w:p>
      <w:pPr>
        <w:ind w:firstLine="0"/>
        <w:jc w:val="center"/>
      </w:pPr>
      <w:r>
        <w:rPr>
          <w:sz w:val="20"/>
        </w:rPr>
        <w:t>Fonte: elaboração própria (2026).</w:t>
      </w:r>
    </w:p>
    <w:p>
      <w:pPr>
        <w:pStyle w:val="Heading1"/>
      </w:pPr>
      <w:r>
        <w:t>5.2 Configuração da execução e limites das informações disponíveis</w:t>
      </w:r>
    </w:p>
    <w:p>
      <w:r>
        <w:t>No primeiro registro do CSV analisado, observam-se 1.191 agentes humanos e 100 mosquitos. As contagens humanas são 1.189 suscetíveis, 2 expostos, 0 infectados e 0 recuperados, o que totaliza 1.191. Já as contagens de mosquitos são 28 suscetíveis, 29 expostos e 21 infectados, totalizando 78, e não os 100 indicados na coluna mosquitos_total. Trata-se de divergência verificável entre indicadores exportados, que exige auditoria do estado inicial e da lógica de contabilização.</w:t>
      </w:r>
    </w:p>
    <w:p>
      <w:r>
        <w:t>Embora o CSV apresente 229 linhas de dados, a coluna dia não constitui um identificador inequívoco de execução: após o registro de dia 30, a numeração retorna para 1. Sem identificador de execução, semente e cenário, não é possível afirmar quantas execuções independentes estão contidas no arquivo, nem usar suas linhas como uma única série cronológica contínua. Antes da análise estatística, o CSV deve ser segmentado e vinculado a metadados de execução.</w:t>
      </w:r>
    </w:p>
    <w:p>
      <w:pPr>
        <w:ind w:firstLine="0"/>
        <w:jc w:val="center"/>
      </w:pPr>
      <w:r>
        <w:rPr>
          <w:sz w:val="20"/>
        </w:rPr>
        <w:t>Quadro 5.2 — Metadados necessários para um experimento reprodutível</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line="240" w:lineRule="auto"/>
              <w:ind w:firstLine="0"/>
            </w:pPr>
            <w:r>
              <w:rPr>
                <w:sz w:val="18"/>
              </w:rPr>
              <w:t>Elemento</w:t>
            </w:r>
          </w:p>
        </w:tc>
        <w:tc>
          <w:tcPr>
            <w:tcW w:type="dxa" w:w="4702"/>
          </w:tcPr>
          <w:p>
            <w:pPr>
              <w:spacing w:line="240" w:lineRule="auto"/>
              <w:ind w:firstLine="0"/>
            </w:pPr>
            <w:r>
              <w:rPr>
                <w:sz w:val="18"/>
              </w:rPr>
              <w:t>Situação nesta análise</w:t>
            </w:r>
          </w:p>
        </w:tc>
      </w:tr>
      <w:tr>
        <w:tc>
          <w:tcPr>
            <w:tcW w:type="dxa" w:w="4702"/>
          </w:tcPr>
          <w:p>
            <w:pPr>
              <w:spacing w:line="240" w:lineRule="auto"/>
              <w:ind w:firstLine="0"/>
            </w:pPr>
            <w:r>
              <w:rPr>
                <w:sz w:val="18"/>
              </w:rPr>
              <w:t>Commit e versão integral dos dados</w:t>
            </w:r>
          </w:p>
        </w:tc>
        <w:tc>
          <w:tcPr>
            <w:tcW w:type="dxa" w:w="4702"/>
          </w:tcPr>
          <w:p>
            <w:pPr>
              <w:spacing w:line="240" w:lineRule="auto"/>
              <w:ind w:firstLine="0"/>
            </w:pPr>
            <w:r>
              <w:rPr>
                <w:sz w:val="18"/>
              </w:rPr>
              <w:t>A registrar no protocolo definitivo</w:t>
            </w:r>
          </w:p>
        </w:tc>
      </w:tr>
      <w:tr>
        <w:tc>
          <w:tcPr>
            <w:tcW w:type="dxa" w:w="4702"/>
          </w:tcPr>
          <w:p>
            <w:pPr>
              <w:spacing w:line="240" w:lineRule="auto"/>
              <w:ind w:firstLine="0"/>
            </w:pPr>
            <w:r>
              <w:rPr>
                <w:sz w:val="18"/>
              </w:rPr>
              <w:t>Versão da plataforma GAMA</w:t>
            </w:r>
          </w:p>
        </w:tc>
        <w:tc>
          <w:tcPr>
            <w:tcW w:type="dxa" w:w="4702"/>
          </w:tcPr>
          <w:p>
            <w:pPr>
              <w:spacing w:line="240" w:lineRule="auto"/>
              <w:ind w:firstLine="0"/>
            </w:pPr>
            <w:r>
              <w:rPr>
                <w:sz w:val="18"/>
              </w:rPr>
              <w:t>A confirmar na máquina da execução</w:t>
            </w:r>
          </w:p>
        </w:tc>
      </w:tr>
      <w:tr>
        <w:tc>
          <w:tcPr>
            <w:tcW w:type="dxa" w:w="4702"/>
          </w:tcPr>
          <w:p>
            <w:pPr>
              <w:spacing w:line="240" w:lineRule="auto"/>
              <w:ind w:firstLine="0"/>
            </w:pPr>
            <w:r>
              <w:rPr>
                <w:sz w:val="18"/>
              </w:rPr>
              <w:t>Semente aleatória realmente utilizada</w:t>
            </w:r>
          </w:p>
        </w:tc>
        <w:tc>
          <w:tcPr>
            <w:tcW w:type="dxa" w:w="4702"/>
          </w:tcPr>
          <w:p>
            <w:pPr>
              <w:spacing w:line="240" w:lineRule="auto"/>
              <w:ind w:firstLine="0"/>
            </w:pPr>
            <w:r>
              <w:rPr>
                <w:sz w:val="18"/>
              </w:rPr>
              <w:t>A confirmar por instrumentação</w:t>
            </w:r>
          </w:p>
        </w:tc>
      </w:tr>
      <w:tr>
        <w:tc>
          <w:tcPr>
            <w:tcW w:type="dxa" w:w="4702"/>
          </w:tcPr>
          <w:p>
            <w:pPr>
              <w:spacing w:line="240" w:lineRule="auto"/>
              <w:ind w:firstLine="0"/>
            </w:pPr>
            <w:r>
              <w:rPr>
                <w:sz w:val="18"/>
              </w:rPr>
              <w:t>Duração e unidade temporal</w:t>
            </w:r>
          </w:p>
        </w:tc>
        <w:tc>
          <w:tcPr>
            <w:tcW w:type="dxa" w:w="4702"/>
          </w:tcPr>
          <w:p>
            <w:pPr>
              <w:spacing w:line="240" w:lineRule="auto"/>
              <w:ind w:firstLine="0"/>
            </w:pPr>
            <w:r>
              <w:rPr>
                <w:sz w:val="18"/>
              </w:rPr>
              <w:t>Há dias rotulados de 0 a 14; sem confirmação externa do calendário</w:t>
            </w:r>
          </w:p>
        </w:tc>
      </w:tr>
      <w:tr>
        <w:tc>
          <w:tcPr>
            <w:tcW w:type="dxa" w:w="4702"/>
          </w:tcPr>
          <w:p>
            <w:pPr>
              <w:spacing w:line="240" w:lineRule="auto"/>
              <w:ind w:firstLine="0"/>
            </w:pPr>
            <w:r>
              <w:rPr>
                <w:sz w:val="18"/>
              </w:rPr>
              <w:t>Hardware, sistema operacional e memória</w:t>
            </w:r>
          </w:p>
        </w:tc>
        <w:tc>
          <w:tcPr>
            <w:tcW w:type="dxa" w:w="4702"/>
          </w:tcPr>
          <w:p>
            <w:pPr>
              <w:spacing w:line="240" w:lineRule="auto"/>
              <w:ind w:firstLine="0"/>
            </w:pPr>
            <w:r>
              <w:rPr>
                <w:sz w:val="18"/>
              </w:rPr>
              <w:t>Não informado no CSV</w:t>
            </w:r>
          </w:p>
        </w:tc>
      </w:tr>
      <w:tr>
        <w:tc>
          <w:tcPr>
            <w:tcW w:type="dxa" w:w="4702"/>
          </w:tcPr>
          <w:p>
            <w:pPr>
              <w:spacing w:line="240" w:lineRule="auto"/>
              <w:ind w:firstLine="0"/>
            </w:pPr>
            <w:r>
              <w:rPr>
                <w:sz w:val="18"/>
              </w:rPr>
              <w:t>Quantidade de replicações</w:t>
            </w:r>
          </w:p>
        </w:tc>
        <w:tc>
          <w:tcPr>
            <w:tcW w:type="dxa" w:w="4702"/>
          </w:tcPr>
          <w:p>
            <w:pPr>
              <w:spacing w:line="240" w:lineRule="auto"/>
              <w:ind w:firstLine="0"/>
            </w:pPr>
            <w:r>
              <w:rPr>
                <w:sz w:val="18"/>
              </w:rPr>
              <w:t>Não demonstrada pelo arquivo único</w:t>
            </w:r>
          </w:p>
        </w:tc>
      </w:tr>
      <w:tr>
        <w:tc>
          <w:tcPr>
            <w:tcW w:type="dxa" w:w="4702"/>
          </w:tcPr>
          <w:p>
            <w:pPr>
              <w:spacing w:line="240" w:lineRule="auto"/>
              <w:ind w:firstLine="0"/>
            </w:pPr>
            <w:r>
              <w:rPr>
                <w:sz w:val="18"/>
              </w:rPr>
              <w:t>Resolução e projeção do mapa GIS</w:t>
            </w:r>
          </w:p>
        </w:tc>
        <w:tc>
          <w:tcPr>
            <w:tcW w:type="dxa" w:w="4702"/>
          </w:tcPr>
          <w:p>
            <w:pPr>
              <w:spacing w:line="240" w:lineRule="auto"/>
              <w:ind w:firstLine="0"/>
            </w:pPr>
            <w:r>
              <w:rPr>
                <w:sz w:val="18"/>
              </w:rPr>
              <w:t>A documentar a partir das bases efetivamente carregadas</w:t>
            </w:r>
          </w:p>
        </w:tc>
      </w:tr>
    </w:tbl>
    <w:p>
      <w:pPr>
        <w:ind w:firstLine="0"/>
        <w:jc w:val="center"/>
      </w:pPr>
      <w:r>
        <w:rPr>
          <w:sz w:val="20"/>
        </w:rPr>
        <w:t>Fonte: elaboração própria (2026).</w:t>
      </w:r>
    </w:p>
    <w:p>
      <w:pPr>
        <w:pStyle w:val="Heading1"/>
      </w:pPr>
      <w:r>
        <w:t>5.3 Resultados exploratórios presentes no repositório</w:t>
      </w:r>
    </w:p>
    <w:p>
      <w:pPr>
        <w:pStyle w:val="Heading2"/>
      </w:pPr>
      <w:r>
        <w:t>5.3.1 Evolução dos estados humanos</w:t>
      </w:r>
    </w:p>
    <w:p>
      <w:r>
        <w:t>A Figura 5.1 foi gerada em versão anterior do estudo a partir de um trecho inicial de 15 registros; por isso, deve ser lida como ilustração exploratória de um subconjunto histórico, e não como representação dos 229 registros agora identificados. Na versão atual do CSV, entre os dias rotulados 0 e 30 do primeiro segmento, os infectados humanos passam de 0 a 382, ao passo que os suscetíveis caem de 1.189 a 121. Esses valores descrevem saídas registradas, não casos reais de dengue nem desempenho epidemiológico validado.</w:t>
      </w:r>
    </w:p>
    <w:p>
      <w:r>
        <w:drawing>
          <wp:inline xmlns:a="http://schemas.openxmlformats.org/drawingml/2006/main" xmlns:pic="http://schemas.openxmlformats.org/drawingml/2006/picture">
            <wp:extent cx="5544000" cy="2367946"/>
            <wp:docPr id="1" name="Picture 1"/>
            <wp:cNvGraphicFramePr>
              <a:graphicFrameLocks noChangeAspect="1"/>
            </wp:cNvGraphicFramePr>
            <a:graphic>
              <a:graphicData uri="http://schemas.openxmlformats.org/drawingml/2006/picture">
                <pic:pic>
                  <pic:nvPicPr>
                    <pic:cNvPr id="0" name="ch5_fig_humanos.png"/>
                    <pic:cNvPicPr/>
                  </pic:nvPicPr>
                  <pic:blipFill>
                    <a:blip r:embed="rId9"/>
                    <a:stretch>
                      <a:fillRect/>
                    </a:stretch>
                  </pic:blipFill>
                  <pic:spPr>
                    <a:xfrm>
                      <a:off x="0" y="0"/>
                      <a:ext cx="5544000" cy="2367946"/>
                    </a:xfrm>
                    <a:prstGeom prst="rect"/>
                  </pic:spPr>
                </pic:pic>
              </a:graphicData>
            </a:graphic>
          </wp:inline>
        </w:drawing>
      </w:r>
    </w:p>
    <w:p>
      <w:pPr>
        <w:ind w:firstLine="0"/>
        <w:jc w:val="center"/>
      </w:pPr>
      <w:r>
        <w:t>Figura 5.1 — Curvas exploratórias de estados humanos em subconjunto histórico de 15 linhas. Fonte: elaboração própria a partir de registro anterior de resultados.csv; não representa todos os dados do instantâneo de 30 out. 2026.</w:t>
      </w:r>
    </w:p>
    <w:p>
      <w:r>
        <w:t>O teste de integridade dos estados humanos deve ser reaplicado sistematicamente a todos os 229 registros: humanos_total = suscetíveis + expostos + infectados + recuperados, com exame separado de mortes, nascimentos e eventuais categorias adicionais. A concordância em um registro não garante a consistência da série inteira. Registros que divergirem devem ser rastreados até o instante de atualização, a lógica de transição e as operações de escrita no CSV.</w:t>
      </w:r>
    </w:p>
    <w:p>
      <w:pPr>
        <w:pStyle w:val="Heading2"/>
      </w:pPr>
      <w:r>
        <w:t>5.3.2 Evolução e consistência da população vetorial</w:t>
      </w:r>
    </w:p>
    <w:p>
      <w:r>
        <w:t>A Figura 5.2 documenta divergências observadas na amostra histórica usada na versão anterior. Na versão atual do CSV, a diferença já aparece no registro inicial: mosquitos_total = 100, mas mosquitos_suscetiveis + mosquitos_expostos + mosquitos_infectados = 78, diferença de 22 indivíduos. A leitura do código sugere como hipótese a inicialização de um estado adicional ao conjunto contabilizado; essa explicação permanece condicionada a teste de execução e inspeção dos agentes.</w:t>
      </w:r>
    </w:p>
    <w:p>
      <w:r>
        <w:drawing>
          <wp:inline xmlns:a="http://schemas.openxmlformats.org/drawingml/2006/main" xmlns:pic="http://schemas.openxmlformats.org/drawingml/2006/picture">
            <wp:extent cx="5544000" cy="2367946"/>
            <wp:docPr id="2" name="Picture 2"/>
            <wp:cNvGraphicFramePr>
              <a:graphicFrameLocks noChangeAspect="1"/>
            </wp:cNvGraphicFramePr>
            <a:graphic>
              <a:graphicData uri="http://schemas.openxmlformats.org/drawingml/2006/picture">
                <pic:pic>
                  <pic:nvPicPr>
                    <pic:cNvPr id="0" name="ch5_fig_mosquitos.png"/>
                    <pic:cNvPicPr/>
                  </pic:nvPicPr>
                  <pic:blipFill>
                    <a:blip r:embed="rId10"/>
                    <a:stretch>
                      <a:fillRect/>
                    </a:stretch>
                  </pic:blipFill>
                  <pic:spPr>
                    <a:xfrm>
                      <a:off x="0" y="0"/>
                      <a:ext cx="5544000" cy="2367946"/>
                    </a:xfrm>
                    <a:prstGeom prst="rect"/>
                  </pic:spPr>
                </pic:pic>
              </a:graphicData>
            </a:graphic>
          </wp:inline>
        </w:drawing>
      </w:r>
    </w:p>
    <w:p>
      <w:pPr>
        <w:ind w:firstLine="0"/>
        <w:jc w:val="center"/>
      </w:pPr>
      <w:r>
        <w:t>Figura 5.2 — Divergência exploratória entre totais e estados vetoriais em subconjunto histórico. Fonte: elaboração própria a partir de registro anterior de resultados.csv; requer reavaliação integral.</w:t>
      </w:r>
    </w:p>
    <w:p>
      <w:r>
        <w:t>Uma hipótese plausível é a existência de indivíduos em um estado não contabilizado ou de diferenças no momento de atualização dos monitores. Entretanto, nenhuma dessas hipóteses pode ser apresentada como causa comprovada sem inspecionar a inicialização dos estados, os filtros dos contadores e o escalonamento das exportações. A divergência é um achado de consistência a ser investigado.</w:t>
      </w:r>
    </w:p>
    <w:p>
      <w:pPr>
        <w:pStyle w:val="Heading2"/>
      </w:pPr>
      <w:r>
        <w:t>5.3.3 Indicadores de mortalidade</w:t>
      </w:r>
    </w:p>
    <w:p>
      <w:r>
        <w:t>No primeiro segmento disponível do CSV recente, entre as linhas rotuladas 0 e 30, os campos de mortalidade por dengue aparecem com valor zero. Mais adiante no arquivo existem registros de mortalidade não nula. Sem uma segmentação confiável das execuções, não é adequado interpretar esses valores como uma curva única de óbitos ou calcular uma taxa de letalidade agregada.</w:t>
      </w:r>
    </w:p>
    <w:p>
      <w:pPr>
        <w:pStyle w:val="Heading1"/>
      </w:pPr>
      <w:r>
        <w:t>5.4 Verificação funcional: critérios e casos de teste</w:t>
      </w:r>
    </w:p>
    <w:p>
      <w:r>
        <w:t>A verificação deve conectar cada requisito da especificação aos testes das ações implementadas. Propõe-se uma bateria de testes unitários e cenários controlados, seguida por testes de integração. Para cada teste, será necessário registrar entradas, semente, resultado esperado, resultado observado, evidência (log, captura de tela ou CSV) e situação de aprovação.</w:t>
      </w:r>
    </w:p>
    <w:p>
      <w:pPr>
        <w:ind w:firstLine="0"/>
        <w:jc w:val="center"/>
      </w:pPr>
      <w:r>
        <w:rPr>
          <w:sz w:val="20"/>
        </w:rPr>
        <w:t>Quadro 5.3 — Matriz de verificação proposta</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ind w:firstLine="0"/>
            </w:pPr>
            <w:r>
              <w:rPr>
                <w:sz w:val="18"/>
              </w:rPr>
              <w:t>Identificação</w:t>
            </w:r>
          </w:p>
        </w:tc>
        <w:tc>
          <w:tcPr>
            <w:tcW w:type="dxa" w:w="3135"/>
          </w:tcPr>
          <w:p>
            <w:pPr>
              <w:spacing w:line="240" w:lineRule="auto"/>
              <w:ind w:firstLine="0"/>
            </w:pPr>
            <w:r>
              <w:rPr>
                <w:sz w:val="18"/>
              </w:rPr>
              <w:t>Teste e condição</w:t>
            </w:r>
          </w:p>
        </w:tc>
        <w:tc>
          <w:tcPr>
            <w:tcW w:type="dxa" w:w="3135"/>
          </w:tcPr>
          <w:p>
            <w:pPr>
              <w:spacing w:line="240" w:lineRule="auto"/>
              <w:ind w:firstLine="0"/>
            </w:pPr>
            <w:r>
              <w:rPr>
                <w:sz w:val="18"/>
              </w:rPr>
              <w:t>Critério esperado</w:t>
            </w:r>
          </w:p>
        </w:tc>
      </w:tr>
      <w:tr>
        <w:tc>
          <w:tcPr>
            <w:tcW w:type="dxa" w:w="3135"/>
          </w:tcPr>
          <w:p>
            <w:pPr>
              <w:spacing w:line="240" w:lineRule="auto"/>
              <w:ind w:firstLine="0"/>
            </w:pPr>
            <w:r>
              <w:rPr>
                <w:sz w:val="18"/>
              </w:rPr>
              <w:t>V01</w:t>
            </w:r>
          </w:p>
        </w:tc>
        <w:tc>
          <w:tcPr>
            <w:tcW w:type="dxa" w:w="3135"/>
          </w:tcPr>
          <w:p>
            <w:pPr>
              <w:spacing w:line="240" w:lineRule="auto"/>
              <w:ind w:firstLine="0"/>
            </w:pPr>
            <w:r>
              <w:rPr>
                <w:sz w:val="18"/>
              </w:rPr>
              <w:t>Inicialização do mosquito</w:t>
            </w:r>
          </w:p>
        </w:tc>
        <w:tc>
          <w:tcPr>
            <w:tcW w:type="dxa" w:w="3135"/>
          </w:tcPr>
          <w:p>
            <w:pPr>
              <w:spacing w:line="240" w:lineRule="auto"/>
              <w:ind w:firstLine="0"/>
            </w:pPr>
            <w:r>
              <w:rPr>
                <w:sz w:val="18"/>
              </w:rPr>
              <w:t>Estado inicial pertencente ao domínio epidemiológico definido</w:t>
            </w:r>
          </w:p>
        </w:tc>
      </w:tr>
      <w:tr>
        <w:tc>
          <w:tcPr>
            <w:tcW w:type="dxa" w:w="3135"/>
          </w:tcPr>
          <w:p>
            <w:pPr>
              <w:spacing w:line="240" w:lineRule="auto"/>
              <w:ind w:firstLine="0"/>
            </w:pPr>
            <w:r>
              <w:rPr>
                <w:sz w:val="18"/>
              </w:rPr>
              <w:t>V02</w:t>
            </w:r>
          </w:p>
        </w:tc>
        <w:tc>
          <w:tcPr>
            <w:tcW w:type="dxa" w:w="3135"/>
          </w:tcPr>
          <w:p>
            <w:pPr>
              <w:spacing w:line="240" w:lineRule="auto"/>
              <w:ind w:firstLine="0"/>
            </w:pPr>
            <w:r>
              <w:rPr>
                <w:sz w:val="18"/>
              </w:rPr>
              <w:t>Progressão dos estados vetoriais</w:t>
            </w:r>
          </w:p>
        </w:tc>
        <w:tc>
          <w:tcPr>
            <w:tcW w:type="dxa" w:w="3135"/>
          </w:tcPr>
          <w:p>
            <w:pPr>
              <w:spacing w:line="240" w:lineRule="auto"/>
              <w:ind w:firstLine="0"/>
            </w:pPr>
            <w:r>
              <w:rPr>
                <w:sz w:val="18"/>
              </w:rPr>
              <w:t>Sem retorno não previsto de infectante para suscetível</w:t>
            </w:r>
          </w:p>
        </w:tc>
      </w:tr>
      <w:tr>
        <w:tc>
          <w:tcPr>
            <w:tcW w:type="dxa" w:w="3135"/>
          </w:tcPr>
          <w:p>
            <w:pPr>
              <w:spacing w:line="240" w:lineRule="auto"/>
              <w:ind w:firstLine="0"/>
            </w:pPr>
            <w:r>
              <w:rPr>
                <w:sz w:val="18"/>
              </w:rPr>
              <w:t>V03</w:t>
            </w:r>
          </w:p>
        </w:tc>
        <w:tc>
          <w:tcPr>
            <w:tcW w:type="dxa" w:w="3135"/>
          </w:tcPr>
          <w:p>
            <w:pPr>
              <w:spacing w:line="240" w:lineRule="auto"/>
              <w:ind w:firstLine="0"/>
            </w:pPr>
            <w:r>
              <w:rPr>
                <w:sz w:val="18"/>
              </w:rPr>
              <w:t>Contagem dos estados</w:t>
            </w:r>
          </w:p>
        </w:tc>
        <w:tc>
          <w:tcPr>
            <w:tcW w:type="dxa" w:w="3135"/>
          </w:tcPr>
          <w:p>
            <w:pPr>
              <w:spacing w:line="240" w:lineRule="auto"/>
              <w:ind w:firstLine="0"/>
            </w:pPr>
            <w:r>
              <w:rPr>
                <w:sz w:val="18"/>
              </w:rPr>
              <w:t>Soma das classes compatível com total e eventuais estados adicionais explicitados</w:t>
            </w:r>
          </w:p>
        </w:tc>
      </w:tr>
      <w:tr>
        <w:tc>
          <w:tcPr>
            <w:tcW w:type="dxa" w:w="3135"/>
          </w:tcPr>
          <w:p>
            <w:pPr>
              <w:spacing w:line="240" w:lineRule="auto"/>
              <w:ind w:firstLine="0"/>
            </w:pPr>
            <w:r>
              <w:rPr>
                <w:sz w:val="18"/>
              </w:rPr>
              <w:t>V04</w:t>
            </w:r>
          </w:p>
        </w:tc>
        <w:tc>
          <w:tcPr>
            <w:tcW w:type="dxa" w:w="3135"/>
          </w:tcPr>
          <w:p>
            <w:pPr>
              <w:spacing w:line="240" w:lineRule="auto"/>
              <w:ind w:firstLine="0"/>
            </w:pPr>
            <w:r>
              <w:rPr>
                <w:sz w:val="18"/>
              </w:rPr>
              <w:t>Transmissão sem contato</w:t>
            </w:r>
          </w:p>
        </w:tc>
        <w:tc>
          <w:tcPr>
            <w:tcW w:type="dxa" w:w="3135"/>
          </w:tcPr>
          <w:p>
            <w:pPr>
              <w:spacing w:line="240" w:lineRule="auto"/>
              <w:ind w:firstLine="0"/>
            </w:pPr>
            <w:r>
              <w:rPr>
                <w:sz w:val="18"/>
              </w:rPr>
              <w:t>Nenhuma nova infecção quando contato impossível</w:t>
            </w:r>
          </w:p>
        </w:tc>
      </w:tr>
      <w:tr>
        <w:tc>
          <w:tcPr>
            <w:tcW w:type="dxa" w:w="3135"/>
          </w:tcPr>
          <w:p>
            <w:pPr>
              <w:spacing w:line="240" w:lineRule="auto"/>
              <w:ind w:firstLine="0"/>
            </w:pPr>
            <w:r>
              <w:rPr>
                <w:sz w:val="18"/>
              </w:rPr>
              <w:t>V05</w:t>
            </w:r>
          </w:p>
        </w:tc>
        <w:tc>
          <w:tcPr>
            <w:tcW w:type="dxa" w:w="3135"/>
          </w:tcPr>
          <w:p>
            <w:pPr>
              <w:spacing w:line="240" w:lineRule="auto"/>
              <w:ind w:firstLine="0"/>
            </w:pPr>
            <w:r>
              <w:rPr>
                <w:sz w:val="18"/>
              </w:rPr>
              <w:t>Transmissão com probabilidade zero</w:t>
            </w:r>
          </w:p>
        </w:tc>
        <w:tc>
          <w:tcPr>
            <w:tcW w:type="dxa" w:w="3135"/>
          </w:tcPr>
          <w:p>
            <w:pPr>
              <w:spacing w:line="240" w:lineRule="auto"/>
              <w:ind w:firstLine="0"/>
            </w:pPr>
            <w:r>
              <w:rPr>
                <w:sz w:val="18"/>
              </w:rPr>
              <w:t>Nenhuma transmissão atribuída ao evento</w:t>
            </w:r>
          </w:p>
        </w:tc>
      </w:tr>
      <w:tr>
        <w:tc>
          <w:tcPr>
            <w:tcW w:type="dxa" w:w="3135"/>
          </w:tcPr>
          <w:p>
            <w:pPr>
              <w:spacing w:line="240" w:lineRule="auto"/>
              <w:ind w:firstLine="0"/>
            </w:pPr>
            <w:r>
              <w:rPr>
                <w:sz w:val="18"/>
              </w:rPr>
              <w:t>V06</w:t>
            </w:r>
          </w:p>
        </w:tc>
        <w:tc>
          <w:tcPr>
            <w:tcW w:type="dxa" w:w="3135"/>
          </w:tcPr>
          <w:p>
            <w:pPr>
              <w:spacing w:line="240" w:lineRule="auto"/>
              <w:ind w:firstLine="0"/>
            </w:pPr>
            <w:r>
              <w:rPr>
                <w:sz w:val="18"/>
              </w:rPr>
              <w:t>Vacinação</w:t>
            </w:r>
          </w:p>
        </w:tc>
        <w:tc>
          <w:tcPr>
            <w:tcW w:type="dxa" w:w="3135"/>
          </w:tcPr>
          <w:p>
            <w:pPr>
              <w:spacing w:line="240" w:lineRule="auto"/>
              <w:ind w:firstLine="0"/>
            </w:pPr>
            <w:r>
              <w:rPr>
                <w:sz w:val="18"/>
              </w:rPr>
              <w:t>Efeito corresponde à regra implementada e ao parâmetro</w:t>
            </w:r>
          </w:p>
        </w:tc>
      </w:tr>
      <w:tr>
        <w:tc>
          <w:tcPr>
            <w:tcW w:type="dxa" w:w="3135"/>
          </w:tcPr>
          <w:p>
            <w:pPr>
              <w:spacing w:line="240" w:lineRule="auto"/>
              <w:ind w:firstLine="0"/>
            </w:pPr>
            <w:r>
              <w:rPr>
                <w:sz w:val="18"/>
              </w:rPr>
              <w:t>V07</w:t>
            </w:r>
          </w:p>
        </w:tc>
        <w:tc>
          <w:tcPr>
            <w:tcW w:type="dxa" w:w="3135"/>
          </w:tcPr>
          <w:p>
            <w:pPr>
              <w:spacing w:line="240" w:lineRule="auto"/>
              <w:ind w:firstLine="0"/>
            </w:pPr>
            <w:r>
              <w:rPr>
                <w:sz w:val="18"/>
              </w:rPr>
              <w:t>Relógio</w:t>
            </w:r>
          </w:p>
        </w:tc>
        <w:tc>
          <w:tcPr>
            <w:tcW w:type="dxa" w:w="3135"/>
          </w:tcPr>
          <w:p>
            <w:pPr>
              <w:spacing w:line="240" w:lineRule="auto"/>
              <w:ind w:firstLine="0"/>
            </w:pPr>
            <w:r>
              <w:rPr>
                <w:sz w:val="18"/>
              </w:rPr>
              <w:t>Conversão consistente entre ciclo, hora e dia simulados</w:t>
            </w:r>
          </w:p>
        </w:tc>
      </w:tr>
      <w:tr>
        <w:tc>
          <w:tcPr>
            <w:tcW w:type="dxa" w:w="3135"/>
          </w:tcPr>
          <w:p>
            <w:pPr>
              <w:spacing w:line="240" w:lineRule="auto"/>
              <w:ind w:firstLine="0"/>
            </w:pPr>
            <w:r>
              <w:rPr>
                <w:sz w:val="18"/>
              </w:rPr>
              <w:t>V08</w:t>
            </w:r>
          </w:p>
        </w:tc>
        <w:tc>
          <w:tcPr>
            <w:tcW w:type="dxa" w:w="3135"/>
          </w:tcPr>
          <w:p>
            <w:pPr>
              <w:spacing w:line="240" w:lineRule="auto"/>
              <w:ind w:firstLine="0"/>
            </w:pPr>
            <w:r>
              <w:rPr>
                <w:sz w:val="18"/>
              </w:rPr>
              <w:t>Semente</w:t>
            </w:r>
          </w:p>
        </w:tc>
        <w:tc>
          <w:tcPr>
            <w:tcW w:type="dxa" w:w="3135"/>
          </w:tcPr>
          <w:p>
            <w:pPr>
              <w:spacing w:line="240" w:lineRule="auto"/>
              <w:ind w:firstLine="0"/>
            </w:pPr>
            <w:r>
              <w:rPr>
                <w:sz w:val="18"/>
              </w:rPr>
              <w:t>Mesma configuração e semente produzem saídas reproduzíveis sob ambiente controlado</w:t>
            </w:r>
          </w:p>
        </w:tc>
      </w:tr>
      <w:tr>
        <w:tc>
          <w:tcPr>
            <w:tcW w:type="dxa" w:w="3135"/>
          </w:tcPr>
          <w:p>
            <w:pPr>
              <w:spacing w:line="240" w:lineRule="auto"/>
              <w:ind w:firstLine="0"/>
            </w:pPr>
            <w:r>
              <w:rPr>
                <w:sz w:val="18"/>
              </w:rPr>
              <w:t>V09</w:t>
            </w:r>
          </w:p>
        </w:tc>
        <w:tc>
          <w:tcPr>
            <w:tcW w:type="dxa" w:w="3135"/>
          </w:tcPr>
          <w:p>
            <w:pPr>
              <w:spacing w:line="240" w:lineRule="auto"/>
              <w:ind w:firstLine="0"/>
            </w:pPr>
            <w:r>
              <w:rPr>
                <w:sz w:val="18"/>
              </w:rPr>
              <w:t>GIS e mobilidade</w:t>
            </w:r>
          </w:p>
        </w:tc>
        <w:tc>
          <w:tcPr>
            <w:tcW w:type="dxa" w:w="3135"/>
          </w:tcPr>
          <w:p>
            <w:pPr>
              <w:spacing w:line="240" w:lineRule="auto"/>
              <w:ind w:firstLine="0"/>
            </w:pPr>
            <w:r>
              <w:rPr>
                <w:sz w:val="18"/>
              </w:rPr>
              <w:t>Agentes permanecem em geometrias/rotas admissíveis segundo o modelo</w:t>
            </w:r>
          </w:p>
        </w:tc>
      </w:tr>
      <w:tr>
        <w:tc>
          <w:tcPr>
            <w:tcW w:type="dxa" w:w="3135"/>
          </w:tcPr>
          <w:p>
            <w:pPr>
              <w:spacing w:line="240" w:lineRule="auto"/>
              <w:ind w:firstLine="0"/>
            </w:pPr>
            <w:r>
              <w:rPr>
                <w:sz w:val="18"/>
              </w:rPr>
              <w:t>V10</w:t>
            </w:r>
          </w:p>
        </w:tc>
        <w:tc>
          <w:tcPr>
            <w:tcW w:type="dxa" w:w="3135"/>
          </w:tcPr>
          <w:p>
            <w:pPr>
              <w:spacing w:line="240" w:lineRule="auto"/>
              <w:ind w:firstLine="0"/>
            </w:pPr>
            <w:r>
              <w:rPr>
                <w:sz w:val="18"/>
              </w:rPr>
              <w:t>Exportação</w:t>
            </w:r>
          </w:p>
        </w:tc>
        <w:tc>
          <w:tcPr>
            <w:tcW w:type="dxa" w:w="3135"/>
          </w:tcPr>
          <w:p>
            <w:pPr>
              <w:spacing w:line="240" w:lineRule="auto"/>
              <w:ind w:firstLine="0"/>
            </w:pPr>
            <w:r>
              <w:rPr>
                <w:sz w:val="18"/>
              </w:rPr>
              <w:t>Campos, unidades, timestamps e contadores coerentes</w:t>
            </w:r>
          </w:p>
        </w:tc>
      </w:tr>
    </w:tbl>
    <w:p>
      <w:pPr>
        <w:ind w:firstLine="0"/>
        <w:jc w:val="center"/>
      </w:pPr>
      <w:r>
        <w:rPr>
          <w:sz w:val="20"/>
        </w:rPr>
        <w:t>Fonte: elaboração própria (2026). Testes propostos, ainda não executados nesta revisão.</w:t>
      </w:r>
    </w:p>
    <w:p>
      <w:pPr>
        <w:pStyle w:val="Heading1"/>
      </w:pPr>
      <w:r>
        <w:t>5.5 Planejamento da análise estocástica e de sensibilidade</w:t>
      </w:r>
    </w:p>
    <w:p>
      <w:r>
        <w:t>O repositório contém quatro definições de experimento em lote, identificadas como E03Variabilidade, E04Vacinacao, E05PopulacaoVetorial e E07Escalabilidade. Essa constatação altera o estado do trabalho: não se trata apenas de planejamento abstrato, pois os cenários estão declarados no código. Contudo, a presença de uma definição de experimento não demonstra que suas execuções ocorreram, que os parâmetros foram efetivamente utilizados ou que as saídas foram arquivadas de maneira rastreável. O protocolo de validação deve anteceder qualquer inferência comparativa.</w:t>
      </w:r>
    </w:p>
    <w:p>
      <w:r>
        <w:t>Uma estratégia de investigação consiste em variar isoladamente a cobertura vacinal, a eficácia representada, a probabilidade de picada, a mortalidade e a quantidade inicial de vetores. As saídas de interesse incluem pico de infectados, tempo até o pico, infecções acumuladas, estados vetoriais e tempo de execução. Deve-se distinguir a exploração local, variando um parâmetro de cada vez, de uma análise global, que considera interações entre fatores. Métodos como Morris e Sobol podem ser discutidos, conforme viabilidade computacional (MORRIS, 1991; SOBOL, 2001).</w:t>
      </w:r>
    </w:p>
    <w:p>
      <w:pPr>
        <w:pStyle w:val="Heading2"/>
      </w:pPr>
      <w:r>
        <w:t>5.5.1 Desenho experimental proposto: fatores, respostas e replicações</w:t>
      </w:r>
    </w:p>
    <w:p>
      <w:pPr/>
      <w:r>
        <w:t>A sistematização do planejamento experimental adota como inspiração didática a comparação gradual de cenários apresentada por Sanderson (2020), adaptando-a à transmissão vetorial da dengue. Os procedimentos a seguir constituem um protocolo a executar, não resultados observados. Antes da campanha, é necessário corrigir ou justificar as inconsistências de contagem dos estados vetoriais, revisar a relação entre ticks e tempo epidemiológico, e confirmar o funcionamento do controle de sementes no código GAML.</w:t>
      </w:r>
    </w:p>
    <w:p>
      <w:pPr/>
      <w:r>
        <w:t>O cenário de referência deverá ser descrito por uma configuração versionada do modelo: commit do repositório, versão do GAMA, arquivo geográfico e respectivo sistema de coordenadas, duração e passo temporal, população sintética, número inicial de mosquitos, parâmetros de transmissão, mobilidade, ambiente e critérios de encerramento. Cada execução deverá receber um identificador único e preservar a configuração efetivamente utilizada.</w:t>
      </w:r>
    </w:p>
    <w:p>
      <w:pPr/>
      <w:r>
        <w:t>Recomenda-se iniciar por uma avaliação de variabilidade com uma configuração fixa e várias sementes distintas, verificando a estabilidade de médias, dispersões e intervalos de incerteza de indicadores predefinidos. Para comparação entre cenários, sempre que adequado, pode-se empregar o mesmo conjunto de sementes em cada condição para reduzir ruído de comparação; deve-se ainda avaliar se essa estratégia é compatível com a ordem de sorteios do simulador. O número final de replicações dependerá da precisão obtida no estudo piloto e será documentado.</w:t>
      </w:r>
    </w:p>
    <w:p>
      <w:pPr/>
      <w:r>
        <w:t>Em seguida, poderão ser contrastados, um fator por vez, níveis previamente justificados de: (a) probabilidade de transmissão associada à interação humano–vetor; (b) abundância inicial dos mosquitos; (c) parâmetros da mobilidade humana; e (d) distribuição espacial inicial de agentes e criadouros. A escolha das faixas deverá respeitar a parametrização efetiva do modelo e as fontes epidemiológicas, evitando percentuais arbitrários interpretados como realistas. Experimentos multifatoriais poderão investigar interações após a etapa exploratória.</w:t>
      </w:r>
    </w:p>
    <w:p>
      <w:pPr/>
      <w:r>
        <w:t>Como variáveis-resposta, sugere-se registrar infecções humanas incidentes e acumuladas, pico de infectados, tempo até o pico, população vetorial por estado e distribuição espacial dos eventos, desde que os respectivos contadores sejam verificados. Para avaliação de engenharia de software, registrar também duração da execução, consumo de memória e número de agentes. Comparações devem apresentar valores centrais e dispersão, bem como as condições que diferem entre cenários.</w:t>
      </w:r>
    </w:p>
    <w:p>
      <w:pPr/>
      <w:r>
        <w:t>Um indicador de reprodução de infecções humanas só poderá ser estimado de maneira epidemiologicamente defensável se a implementação registrar eventos de transmissão e possibilitar sua atribuição ao ciclo humano–vetor–humano, com definição explícita de geração e janela temporal. Não se deve transplantar diretamente o cálculo de R ou R₀ da demonstração SIR do vídeo para um modelo com transmissão vetorial.</w:t>
      </w:r>
    </w:p>
    <w:p>
      <w:pPr/>
      <w:r>
        <w:t>Por fim, observações sobre pontos de circulação compartilhados e viagens entre comunidades podem orientar perguntas adicionais sobre mobilidade, mas tais mecanismos devem estar efetivamente implementados e documentados antes de serem transformados em experimentos. Nenhuma conclusão causal sobre intervenções ou previsões para a cidade de São Paulo decorre exclusivamente das animações ou dos exemplos do vídeo.</w:t>
      </w:r>
    </w:p>
    <w:p>
      <w:pPr>
        <w:pStyle w:val="Heading2"/>
      </w:pPr>
      <w:r>
        <w:t>5.5.2 Quantificação da incerteza e variabilidade entre execuções</w:t>
      </w:r>
    </w:p>
    <w:p>
      <w:pPr/>
      <w:r>
        <w:t>A análise proposta por Gamal et al. (2025) distingue quatro fontes de incerteza em modelos comportamentais: (i) incerteza paramétrica, decorrente dos valores e das distribuições atribuídas às entradas; (ii) incerteza estrutural, associada às simplificações e às hipóteses da representação; (iii) variabilidade do conjunto de execuções (ensemble), associada aos mecanismos estocásticos; e (iv) incerteza empírica, relativa à observação e à qualidade dos dados do sistema real. Essas fontes não devem ser confundidas com defeitos de implementação: inconsistências lógicas e falhas de contagem precisam ser corrigidas ou justificadas na verificação, antes da interpretação estatística das saídas.</w:t>
      </w:r>
    </w:p>
    <w:p>
      <w:pPr/>
      <w:r>
        <w:t>Como etapa inicial, propõe-se executar um experimento piloto com parâmetros, dados geográficos, quantidade de agentes e horizonte temporal constantes, alterando somente a semente pseudoaleatória. Para cada execução r e instante t, devem ser registrados os indicadores de interesse y(r,t), permitindo estimar média amostral, desvio-padrão, quantis empíricos e intervalos de Monte Carlo. O número definitivo de replicações não será fixado sem evidência: deverá ser ampliado até atingir precisão previamente estabelecida para as medidas escolhidas, observando autocorrelação temporal e eventuais trajetórias com extinção precoce.</w:t>
      </w:r>
    </w:p>
    <w:p>
      <w:pPr/>
      <w:r>
        <w:t>O procedimento deverá distinguir intervalos que representam a distribuição dos resultados entre execuções dos intervalos de confiança relativos à estimativa de sua média. Essa distinção evita interpretar a faixa de trajetórias como erro de medição ou como incerteza sobre os casos reais de dengue. Para resultados acumulados, é importante definir explicitamente o denominador populacional, a duração e a unidade temporal, garantindo comparações consistentes entre cenários.</w:t>
      </w:r>
    </w:p>
    <w:p>
      <w:pPr>
        <w:pStyle w:val="Heading2"/>
      </w:pPr>
      <w:r>
        <w:t>5.5.3 Análise da sensibilidade espacial e temporal: extensão metodológica proposta</w:t>
      </w:r>
    </w:p>
    <w:p>
      <w:pPr/>
      <w:r>
        <w:t>Gamal et al. (2025) propõem a Spatio-Temporal Uncertainty Analysis (ST-UA) para caracterizar a propagação, entre dois instantes, de medidas de incerteza ou sensibilidade calculadas em unidades espaciais. O trabalho aplica o método a um modelo de tabagismo, Tobacco Town, e demonstra índices espaciais relacionados à relevância e à irrelevância da propagação da incerteza, utilizando como exemplo um índice de efeitos totais associado a Sobol. O presente simulador não reproduz esse modelo nem seus parâmetros; a contribuição aproveitável é o desenho da análise, cuja adaptação requer justificativa própria.</w:t>
      </w:r>
    </w:p>
    <w:p>
      <w:pPr/>
      <w:r>
        <w:t>Uma aplicação inicial e factível ao município de São Paulo consistiria em definir unidades territoriais não sobrepostas compatíveis com a base GIS e registrar, para cada região i, tempo t e execução r, os indicadores de infecções humanas incidentes, população de mosquitos por estado e/ou presença de criadouros, conforme a disponibilidade e a verificação dos registros. Para cada combinação (i,t), poderiam ser produzidos mapas da média e do desvio-padrão entre replicações, acompanhados por contagens ou taxas normalizadas pelo tamanho da população sintética regional. Regiões com população sintética nula ou reduzida deverão ser identificadas para evitar instabilidade e interpretações enganosas.</w:t>
      </w:r>
    </w:p>
    <w:p>
      <w:pPr/>
      <w:r>
        <w:t>A comparação de mapas em dois ou mais instantes permitiria descrever a evolução da dispersão espacial dos resultados, mas não constituiria automaticamente a aplicação integral da ST-UA. A reprodução formal dos índices do artigo exigiria definir previamente a medida de incerteza U(i,t), justificar limiares e coeficientes dos índices, assegurar a compatibilidade espacial e temporal e executar uma campanha de amostragem apropriada. A mera diferença entre desvios-padrão de dois dias não deverá ser denominada índice ST-UA.</w:t>
      </w:r>
    </w:p>
    <w:p>
      <w:pPr/>
      <w:r>
        <w:t>Para avaliar os parâmetros de transmissão, abundância vetorial, mobilidade e condições ambientais, propõe-se uma progressão: (a) triagem de fatores com variações controladas; (b) análise de sensibilidade global, se tecnicamente viável, com amostragem de combinações e consideração das interações; (c) eventual estimação de índices de Sobol e, em uma etapa avançada, sua associação à análise espaço-temporal. A análise um-fator-por-vez é útil como triagem, mas não estima interações entre fatores; índices de Sobol exigem delineamento amostral e custo computacional substancialmente maiores. As milhares de execuções utilizadas por Gamal et al. (2025) pertencem à aplicação daquele estudo e não constituem uma exigência universal para este TCC.</w:t>
      </w:r>
    </w:p>
    <w:p>
      <w:pPr/>
      <w:r>
        <w:t>Para manter a rastreabilidade, cada observação espacial deverá ser vinculada ao identificador da execução, semente, versão do código, parâmetros, data simulada, código da região e definição do indicador. Antes da análise, serão verificadas a conservação ou a coerência das contagens epidemiológicas, a estabilidade do relógio do modelo, o sistema de coordenadas, a associação de agentes às regiões e a ausência de duplicação dos eventos registrados. Quando essas condições não forem satisfeitas, os mapas e índices deverão permanecer classificados como não avaliados.</w:t>
      </w:r>
    </w:p>
    <w:p>
      <w:pPr/>
      <w:r>
        <w:t>Quadro 5.5 — Plano escalonado de análise da incerteza (não executado)</w:t>
      </w:r>
    </w:p>
    <w:p>
      <w:pPr/>
      <w:r>
        <w:t>Etapa A — Verificação: testar integridade dos estados, consistência temporal e atribuição espacial; produto esperado: registros de teste e correções documentadas.</w:t>
      </w:r>
    </w:p>
    <w:p>
      <w:pPr/>
      <w:r>
        <w:t>Etapa B — Ensemble estocástico: replicar o cenário de referência com sementes distintas; produto esperado: médias, dispersões, trajetórias e precisão estimada.</w:t>
      </w:r>
    </w:p>
    <w:p>
      <w:pPr/>
      <w:r>
        <w:t>Etapa C — Incerteza espaço-temporal descritiva: gerar indicadores por região e por instante; produto esperado: mapas de médias, dispersões e evolução temporal.</w:t>
      </w:r>
    </w:p>
    <w:p>
      <w:pPr/>
      <w:r>
        <w:t>Etapa D — Sensibilidade global / ST-UA: somente se houver instrumentação e orçamento computacional suficientes; produto esperado: índices e mapas com delineamento e limitações explicitados.</w:t>
      </w:r>
    </w:p>
    <w:p>
      <w:pPr/>
      <w:r>
        <w:t>Fonte: elaboração própria (2026), adaptado conceitualmente de Gamal et al. (2025). Etapas propostas, sem resultados experimentais nesta versão.</w:t>
      </w:r>
    </w:p>
    <w:p>
      <w:pPr>
        <w:pStyle w:val="Heading1"/>
      </w:pPr>
      <w:r>
        <w:t>5.6 Configurações batch incorporadas ao código e verificação de execução</w:t>
      </w:r>
    </w:p>
    <w:p>
      <w:pPr/>
      <w:r>
        <w:t>O Main.gaml do instantâneo identificado declara quatro experimentos batch, apresentados no Quadro 5.6. As contagens de repetições e as faixas de parâmetros abaixo descrevem a configuração encontrada no código, não a quantidade de execuções bem-sucedidas comprovadas.</w:t>
      </w:r>
    </w:p>
    <w:p>
      <w:pPr/>
      <w:r>
        <w:t>Quadro 5.6 — Experimentos em lote identificados no código-fonte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Identificador</w:t>
            </w:r>
          </w:p>
        </w:tc>
        <w:tc>
          <w:tcPr>
            <w:tcW w:type="dxa" w:w="3135"/>
          </w:tcPr>
          <w:p>
            <w:r>
              <w:t>Configuração declarada</w:t>
            </w:r>
          </w:p>
        </w:tc>
        <w:tc>
          <w:tcPr>
            <w:tcW w:type="dxa" w:w="3135"/>
          </w:tcPr>
          <w:p>
            <w:r>
              <w:t>Questão de verificação</w:t>
            </w:r>
          </w:p>
        </w:tc>
      </w:tr>
      <w:tr>
        <w:tc>
          <w:tcPr>
            <w:tcW w:type="dxa" w:w="3135"/>
          </w:tcPr>
          <w:p>
            <w:r>
              <w:t>E03Variabilidade</w:t>
            </w:r>
          </w:p>
        </w:tc>
        <w:tc>
          <w:tcPr>
            <w:tcW w:type="dxa" w:w="3135"/>
          </w:tcPr>
          <w:p>
            <w:r>
              <w:t>30 repetições, cenário sem vacinação</w:t>
            </w:r>
          </w:p>
        </w:tc>
        <w:tc>
          <w:tcPr>
            <w:tcW w:type="dxa" w:w="3135"/>
          </w:tcPr>
          <w:p>
            <w:r>
              <w:t>Confirmar sementes independentes e saídas por repetição.</w:t>
            </w:r>
          </w:p>
        </w:tc>
      </w:tr>
      <w:tr>
        <w:tc>
          <w:tcPr>
            <w:tcW w:type="dxa" w:w="3135"/>
          </w:tcPr>
          <w:p>
            <w:r>
              <w:t>E04Vacinacao</w:t>
            </w:r>
          </w:p>
        </w:tc>
        <w:tc>
          <w:tcPr>
            <w:tcW w:type="dxa" w:w="3135"/>
          </w:tcPr>
          <w:p>
            <w:r>
              <w:t>Cobertura de 0% a 100% em intervalos de 25%; eficácia de 100%; 30 repetições</w:t>
            </w:r>
          </w:p>
        </w:tc>
        <w:tc>
          <w:tcPr>
            <w:tcW w:type="dxa" w:w="3135"/>
          </w:tcPr>
          <w:p>
            <w:r>
              <w:t>Confirmar que a cobertura modifica o comportamento e que a eficácia é hipótese de cenário, não estimativa clínica.</w:t>
            </w:r>
          </w:p>
        </w:tc>
      </w:tr>
      <w:tr>
        <w:tc>
          <w:tcPr>
            <w:tcW w:type="dxa" w:w="3135"/>
          </w:tcPr>
          <w:p>
            <w:r>
              <w:t>E05PopulacaoVetorial</w:t>
            </w:r>
          </w:p>
        </w:tc>
        <w:tc>
          <w:tcPr>
            <w:tcW w:type="dxa" w:w="3135"/>
          </w:tcPr>
          <w:p>
            <w:r>
              <w:t>50 a 400 mosquitos, passos de 50; 30 repetições</w:t>
            </w:r>
          </w:p>
        </w:tc>
        <w:tc>
          <w:tcPr>
            <w:tcW w:type="dxa" w:w="3135"/>
          </w:tcPr>
          <w:p>
            <w:r>
              <w:t>Confirmar vínculo do parâmetro com a criação efetiva de mosquitos.</w:t>
            </w:r>
          </w:p>
        </w:tc>
      </w:tr>
      <w:tr>
        <w:tc>
          <w:tcPr>
            <w:tcW w:type="dxa" w:w="3135"/>
          </w:tcPr>
          <w:p>
            <w:r>
              <w:t>E07Escalabilidade</w:t>
            </w:r>
          </w:p>
        </w:tc>
        <w:tc>
          <w:tcPr>
            <w:tcW w:type="dxa" w:w="3135"/>
          </w:tcPr>
          <w:p>
            <w:r>
              <w:t>500 a 10.000 humanos, passos de 500; uma execução por configuração</w:t>
            </w:r>
          </w:p>
        </w:tc>
        <w:tc>
          <w:tcPr>
            <w:tcW w:type="dxa" w:w="3135"/>
          </w:tcPr>
          <w:p>
            <w:r>
              <w:t>Confirmar tamanho populacional real, hardware, tempo e memória medidos.</w:t>
            </w:r>
          </w:p>
        </w:tc>
      </w:tr>
    </w:tbl>
    <w:p>
      <w:pPr/>
      <w:r>
        <w:t>Fonte: elaboração própria, a partir das declarações do Main.gaml no commit f3b3a424 (consulta de 30 out. 2026). Parâmetros e repetições configurados; não representam resultados experimentais verificados.</w:t>
      </w:r>
    </w:p>
    <w:p>
      <w:pPr>
        <w:pStyle w:val="Heading2"/>
      </w:pPr>
      <w:r>
        <w:t>5.6.1 Dependências que condicionam a interpretação</w:t>
      </w:r>
    </w:p>
    <w:p>
      <w:pPr/>
      <w:r>
        <w:t>A inicialização dos mosquitos apresenta criação fixa de 100 indivíduos em trecho examinado do código, enquanto o experimento E05 declara variação de quantidade_mosquito. Se o valor declarado não for conectado ao comando de criação, diferentes níveis do experimento poderão gerar a mesma condição inicial. Analogamente, a atribuição de uma semente fixa no procedimento de inicialização pode comprometer a independência das repetições. Esses comportamentos devem ser comprovados mediante rastreamento do valor efetivo das variáveis por execução.</w:t>
      </w:r>
    </w:p>
    <w:p>
      <w:pPr/>
      <w:r>
        <w:t>Também se observou uma transição vetorial circular envolvendo a operação módulo 3 e uma inicialização com rnd(0,3), apesar de os indicadores contabilizarem três estados. O teste deve enumerar as transições permitidas e conferir a distribuição inicial, sem antecipar a causa definitiva das divergências do CSV. O limite de ciclos deve ser interpretado de acordo com o relógio efetivo, incluindo eventuais multiplicadores de velocidade, antes de convertê-lo em dias epidemiológicos.</w:t>
      </w:r>
    </w:p>
    <w:p>
      <w:pPr>
        <w:pStyle w:val="Heading2"/>
      </w:pPr>
      <w:r>
        <w:t>5.6.2 Critérios mínimos para considerar um experimento concluído</w:t>
      </w:r>
    </w:p>
    <w:p>
      <w:pPr/>
      <w:r>
        <w:t>Cada execução deverá registrar ID do experimento, ID da repetição, semente efetiva, hash do commit, versão do GAMA, parâmetros resolvidos, tamanho inicial e final das populações, duração simulada, número de ciclos, tempo real de execução e localização dos arquivos de saída. Em cada instante devem ser testadas as invariantes de contagem; falhas não devem ser silenciosamente eliminadas da análise. Para E07, uma única execução por tamanho não permite estimar adequadamente a dispersão do desempenho, motivo pelo qual se recomendam repetições controladas.</w:t>
      </w:r>
    </w:p>
    <w:p>
      <w:pPr>
        <w:pStyle w:val="Heading2"/>
      </w:pPr>
      <w:r>
        <w:t>5.6.3 Interpretação preliminar dos registros, sem atribuição de cenário</w:t>
      </w:r>
    </w:p>
    <w:p>
      <w:pPr/>
      <w:r>
        <w:t>No primeiro segmento do CSV do commit f3b3a424, o dia rotulado 0 registra 1.191 humanos e 100 mosquitos; no dia rotulado 30, o campo humanos_infectados atinge 382. A população vetorial cresce e decresce ao longo do mesmo segmento. Essas observações documentam que o sistema exportou séries dinâmicas, mas não permitem atribuir causalidade às intervenções, inferir um efeito da vacinação ou estimar parâmetros epidemiológicos reais sem identificar a configuração e a repetição de origem.</w:t>
      </w:r>
    </w:p>
    <w:p>
      <w:pPr>
        <w:pStyle w:val="Heading1"/>
      </w:pPr>
      <w:r>
        <w:t>5.7 Comparação com observações reais de São Paulo</w:t>
      </w:r>
    </w:p>
    <w:p>
      <w:r>
        <w:t>A avaliação epidemiológica poderá utilizar séries oficiais de casos do município de São Paulo, preferencialmente desagregadas por semana epidemiológica e, quando disponível, por distrito ou outra unidade territorial compatível. O ano de 2024 constitui uma possível referência por sua relevância epidemiológica, mas sua escolha deverá ser acompanhada de justificativa do período, população, parâmetros, condições ambientais e dados de inicialização utilizados no simulador.</w:t>
      </w:r>
    </w:p>
    <w:p>
      <w:r>
        <w:t>É necessário estabelecer a distinção entre infecções internas do modelo e casos observados. A notificação real depende de manifestações clínicas, acesso ao diagnóstico e processos de vigilância, ao passo que o contador de infecções simuladas pode representar eventos diferentes. A comparação poderá exigir um submodelo de observação, reamostragem temporal e indicadores normalizados, sem confundir uma população sintética reduzida com a população municipal real.</w:t>
      </w:r>
    </w:p>
    <w:p>
      <w:r>
        <w:t>Somente após a construção de séries comparáveis poderá ser estimada uma medida de erro, como RMSE = raiz[ (1/n) × soma_t (y_sim,t − y_obs,t)^2 ], ou outras métricas predefinidas. Ajustar parâmetros e avaliar o modelo com a mesma série, sem separação de dados, enfraquece a evidência de generalização. A validade deverá ser apresentada de maneira proporcional às bases e aos testes efetivamente realizados.</w:t>
      </w:r>
    </w:p>
    <w:p>
      <w:pPr>
        <w:pStyle w:val="Heading1"/>
      </w:pPr>
      <w:r>
        <w:t>5.8 Avaliação do desempenho computacional</w:t>
      </w:r>
    </w:p>
    <w:p>
      <w:r>
        <w:t>A avaliação de desempenho, componente central para um TCC de Ciência da Computação, deverá caracterizar o custo de inicialização, o processamento por ciclo e a memória consumida, controlando o número de agentes, as configurações de visualização e a resolução espacial. Os testes deverão ser feitos em hardware identificado, com aquecimento e execução padronizados quando aplicável, distinguindo diferenças de desempenho das diferenças de comportamento estocástico.</w:t>
      </w:r>
    </w:p>
    <w:p>
      <w:pPr>
        <w:ind w:firstLine="0"/>
        <w:jc w:val="center"/>
      </w:pPr>
      <w:r>
        <w:rPr>
          <w:sz w:val="20"/>
        </w:rPr>
        <w:t>Quadro 5.4 — Cenários experimentais de desempenho (planejados)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ind w:firstLine="0"/>
            </w:pPr>
            <w:r>
              <w:rPr>
                <w:sz w:val="18"/>
              </w:rPr>
              <w:t>Fator</w:t>
            </w:r>
          </w:p>
        </w:tc>
        <w:tc>
          <w:tcPr>
            <w:tcW w:type="dxa" w:w="3135"/>
          </w:tcPr>
          <w:p>
            <w:pPr>
              <w:spacing w:line="240" w:lineRule="auto"/>
              <w:ind w:firstLine="0"/>
            </w:pPr>
            <w:r>
              <w:rPr>
                <w:sz w:val="18"/>
              </w:rPr>
              <w:t>Variação proposta</w:t>
            </w:r>
          </w:p>
        </w:tc>
        <w:tc>
          <w:tcPr>
            <w:tcW w:type="dxa" w:w="3135"/>
          </w:tcPr>
          <w:p>
            <w:pPr>
              <w:spacing w:line="240" w:lineRule="auto"/>
              <w:ind w:firstLine="0"/>
            </w:pPr>
            <w:r>
              <w:rPr>
                <w:sz w:val="18"/>
              </w:rPr>
              <w:t>Métrica</w:t>
            </w:r>
          </w:p>
        </w:tc>
      </w:tr>
      <w:tr>
        <w:tc>
          <w:tcPr>
            <w:tcW w:type="dxa" w:w="3135"/>
          </w:tcPr>
          <w:p>
            <w:pPr>
              <w:spacing w:line="240" w:lineRule="auto"/>
              <w:ind w:firstLine="0"/>
            </w:pPr>
            <w:r>
              <w:rPr>
                <w:sz w:val="18"/>
              </w:rPr>
              <w:t>População humana</w:t>
            </w:r>
          </w:p>
        </w:tc>
        <w:tc>
          <w:tcPr>
            <w:tcW w:type="dxa" w:w="3135"/>
          </w:tcPr>
          <w:p>
            <w:pPr>
              <w:spacing w:line="240" w:lineRule="auto"/>
              <w:ind w:firstLine="0"/>
            </w:pPr>
            <w:r>
              <w:rPr>
                <w:sz w:val="18"/>
              </w:rPr>
              <w:t>Configurações crescentes e documentadas</w:t>
            </w:r>
          </w:p>
        </w:tc>
        <w:tc>
          <w:tcPr>
            <w:tcW w:type="dxa" w:w="3135"/>
          </w:tcPr>
          <w:p>
            <w:pPr>
              <w:spacing w:line="240" w:lineRule="auto"/>
              <w:ind w:firstLine="0"/>
            </w:pPr>
            <w:r>
              <w:rPr>
                <w:sz w:val="18"/>
              </w:rPr>
              <w:t>Tempo total e por ciclo</w:t>
            </w:r>
          </w:p>
        </w:tc>
      </w:tr>
      <w:tr>
        <w:tc>
          <w:tcPr>
            <w:tcW w:type="dxa" w:w="3135"/>
          </w:tcPr>
          <w:p>
            <w:pPr>
              <w:spacing w:line="240" w:lineRule="auto"/>
              <w:ind w:firstLine="0"/>
            </w:pPr>
            <w:r>
              <w:rPr>
                <w:sz w:val="18"/>
              </w:rPr>
              <w:t>População vetorial</w:t>
            </w:r>
          </w:p>
        </w:tc>
        <w:tc>
          <w:tcPr>
            <w:tcW w:type="dxa" w:w="3135"/>
          </w:tcPr>
          <w:p>
            <w:pPr>
              <w:spacing w:line="240" w:lineRule="auto"/>
              <w:ind w:firstLine="0"/>
            </w:pPr>
            <w:r>
              <w:rPr>
                <w:sz w:val="18"/>
              </w:rPr>
              <w:t>Configurações crescentes e documentadas</w:t>
            </w:r>
          </w:p>
        </w:tc>
        <w:tc>
          <w:tcPr>
            <w:tcW w:type="dxa" w:w="3135"/>
          </w:tcPr>
          <w:p>
            <w:pPr>
              <w:spacing w:line="240" w:lineRule="auto"/>
              <w:ind w:firstLine="0"/>
            </w:pPr>
            <w:r>
              <w:rPr>
                <w:sz w:val="18"/>
              </w:rPr>
              <w:t>Custo das interações e memória</w:t>
            </w:r>
          </w:p>
        </w:tc>
      </w:tr>
      <w:tr>
        <w:tc>
          <w:tcPr>
            <w:tcW w:type="dxa" w:w="3135"/>
          </w:tcPr>
          <w:p>
            <w:pPr>
              <w:spacing w:line="240" w:lineRule="auto"/>
              <w:ind w:firstLine="0"/>
            </w:pPr>
            <w:r>
              <w:rPr>
                <w:sz w:val="18"/>
              </w:rPr>
              <w:t>Visualização</w:t>
            </w:r>
          </w:p>
        </w:tc>
        <w:tc>
          <w:tcPr>
            <w:tcW w:type="dxa" w:w="3135"/>
          </w:tcPr>
          <w:p>
            <w:pPr>
              <w:spacing w:line="240" w:lineRule="auto"/>
              <w:ind w:firstLine="0"/>
            </w:pPr>
            <w:r>
              <w:rPr>
                <w:sz w:val="18"/>
              </w:rPr>
              <w:t>Com e sem renderização gráfica, quando suportado</w:t>
            </w:r>
          </w:p>
        </w:tc>
        <w:tc>
          <w:tcPr>
            <w:tcW w:type="dxa" w:w="3135"/>
          </w:tcPr>
          <w:p>
            <w:pPr>
              <w:spacing w:line="240" w:lineRule="auto"/>
              <w:ind w:firstLine="0"/>
            </w:pPr>
            <w:r>
              <w:rPr>
                <w:sz w:val="18"/>
              </w:rPr>
              <w:t>Sobrecarga de interface</w:t>
            </w:r>
          </w:p>
        </w:tc>
      </w:tr>
      <w:tr>
        <w:tc>
          <w:tcPr>
            <w:tcW w:type="dxa" w:w="3135"/>
          </w:tcPr>
          <w:p>
            <w:pPr>
              <w:spacing w:line="240" w:lineRule="auto"/>
              <w:ind w:firstLine="0"/>
            </w:pPr>
            <w:r>
              <w:rPr>
                <w:sz w:val="18"/>
              </w:rPr>
              <w:t>Resolução territorial</w:t>
            </w:r>
          </w:p>
        </w:tc>
        <w:tc>
          <w:tcPr>
            <w:tcW w:type="dxa" w:w="3135"/>
          </w:tcPr>
          <w:p>
            <w:pPr>
              <w:spacing w:line="240" w:lineRule="auto"/>
              <w:ind w:firstLine="0"/>
            </w:pPr>
            <w:r>
              <w:rPr>
                <w:sz w:val="18"/>
              </w:rPr>
              <w:t>Camadas e agregações comparáveis</w:t>
            </w:r>
          </w:p>
        </w:tc>
        <w:tc>
          <w:tcPr>
            <w:tcW w:type="dxa" w:w="3135"/>
          </w:tcPr>
          <w:p>
            <w:pPr>
              <w:spacing w:line="240" w:lineRule="auto"/>
              <w:ind w:firstLine="0"/>
            </w:pPr>
            <w:r>
              <w:rPr>
                <w:sz w:val="18"/>
              </w:rPr>
              <w:t>Tempo de carga e processamento</w:t>
            </w:r>
          </w:p>
        </w:tc>
      </w:tr>
      <w:tr>
        <w:tc>
          <w:tcPr>
            <w:tcW w:type="dxa" w:w="3135"/>
          </w:tcPr>
          <w:p>
            <w:pPr>
              <w:spacing w:line="240" w:lineRule="auto"/>
              <w:ind w:firstLine="0"/>
            </w:pPr>
            <w:r>
              <w:rPr>
                <w:sz w:val="18"/>
              </w:rPr>
              <w:t>Consultas espaciais</w:t>
            </w:r>
          </w:p>
        </w:tc>
        <w:tc>
          <w:tcPr>
            <w:tcW w:type="dxa" w:w="3135"/>
          </w:tcPr>
          <w:p>
            <w:pPr>
              <w:spacing w:line="240" w:lineRule="auto"/>
              <w:ind w:firstLine="0"/>
            </w:pPr>
            <w:r>
              <w:rPr>
                <w:sz w:val="18"/>
              </w:rPr>
              <w:t>Estratégia implementada e alternativa, se viável</w:t>
            </w:r>
          </w:p>
        </w:tc>
        <w:tc>
          <w:tcPr>
            <w:tcW w:type="dxa" w:w="3135"/>
          </w:tcPr>
          <w:p>
            <w:pPr>
              <w:spacing w:line="240" w:lineRule="auto"/>
              <w:ind w:firstLine="0"/>
            </w:pPr>
            <w:r>
              <w:rPr>
                <w:sz w:val="18"/>
              </w:rPr>
              <w:t>Tempo por consulta/ciclo</w:t>
            </w:r>
          </w:p>
        </w:tc>
      </w:tr>
    </w:tbl>
    <w:p>
      <w:pPr>
        <w:ind w:firstLine="0"/>
        <w:jc w:val="center"/>
      </w:pPr>
      <w:r>
        <w:rPr>
          <w:sz w:val="20"/>
        </w:rPr>
        <w:t>Fonte: elaboração própria (2026). Experimentos não executados nesta revisão.</w:t>
      </w:r>
    </w:p>
    <w:p>
      <w:r>
        <w:t>Sem medições reais, não é possível afirmar escalabilidade, superioridade computacional em relação a NetLogo, Mesa ou Repast, nem complexidade prática garantida das consultas espaciais. Caso implementadas por varredura completa dos agentes humanos e mosquitos, comparações par a par podem crescer proporcionalmente ao produto das populações; entretanto, a avaliação da implementação GAMA requer medidas e inspeção das operações realmente chamadas.</w:t>
      </w:r>
    </w:p>
    <w:p>
      <w:pPr>
        <w:pStyle w:val="Heading1"/>
      </w:pPr>
      <w:r>
        <w:t>5.9 Discussão crítica e limitações</w:t>
      </w:r>
    </w:p>
    <w:p>
      <w:r>
        <w:t>O arquivo consultado demonstra que o software dispõe de uma rotina de registro de séries temporais, com variação dos estados humanos e vetoriais no intervalo exportado. Entretanto, as diferenças entre totais e estados, o crescimento de uma unidade na população humana e a ausência de metadados suficientes impedem classificar essas saídas como validação do modelo. Tais limitações são especialmente relevantes porque um simulador pode produzir curvas visualmente plausíveis apesar de conter erros de implementação ou hipóteses inadequadas.</w:t>
      </w:r>
    </w:p>
    <w:p>
      <w:r>
        <w:t>Os trabalhos de Oliveira et al. (2025) e Garcias (2024) oferecem contexto para a modelagem da dengue em GAMA, enquanto Gamal et al. (2025) fundamentam a distinção entre variabilidade estocástica, incerteza paramétrica e análise espaço-temporal. Seus resultados numéricos e cenários são externos a este projeto; não constituem validação automática das saídas do TccAbm.</w:t>
      </w:r>
    </w:p>
    <w:p>
      <w:r>
        <w:t>Portanto, a contribuição computacional demonstrável nesta etapa está na análise rastreável do software, na descrição das evidências existentes e na especificação de um protocolo capaz de produzir resultados auditáveis. A confirmação experimental da correção do código, da adequação epidemiológica e do desempenho ainda requer novas execuções e documentação sistemática.</w:t>
      </w:r>
    </w:p>
    <w:p>
      <w:pPr/>
      <w:r>
        <w:t>A aplicação de métodos de incerteza espaço-temporal, inspirados em Gamal et al. (2025), somente será considerada após a instrumentação de resultados desagregados por território e o controle de replicações. A presença de heterogeneidade espacial ou de dispersão entre sementes, por si só, não valida a representação epidemiológica nem estabelece capacidade preditiva.</w:t>
      </w:r>
    </w:p>
    <w:p>
      <w:pPr>
        <w:pStyle w:val="Heading1"/>
      </w:pPr>
      <w:r>
        <w:t>5.10 Síntese do capítulo</w:t>
      </w:r>
    </w:p>
    <w:p>
      <w:r>
        <w:t>Foi identificado um arquivo CSV com 229 registros e quatro experimentos em lote declarados no código-fonte do instantâneo analisado. A inspeção exploratória evidenciou divergências na contabilização dos estados vetoriais, ausência de identificadores adequados de execução e pontos que exigem teste no controle temporal, nas sementes e na parametrização. O capítulo distingue evidências registradas, configurações implementadas e etapas ainda não executadas ou não verificadas. Antes de concluir sobre sensibilidade, vacinação, escalabilidade ou validade epidemiológica, são necessárias execuções controladas e reproduzíveis.</w:t>
      </w:r>
    </w:p>
    <w:p>
      <w:pPr>
        <w:pStyle w:val="Heading1"/>
      </w:pPr>
      <w:r>
        <w:t>REFERÊNCIAS UTILIZADAS NESTE CAPÍTULO</w:t>
      </w:r>
    </w:p>
    <w:p>
      <w:pPr/>
      <w:r>
        <w:t>GAMAL, Yahya; HEPPENSTALL, Alison; STRACHAN, William; COLASANTI, Ricardo; ZIA, Kashif. An analysis of spatial and temporal uncertainty propagation in agent-based models. Philosophical Transactions of the Royal Society A: Mathematical, Physical and Engineering Sciences, v. 383, n. 2293, art. 20240229, 2025. DOI: 10.1098/rsta.2024.0229. Disponível em: https://doi.org/10.1098/rsta.2024.0229. Acesso em: 27 out. 2026.</w:t>
      </w:r>
    </w:p>
    <w:p>
      <w:r>
        <w:t>GARCIAS, David Batista. Modelo de Simulação da Transmissão da Dengue Baseado em Agentes. Dissertação (Mestrado) — Universidade NOVA de Lisboa, 2024.</w:t>
      </w:r>
    </w:p>
    <w:p>
      <w:r>
        <w:t>GRIMM, Volker et al. The ODD protocol for describing agent-based and other simulation models: a second update to improve clarity, replication, and structural realism. Journal of Artificial Societies and Social Simulation, v. 23, n. 2, art. 7, 2020. DOI: 10.18564/jasss.4259.</w:t>
      </w:r>
    </w:p>
    <w:p>
      <w:r>
        <w:t>MACAL, Charles M.; NORTH, Michael J. Tutorial on agent-based modelling and simulation. Journal of Simulation, v. 4, p. 151–162, 2010. DOI: 10.1057/jos.2010.3.</w:t>
      </w:r>
    </w:p>
    <w:p>
      <w:r>
        <w:t>MORRIS, Max D. Factorial sampling plans for preliminary computational experiments. Technometrics, v. 33, n. 2, p. 161–174, 1991. DOI: 10.1080/00401706.1991.10484804.</w:t>
      </w:r>
    </w:p>
    <w:p>
      <w:r>
        <w:t>OLIVEIRA, Emily Brito de et al. Modelo de Transmissão da Dengue por Simulação Multi-Agentes. In: SIMPÓSIO BRASILEIRO DE PESQUISA OPERACIONAL, 57., 2025. Anais [...]. DOI: 10.59254/sbpo-2025-212362.</w:t>
      </w:r>
    </w:p>
    <w:p>
      <w:r>
        <w:t>SOBOL, Ilya M. Global sensitivity indices for nonlinear mathematical models and their Monte Carlo estimates. Mathematics and Computers in Simulation, v. 55, p. 271–280, 2001. DOI: 10.1016/S0378-4754(00)00270-6.</w:t>
      </w:r>
    </w:p>
    <w:p>
      <w:pPr/>
      <w:r>
        <w:t>SANDERSON, Grant. Simulating an epidemic. 3Blue1Brown, 27 mar. 2020. Vídeo (23 min 12 s). Disponível em: https://www.youtube.com/watch?v=gxAaO2rsdIs. Acesso em: 27 out. 2026.</w:t>
      </w:r>
    </w:p>
    <w:p>
      <w:r>
        <w:t>TCCABM. Repositório de código e dados do simulador. GitHub: hkioshi/TccAbm. Disponível em: https://github.com/hkioshi/TccAbm. Acesso em: 26 out. 2026.</w:t>
      </w:r>
    </w:p>
    <w:sectPr w:rsidR="00FC693F" w:rsidRPr="0006063C" w:rsidSect="00034616">
      <w:footerReference w:type="default" r:id="rId11"/>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Capítulo 5 — versão de trabalho; resultados não validados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