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b" ContentType="application/vnd.ms-excel.sheet.binary.macroEnabled.12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Ex1.xml" ContentType="application/vnd.ms-office.chartex+xml"/>
  <Override PartName="/word/charts/style2.xml" ContentType="application/vnd.ms-office.chartstyle+xml"/>
  <Override PartName="/word/charts/colors2.xml" ContentType="application/vnd.ms-office.chartcolorstyle+xml"/>
  <Override PartName="/word/charts/chart2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3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00A78" w14:textId="6607B66F" w:rsidR="00731ADB" w:rsidRDefault="00731ADB" w:rsidP="00731ADB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Data Analysis for Managers - CIA-1</w:t>
      </w:r>
    </w:p>
    <w:p w14:paraId="50EEAD7E" w14:textId="76FE9CB9" w:rsidR="00731ADB" w:rsidRPr="00731ADB" w:rsidRDefault="00731ADB" w:rsidP="00731ADB">
      <w:pPr>
        <w:jc w:val="center"/>
        <w:rPr>
          <w:rFonts w:ascii="Times New Roman" w:hAnsi="Times New Roman" w:cs="Times New Roman"/>
          <w:sz w:val="28"/>
          <w:szCs w:val="28"/>
        </w:rPr>
      </w:pPr>
      <w:r w:rsidRPr="00731ADB">
        <w:rPr>
          <w:rFonts w:ascii="Times New Roman" w:hAnsi="Times New Roman" w:cs="Times New Roman"/>
          <w:sz w:val="28"/>
          <w:szCs w:val="28"/>
        </w:rPr>
        <w:t>Hemanath Kumar J - 21121015</w:t>
      </w:r>
    </w:p>
    <w:p w14:paraId="38DE69F2" w14:textId="09760404" w:rsidR="00731ADB" w:rsidRPr="00731ADB" w:rsidRDefault="00731ADB" w:rsidP="00731AD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31ADB">
        <w:rPr>
          <w:rFonts w:ascii="Times New Roman" w:hAnsi="Times New Roman" w:cs="Times New Roman"/>
          <w:b/>
          <w:bCs/>
          <w:sz w:val="32"/>
          <w:szCs w:val="32"/>
        </w:rPr>
        <w:t>List of Top Data Breaches (2004 - 2021)</w:t>
      </w:r>
    </w:p>
    <w:p w14:paraId="290B7ED3" w14:textId="53F4663C" w:rsidR="000E5AA1" w:rsidRPr="00B92497" w:rsidRDefault="00CC4A1E" w:rsidP="00B92497">
      <w:pPr>
        <w:jc w:val="center"/>
        <w:rPr>
          <w:rFonts w:ascii="Times New Roman" w:hAnsi="Times New Roman" w:cs="Times New Roman"/>
          <w:sz w:val="20"/>
          <w:szCs w:val="20"/>
        </w:rPr>
      </w:pPr>
      <w:hyperlink r:id="rId4" w:history="1">
        <w:r w:rsidR="00731ADB" w:rsidRPr="00731ADB">
          <w:rPr>
            <w:rStyle w:val="Hyperlink"/>
            <w:rFonts w:ascii="Times New Roman" w:hAnsi="Times New Roman" w:cs="Times New Roman"/>
            <w:sz w:val="20"/>
            <w:szCs w:val="20"/>
          </w:rPr>
          <w:t>https://www.kaggle.com/hishaamarmghan/list-of-top-data-breaches-2004-2021</w:t>
        </w:r>
      </w:hyperlink>
    </w:p>
    <w:p w14:paraId="4A12513E" w14:textId="0C8409AA" w:rsidR="000E5AA1" w:rsidRDefault="000E5AA1">
      <w:pPr>
        <w:rPr>
          <w:lang w:val="en-US"/>
        </w:rPr>
      </w:pPr>
    </w:p>
    <w:p w14:paraId="6F8DA857" w14:textId="37A3FDC6" w:rsidR="00291A09" w:rsidRDefault="00556AF6">
      <w:pPr>
        <w:rPr>
          <w:lang w:val="en-US"/>
        </w:rPr>
      </w:pPr>
      <w:r>
        <w:rPr>
          <w:lang w:val="en-US"/>
        </w:rPr>
        <w:object w:dxaOrig="1543" w:dyaOrig="995" w14:anchorId="407364D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49.5pt" o:ole="">
            <v:imagedata r:id="rId5" o:title=""/>
          </v:shape>
          <o:OLEObject Type="Embed" ProgID="Excel.SheetBinaryMacroEnabled.12" ShapeID="_x0000_i1025" DrawAspect="Icon" ObjectID="_1692438523" r:id="rId6"/>
        </w:object>
      </w:r>
    </w:p>
    <w:p w14:paraId="6D9DC5B5" w14:textId="1D63227A" w:rsidR="00291A09" w:rsidRDefault="00346F95">
      <w:pPr>
        <w:rPr>
          <w:lang w:val="en-US"/>
        </w:rPr>
      </w:pPr>
      <w:r>
        <w:rPr>
          <w:lang w:val="en-US"/>
        </w:rPr>
        <w:t xml:space="preserve">Data breaching is still a major issue in today’s world. There are data breaches even in some of the big companies in the world. Technology can be either a boon or a bane. The data selected </w:t>
      </w:r>
      <w:r w:rsidRPr="00346F95">
        <w:rPr>
          <w:lang w:val="en-US"/>
        </w:rPr>
        <w:t>stud</w:t>
      </w:r>
      <w:r>
        <w:rPr>
          <w:lang w:val="en-US"/>
        </w:rPr>
        <w:t>ies</w:t>
      </w:r>
      <w:r w:rsidRPr="00346F95">
        <w:rPr>
          <w:lang w:val="en-US"/>
        </w:rPr>
        <w:t xml:space="preserve"> this issue in great depth</w:t>
      </w:r>
      <w:r>
        <w:rPr>
          <w:lang w:val="en-US"/>
        </w:rPr>
        <w:t xml:space="preserve"> and analyzes the trends so far.</w:t>
      </w:r>
      <w:r w:rsidR="00556AF6">
        <w:rPr>
          <w:lang w:val="en-US"/>
        </w:rPr>
        <w:t xml:space="preserve"> </w:t>
      </w:r>
      <w:r w:rsidR="001B33FB">
        <w:rPr>
          <w:lang w:val="en-US"/>
        </w:rPr>
        <w:t xml:space="preserve">The data which I took was in ratio scale. </w:t>
      </w:r>
      <w:r w:rsidR="00556AF6">
        <w:rPr>
          <w:lang w:val="en-US"/>
        </w:rPr>
        <w:t>Among all the sectors, I chose healthcare sector</w:t>
      </w:r>
      <w:r w:rsidR="001B33FB">
        <w:rPr>
          <w:lang w:val="en-US"/>
        </w:rPr>
        <w:t xml:space="preserve"> (converted on the basis of nominal scale).</w:t>
      </w:r>
    </w:p>
    <w:p w14:paraId="56A740DE" w14:textId="77777777" w:rsidR="000E5AA1" w:rsidRDefault="000E5AA1">
      <w:pPr>
        <w:rPr>
          <w:lang w:val="en-US"/>
        </w:rPr>
      </w:pPr>
    </w:p>
    <w:p w14:paraId="1FF7D2A1" w14:textId="10DE6F4C" w:rsidR="00E26C9B" w:rsidRPr="005B77D2" w:rsidRDefault="00E26C9B">
      <w:pPr>
        <w:rPr>
          <w:b/>
          <w:bCs/>
          <w:lang w:val="en-US"/>
        </w:rPr>
      </w:pPr>
      <w:r w:rsidRPr="005B77D2">
        <w:rPr>
          <w:b/>
          <w:bCs/>
          <w:lang w:val="en-US"/>
        </w:rPr>
        <w:t>Bar graph</w:t>
      </w:r>
      <w:r w:rsidR="005B77D2" w:rsidRPr="005B77D2">
        <w:rPr>
          <w:b/>
          <w:bCs/>
          <w:lang w:val="en-US"/>
        </w:rPr>
        <w:t>:</w:t>
      </w:r>
    </w:p>
    <w:p w14:paraId="1C2110EC" w14:textId="20556A8D" w:rsidR="007C02E5" w:rsidRDefault="00322FE6">
      <w:pPr>
        <w:rPr>
          <w:lang w:val="en-US"/>
        </w:rPr>
      </w:pPr>
      <w:r>
        <w:rPr>
          <w:noProof/>
        </w:rPr>
        <w:drawing>
          <wp:inline distT="0" distB="0" distL="0" distR="0" wp14:anchorId="7B11F37A" wp14:editId="57AA8EF5">
            <wp:extent cx="5848350" cy="3114675"/>
            <wp:effectExtent l="0" t="0" r="0" b="952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FBE2FCA5-B76C-49C5-BAB8-1D86E859601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4A0AE6C0" w14:textId="6202EF86" w:rsidR="001E3A00" w:rsidRDefault="00346F95">
      <w:pPr>
        <w:rPr>
          <w:lang w:val="en-US"/>
        </w:rPr>
      </w:pPr>
      <w:r w:rsidRPr="00053451">
        <w:rPr>
          <w:b/>
          <w:bCs/>
          <w:lang w:val="en-US"/>
        </w:rPr>
        <w:t>In</w:t>
      </w:r>
      <w:r w:rsidR="005F67AA" w:rsidRPr="00053451">
        <w:rPr>
          <w:b/>
          <w:bCs/>
          <w:lang w:val="en-US"/>
        </w:rPr>
        <w:t>ference</w:t>
      </w:r>
      <w:r w:rsidRPr="00053451">
        <w:rPr>
          <w:b/>
          <w:bCs/>
          <w:lang w:val="en-US"/>
        </w:rPr>
        <w:t>:</w:t>
      </w:r>
      <w:r>
        <w:rPr>
          <w:lang w:val="en-US"/>
        </w:rPr>
        <w:t xml:space="preserve"> </w:t>
      </w:r>
      <w:r w:rsidR="00164943">
        <w:rPr>
          <w:lang w:val="en-US"/>
        </w:rPr>
        <w:t>We can see from the bar graph that in 2021 there was maximum breaches</w:t>
      </w:r>
      <w:r w:rsidR="007B7E44">
        <w:rPr>
          <w:lang w:val="en-US"/>
        </w:rPr>
        <w:t xml:space="preserve"> from Anthem INC. (aka Blue Cross Blue Shield). This healthcare is present in many states inside the US. While some</w:t>
      </w:r>
      <w:r w:rsidR="00322FE6">
        <w:rPr>
          <w:lang w:val="en-US"/>
        </w:rPr>
        <w:t xml:space="preserve"> </w:t>
      </w:r>
      <w:r w:rsidR="007B7E44">
        <w:rPr>
          <w:lang w:val="en-US"/>
        </w:rPr>
        <w:t>of the healthcare mentioned has only one or few branches. There is also a sudden increase in number of breaches in 2021, which maybe because of poor maintenance.</w:t>
      </w:r>
    </w:p>
    <w:p w14:paraId="25ABDED1" w14:textId="07E56A7C" w:rsidR="00B92497" w:rsidRDefault="00B92497">
      <w:pPr>
        <w:rPr>
          <w:lang w:val="en-US"/>
        </w:rPr>
      </w:pPr>
    </w:p>
    <w:p w14:paraId="0732C090" w14:textId="77777777" w:rsidR="00B92497" w:rsidRDefault="00B92497">
      <w:pPr>
        <w:rPr>
          <w:lang w:val="en-US"/>
        </w:rPr>
      </w:pPr>
    </w:p>
    <w:p w14:paraId="218BD053" w14:textId="411214B4" w:rsidR="00E26C9B" w:rsidRDefault="00D23861">
      <w:pPr>
        <w:rPr>
          <w:lang w:val="en-US"/>
        </w:rPr>
      </w:pPr>
      <w:r w:rsidRPr="005B77D2">
        <w:rPr>
          <w:b/>
          <w:bCs/>
          <w:lang w:val="en-US"/>
        </w:rPr>
        <w:lastRenderedPageBreak/>
        <w:t>H</w:t>
      </w:r>
      <w:r w:rsidR="00E26C9B" w:rsidRPr="005B77D2">
        <w:rPr>
          <w:b/>
          <w:bCs/>
          <w:lang w:val="en-US"/>
        </w:rPr>
        <w:t>istogram</w:t>
      </w:r>
      <w:r w:rsidR="005B77D2" w:rsidRPr="005B77D2">
        <w:rPr>
          <w:b/>
          <w:bCs/>
          <w:lang w:val="en-US"/>
        </w:rPr>
        <w:t>:</w:t>
      </w:r>
      <w:r w:rsidR="005B77D2">
        <w:rPr>
          <w:lang w:val="en-US"/>
        </w:rPr>
        <w:t xml:space="preserve"> No. of hacked</w:t>
      </w:r>
      <w:r w:rsidR="007B7E44">
        <w:rPr>
          <w:lang w:val="en-US"/>
        </w:rPr>
        <w:t xml:space="preserve"> in healthcare</w:t>
      </w:r>
      <w:r w:rsidR="005B77D2">
        <w:rPr>
          <w:lang w:val="en-US"/>
        </w:rPr>
        <w:t xml:space="preserve"> vs Years</w:t>
      </w:r>
    </w:p>
    <w:p w14:paraId="60133FDF" w14:textId="4D8FCA6C" w:rsidR="00D23861" w:rsidRDefault="005F67AA">
      <w:pPr>
        <w:rPr>
          <w:lang w:val="en-US"/>
        </w:rPr>
      </w:pPr>
      <w:r>
        <w:rPr>
          <w:noProof/>
        </w:rPr>
        <mc:AlternateContent>
          <mc:Choice Requires="cx1">
            <w:drawing>
              <wp:inline distT="0" distB="0" distL="0" distR="0" wp14:anchorId="7907C5EF" wp14:editId="0338BB1F">
                <wp:extent cx="5867400" cy="3143250"/>
                <wp:effectExtent l="0" t="0" r="0" b="0"/>
                <wp:docPr id="9" name="Chart 9">
                  <a:extLst xmlns:a="http://schemas.openxmlformats.org/drawingml/2006/main">
                    <a:ext uri="{FF2B5EF4-FFF2-40B4-BE49-F238E27FC236}">
                      <a16:creationId xmlns:a16="http://schemas.microsoft.com/office/drawing/2014/main" id="{D8010172-0DBB-4823-9A33-3B8413A6D5A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8"/>
                  </a:graphicData>
                </a:graphic>
              </wp:inline>
            </w:drawing>
          </mc:Choice>
          <mc:Fallback>
            <w:drawing>
              <wp:inline distT="0" distB="0" distL="0" distR="0" wp14:anchorId="7907C5EF" wp14:editId="0338BB1F">
                <wp:extent cx="5867400" cy="3143250"/>
                <wp:effectExtent l="0" t="0" r="0" b="0"/>
                <wp:docPr id="9" name="Chart 9">
                  <a:extLst xmlns:a="http://schemas.openxmlformats.org/drawingml/2006/main">
                    <a:ext uri="{FF2B5EF4-FFF2-40B4-BE49-F238E27FC236}">
                      <a16:creationId xmlns:a16="http://schemas.microsoft.com/office/drawing/2014/main" id="{D8010172-0DBB-4823-9A33-3B8413A6D5AD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Chart 9">
                          <a:extLst>
                            <a:ext uri="{FF2B5EF4-FFF2-40B4-BE49-F238E27FC236}">
                              <a16:creationId xmlns:a16="http://schemas.microsoft.com/office/drawing/2014/main" id="{D8010172-0DBB-4823-9A33-3B8413A6D5AD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67400" cy="31432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1626E5A6" w14:textId="793174E8" w:rsidR="00291A09" w:rsidRDefault="007B7E44">
      <w:pPr>
        <w:rPr>
          <w:lang w:val="en-US"/>
        </w:rPr>
      </w:pPr>
      <w:r w:rsidRPr="007B7E44">
        <w:rPr>
          <w:b/>
          <w:bCs/>
          <w:lang w:val="en-US"/>
        </w:rPr>
        <w:t xml:space="preserve">Inference: </w:t>
      </w:r>
      <w:r>
        <w:rPr>
          <w:lang w:val="en-US"/>
        </w:rPr>
        <w:t>From this histogram, we can see that the hacking was the major issue, compared to other minor issues like poor security &amp; stolen media. Hacking is reduced when compared with a decade before, but still need more focus</w:t>
      </w:r>
      <w:r w:rsidR="00902371">
        <w:rPr>
          <w:lang w:val="en-US"/>
        </w:rPr>
        <w:t xml:space="preserve"> as it’s being constant over the past years.</w:t>
      </w:r>
    </w:p>
    <w:p w14:paraId="2154CA03" w14:textId="77777777" w:rsidR="00622FD2" w:rsidRDefault="00622FD2">
      <w:pPr>
        <w:rPr>
          <w:lang w:val="en-US"/>
        </w:rPr>
      </w:pPr>
    </w:p>
    <w:p w14:paraId="6C89BED1" w14:textId="4FE2CD04" w:rsidR="00E26C9B" w:rsidRPr="00F36201" w:rsidRDefault="00E26C9B">
      <w:pPr>
        <w:rPr>
          <w:lang w:val="en-US"/>
        </w:rPr>
      </w:pPr>
      <w:r w:rsidRPr="005B77D2">
        <w:rPr>
          <w:b/>
          <w:bCs/>
          <w:lang w:val="en-US"/>
        </w:rPr>
        <w:t>Pie chart</w:t>
      </w:r>
      <w:r w:rsidR="005B77D2" w:rsidRPr="005B77D2">
        <w:rPr>
          <w:b/>
          <w:bCs/>
          <w:lang w:val="en-US"/>
        </w:rPr>
        <w:t>:</w:t>
      </w:r>
      <w:r w:rsidR="00F36201">
        <w:rPr>
          <w:b/>
          <w:bCs/>
          <w:lang w:val="en-US"/>
        </w:rPr>
        <w:t xml:space="preserve"> </w:t>
      </w:r>
      <w:r w:rsidR="00F36201">
        <w:rPr>
          <w:lang w:val="en-US"/>
        </w:rPr>
        <w:t>Year and Percentage of hacks at healthcare sector.</w:t>
      </w:r>
    </w:p>
    <w:p w14:paraId="50259F4A" w14:textId="2B71CA92" w:rsidR="00E26C9B" w:rsidRDefault="00B958E7">
      <w:pPr>
        <w:rPr>
          <w:lang w:val="en-US"/>
        </w:rPr>
      </w:pPr>
      <w:r>
        <w:rPr>
          <w:noProof/>
        </w:rPr>
        <w:drawing>
          <wp:inline distT="0" distB="0" distL="0" distR="0" wp14:anchorId="4774FC95" wp14:editId="7462FF5A">
            <wp:extent cx="4257675" cy="3200400"/>
            <wp:effectExtent l="0" t="0" r="9525" b="0"/>
            <wp:docPr id="11" name="Chart 11">
              <a:extLst xmlns:a="http://schemas.openxmlformats.org/drawingml/2006/main">
                <a:ext uri="{FF2B5EF4-FFF2-40B4-BE49-F238E27FC236}">
                  <a16:creationId xmlns:a16="http://schemas.microsoft.com/office/drawing/2014/main" id="{D632AA42-3A8B-43CB-BE18-30248E0817D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7711982B" w14:textId="4111F98D" w:rsidR="00622FD2" w:rsidRDefault="00902371">
      <w:pPr>
        <w:rPr>
          <w:lang w:val="en-US"/>
        </w:rPr>
      </w:pPr>
      <w:r>
        <w:rPr>
          <w:b/>
          <w:bCs/>
          <w:lang w:val="en-US"/>
        </w:rPr>
        <w:t>Inference:</w:t>
      </w:r>
      <w:r>
        <w:rPr>
          <w:lang w:val="en-US"/>
        </w:rPr>
        <w:t xml:space="preserve"> This pie chart shows that </w:t>
      </w:r>
      <w:r w:rsidR="00246C07">
        <w:rPr>
          <w:lang w:val="en-US"/>
        </w:rPr>
        <w:t>the hacking count was more at 2009-2010 at healthcare industries.</w:t>
      </w:r>
    </w:p>
    <w:p w14:paraId="543718F6" w14:textId="5A968981" w:rsidR="00E26C9B" w:rsidRDefault="00E26C9B">
      <w:pPr>
        <w:rPr>
          <w:lang w:val="en-US"/>
        </w:rPr>
      </w:pPr>
      <w:r w:rsidRPr="005B77D2">
        <w:rPr>
          <w:b/>
          <w:bCs/>
          <w:lang w:val="en-US"/>
        </w:rPr>
        <w:lastRenderedPageBreak/>
        <w:t>Scatter plot</w:t>
      </w:r>
      <w:r w:rsidR="005B77D2" w:rsidRPr="005B77D2">
        <w:rPr>
          <w:b/>
          <w:bCs/>
          <w:lang w:val="en-US"/>
        </w:rPr>
        <w:t>:</w:t>
      </w:r>
      <w:r w:rsidR="005B77D2">
        <w:rPr>
          <w:lang w:val="en-US"/>
        </w:rPr>
        <w:t xml:space="preserve"> </w:t>
      </w:r>
      <w:r w:rsidR="000E5AA1">
        <w:rPr>
          <w:lang w:val="en-US"/>
        </w:rPr>
        <w:t>No. of breaches</w:t>
      </w:r>
      <w:r w:rsidR="009017BB">
        <w:rPr>
          <w:lang w:val="en-US"/>
        </w:rPr>
        <w:t xml:space="preserve"> happening through hacking</w:t>
      </w:r>
      <w:r w:rsidR="000E5AA1">
        <w:rPr>
          <w:lang w:val="en-US"/>
        </w:rPr>
        <w:t xml:space="preserve"> vs </w:t>
      </w:r>
      <w:r w:rsidR="009017BB">
        <w:rPr>
          <w:lang w:val="en-US"/>
        </w:rPr>
        <w:t>remaining types</w:t>
      </w:r>
      <w:r w:rsidR="00690515">
        <w:rPr>
          <w:lang w:val="en-US"/>
        </w:rPr>
        <w:t>(in all sectors)</w:t>
      </w:r>
    </w:p>
    <w:p w14:paraId="3450C882" w14:textId="3C5E7205" w:rsidR="00E26C9B" w:rsidRDefault="009017BB">
      <w:pPr>
        <w:rPr>
          <w:lang w:val="en-US"/>
        </w:rPr>
      </w:pPr>
      <w:r>
        <w:rPr>
          <w:noProof/>
        </w:rPr>
        <w:drawing>
          <wp:inline distT="0" distB="0" distL="0" distR="0" wp14:anchorId="0E48EC6E" wp14:editId="20EFCDAC">
            <wp:extent cx="5810250" cy="3648075"/>
            <wp:effectExtent l="0" t="0" r="0" b="9525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69758D7E-A2A5-4662-85CB-4B1DDA1F9B1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057F4797" w14:textId="57754DA0" w:rsidR="00731ADB" w:rsidRDefault="00291A09">
      <w:pPr>
        <w:rPr>
          <w:lang w:val="en-US"/>
        </w:rPr>
      </w:pPr>
      <w:r>
        <w:rPr>
          <w:b/>
          <w:bCs/>
          <w:lang w:val="en-US"/>
        </w:rPr>
        <w:t xml:space="preserve">Inference: </w:t>
      </w:r>
      <w:r w:rsidR="00B92497">
        <w:rPr>
          <w:lang w:val="en-US"/>
        </w:rPr>
        <w:t>This data doesn’t seem to resemble any type of pattern. So f</w:t>
      </w:r>
      <w:r w:rsidR="00B92497" w:rsidRPr="00B92497">
        <w:rPr>
          <w:lang w:val="en-US"/>
        </w:rPr>
        <w:t>or this there is no visible relation between the two variables</w:t>
      </w:r>
      <w:r w:rsidR="00B92497">
        <w:rPr>
          <w:lang w:val="en-US"/>
        </w:rPr>
        <w:t>.</w:t>
      </w:r>
    </w:p>
    <w:p w14:paraId="6201DDA4" w14:textId="77777777" w:rsidR="00622FD2" w:rsidRDefault="00622FD2">
      <w:pPr>
        <w:rPr>
          <w:lang w:val="en-US"/>
        </w:rPr>
      </w:pPr>
    </w:p>
    <w:p w14:paraId="355F03AA" w14:textId="1662F747" w:rsidR="00AE4E50" w:rsidRDefault="005F67AA">
      <w:pPr>
        <w:rPr>
          <w:b/>
          <w:bCs/>
          <w:lang w:val="en-US"/>
        </w:rPr>
      </w:pPr>
      <w:r w:rsidRPr="005F67AA">
        <w:rPr>
          <w:b/>
          <w:bCs/>
          <w:lang w:val="en-US"/>
        </w:rPr>
        <w:t>Contingency table:</w:t>
      </w:r>
    </w:p>
    <w:p w14:paraId="6DB514D0" w14:textId="77777777" w:rsidR="00B92497" w:rsidRPr="00B92497" w:rsidRDefault="00B92497">
      <w:pPr>
        <w:rPr>
          <w:b/>
          <w:bCs/>
          <w:lang w:val="en-US"/>
        </w:rPr>
      </w:pPr>
    </w:p>
    <w:tbl>
      <w:tblPr>
        <w:tblW w:w="9134" w:type="dxa"/>
        <w:tblInd w:w="108" w:type="dxa"/>
        <w:tblLook w:val="04A0" w:firstRow="1" w:lastRow="0" w:firstColumn="1" w:lastColumn="0" w:noHBand="0" w:noVBand="1"/>
      </w:tblPr>
      <w:tblGrid>
        <w:gridCol w:w="1381"/>
        <w:gridCol w:w="1961"/>
        <w:gridCol w:w="1620"/>
        <w:gridCol w:w="1540"/>
        <w:gridCol w:w="547"/>
        <w:gridCol w:w="989"/>
        <w:gridCol w:w="548"/>
        <w:gridCol w:w="548"/>
      </w:tblGrid>
      <w:tr w:rsidR="005B77D2" w:rsidRPr="00AE4E50" w14:paraId="0E09D2A7" w14:textId="5A10E1D2" w:rsidTr="005B77D2">
        <w:trPr>
          <w:trHeight w:val="300"/>
        </w:trPr>
        <w:tc>
          <w:tcPr>
            <w:tcW w:w="1381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41FB54F" w14:textId="77777777" w:rsidR="005B77D2" w:rsidRPr="00AE4E50" w:rsidRDefault="005B77D2" w:rsidP="00AE4E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AE4E50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Row Labels</w:t>
            </w:r>
          </w:p>
        </w:tc>
        <w:tc>
          <w:tcPr>
            <w:tcW w:w="1961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F7B657A" w14:textId="77777777" w:rsidR="005B77D2" w:rsidRPr="00AE4E50" w:rsidRDefault="005B77D2" w:rsidP="00AE4E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AE4E50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Count of healthcare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BF0C1A1" w14:textId="77777777" w:rsidR="005B77D2" w:rsidRPr="00AE4E50" w:rsidRDefault="005B77D2" w:rsidP="00AE4E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AE4E50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Count of hacked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E40FBD4" w14:textId="77777777" w:rsidR="005B77D2" w:rsidRPr="00AE4E50" w:rsidRDefault="005B77D2" w:rsidP="00AE4E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AE4E50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Sum of 2200000</w:t>
            </w:r>
          </w:p>
        </w:tc>
        <w:tc>
          <w:tcPr>
            <w:tcW w:w="658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</w:tcPr>
          <w:p w14:paraId="54B41845" w14:textId="77777777" w:rsidR="005B77D2" w:rsidRPr="00AE4E50" w:rsidRDefault="005B77D2" w:rsidP="00AE4E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</w:tcPr>
          <w:p w14:paraId="1C13E6E3" w14:textId="45FF0D2E" w:rsidR="005B77D2" w:rsidRPr="00AE4E50" w:rsidRDefault="005B77D2" w:rsidP="00AE4E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Range</w:t>
            </w:r>
          </w:p>
        </w:tc>
        <w:tc>
          <w:tcPr>
            <w:tcW w:w="658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</w:tcPr>
          <w:p w14:paraId="428D4172" w14:textId="77777777" w:rsidR="005B77D2" w:rsidRPr="00AE4E50" w:rsidRDefault="005B77D2" w:rsidP="00AE4E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</w:tcPr>
          <w:p w14:paraId="401487FC" w14:textId="77777777" w:rsidR="005B77D2" w:rsidRPr="00AE4E50" w:rsidRDefault="005B77D2" w:rsidP="00AE4E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</w:tr>
      <w:tr w:rsidR="005B77D2" w:rsidRPr="00AE4E50" w14:paraId="2F0716C4" w14:textId="6EB192A7" w:rsidTr="005B77D2">
        <w:trPr>
          <w:trHeight w:val="300"/>
        </w:trPr>
        <w:tc>
          <w:tcPr>
            <w:tcW w:w="1381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9E313F5" w14:textId="77777777" w:rsidR="005B77D2" w:rsidRPr="00AE4E50" w:rsidRDefault="005B77D2" w:rsidP="00AE4E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AE4E50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2016</w:t>
            </w:r>
          </w:p>
        </w:tc>
        <w:tc>
          <w:tcPr>
            <w:tcW w:w="1961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78155D4" w14:textId="77777777" w:rsidR="005B77D2" w:rsidRPr="00AE4E50" w:rsidRDefault="005B77D2" w:rsidP="00AE4E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AE4E50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7C665DC" w14:textId="77777777" w:rsidR="005B77D2" w:rsidRPr="00AE4E50" w:rsidRDefault="005B77D2" w:rsidP="00AE4E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AE4E50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9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13E531B" w14:textId="77777777" w:rsidR="005B77D2" w:rsidRPr="00AE4E50" w:rsidRDefault="005B77D2" w:rsidP="00AE4E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AE4E50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67018816</w:t>
            </w:r>
          </w:p>
        </w:tc>
        <w:tc>
          <w:tcPr>
            <w:tcW w:w="658" w:type="dxa"/>
            <w:tcBorders>
              <w:top w:val="nil"/>
              <w:left w:val="nil"/>
              <w:bottom w:val="single" w:sz="4" w:space="0" w:color="8EA9DB"/>
              <w:right w:val="nil"/>
            </w:tcBorders>
          </w:tcPr>
          <w:p w14:paraId="2D541525" w14:textId="77777777" w:rsidR="005B77D2" w:rsidRPr="00AE4E50" w:rsidRDefault="005B77D2" w:rsidP="00AE4E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single" w:sz="4" w:space="0" w:color="8EA9DB"/>
              <w:right w:val="nil"/>
            </w:tcBorders>
          </w:tcPr>
          <w:p w14:paraId="0DBBE551" w14:textId="45D453DA" w:rsidR="005B77D2" w:rsidRPr="00AE4E50" w:rsidRDefault="005B77D2" w:rsidP="00AE4E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Low</w:t>
            </w:r>
          </w:p>
        </w:tc>
        <w:tc>
          <w:tcPr>
            <w:tcW w:w="658" w:type="dxa"/>
            <w:tcBorders>
              <w:top w:val="nil"/>
              <w:left w:val="nil"/>
              <w:bottom w:val="single" w:sz="4" w:space="0" w:color="8EA9DB"/>
              <w:right w:val="nil"/>
            </w:tcBorders>
          </w:tcPr>
          <w:p w14:paraId="7C5902BA" w14:textId="77777777" w:rsidR="005B77D2" w:rsidRPr="00AE4E50" w:rsidRDefault="005B77D2" w:rsidP="00AE4E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single" w:sz="4" w:space="0" w:color="8EA9DB"/>
              <w:right w:val="nil"/>
            </w:tcBorders>
          </w:tcPr>
          <w:p w14:paraId="7DCAA383" w14:textId="77777777" w:rsidR="005B77D2" w:rsidRPr="00AE4E50" w:rsidRDefault="005B77D2" w:rsidP="00AE4E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</w:tr>
      <w:tr w:rsidR="005B77D2" w:rsidRPr="00AE4E50" w14:paraId="00EDDB0F" w14:textId="61EFC1DD" w:rsidTr="005B77D2">
        <w:trPr>
          <w:trHeight w:val="300"/>
        </w:trPr>
        <w:tc>
          <w:tcPr>
            <w:tcW w:w="1381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E011C85" w14:textId="77777777" w:rsidR="005B77D2" w:rsidRPr="00AE4E50" w:rsidRDefault="005B77D2" w:rsidP="00AE4E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AE4E50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2017</w:t>
            </w:r>
          </w:p>
        </w:tc>
        <w:tc>
          <w:tcPr>
            <w:tcW w:w="1961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BAFE073" w14:textId="77777777" w:rsidR="005B77D2" w:rsidRPr="00AE4E50" w:rsidRDefault="005B77D2" w:rsidP="00AE4E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AE4E50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5427637" w14:textId="77777777" w:rsidR="005B77D2" w:rsidRPr="00AE4E50" w:rsidRDefault="005B77D2" w:rsidP="00AE4E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AE4E50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4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1BDFF09" w14:textId="77777777" w:rsidR="005B77D2" w:rsidRPr="00AE4E50" w:rsidRDefault="005B77D2" w:rsidP="00AE4E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AE4E50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89747877</w:t>
            </w:r>
          </w:p>
        </w:tc>
        <w:tc>
          <w:tcPr>
            <w:tcW w:w="658" w:type="dxa"/>
            <w:tcBorders>
              <w:top w:val="nil"/>
              <w:left w:val="nil"/>
              <w:bottom w:val="single" w:sz="4" w:space="0" w:color="8EA9DB"/>
              <w:right w:val="nil"/>
            </w:tcBorders>
          </w:tcPr>
          <w:p w14:paraId="45ED1D11" w14:textId="77777777" w:rsidR="005B77D2" w:rsidRPr="00AE4E50" w:rsidRDefault="005B77D2" w:rsidP="00AE4E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single" w:sz="4" w:space="0" w:color="8EA9DB"/>
              <w:right w:val="nil"/>
            </w:tcBorders>
          </w:tcPr>
          <w:p w14:paraId="3480F097" w14:textId="3C6E7137" w:rsidR="005B77D2" w:rsidRPr="00AE4E50" w:rsidRDefault="005B77D2" w:rsidP="00AE4E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Low</w:t>
            </w:r>
          </w:p>
        </w:tc>
        <w:tc>
          <w:tcPr>
            <w:tcW w:w="658" w:type="dxa"/>
            <w:tcBorders>
              <w:top w:val="nil"/>
              <w:left w:val="nil"/>
              <w:bottom w:val="single" w:sz="4" w:space="0" w:color="8EA9DB"/>
              <w:right w:val="nil"/>
            </w:tcBorders>
          </w:tcPr>
          <w:p w14:paraId="519A9B69" w14:textId="77777777" w:rsidR="005B77D2" w:rsidRPr="00AE4E50" w:rsidRDefault="005B77D2" w:rsidP="00AE4E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single" w:sz="4" w:space="0" w:color="8EA9DB"/>
              <w:right w:val="nil"/>
            </w:tcBorders>
          </w:tcPr>
          <w:p w14:paraId="3348DAB8" w14:textId="77777777" w:rsidR="005B77D2" w:rsidRPr="00AE4E50" w:rsidRDefault="005B77D2" w:rsidP="00AE4E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</w:tr>
      <w:tr w:rsidR="005B77D2" w:rsidRPr="00AE4E50" w14:paraId="18424607" w14:textId="0CFB9AF1" w:rsidTr="005B77D2">
        <w:trPr>
          <w:trHeight w:val="300"/>
        </w:trPr>
        <w:tc>
          <w:tcPr>
            <w:tcW w:w="1381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FF9794F" w14:textId="77777777" w:rsidR="005B77D2" w:rsidRPr="00AE4E50" w:rsidRDefault="005B77D2" w:rsidP="00AE4E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AE4E50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2018</w:t>
            </w:r>
          </w:p>
        </w:tc>
        <w:tc>
          <w:tcPr>
            <w:tcW w:w="1961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0AFA1A4" w14:textId="77777777" w:rsidR="005B77D2" w:rsidRPr="00AE4E50" w:rsidRDefault="005B77D2" w:rsidP="00AE4E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AE4E50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CD902FE" w14:textId="77777777" w:rsidR="005B77D2" w:rsidRPr="00AE4E50" w:rsidRDefault="005B77D2" w:rsidP="00AE4E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AE4E50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8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C54B220" w14:textId="77777777" w:rsidR="005B77D2" w:rsidRPr="00AE4E50" w:rsidRDefault="005B77D2" w:rsidP="00AE4E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AE4E50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338730465</w:t>
            </w:r>
          </w:p>
        </w:tc>
        <w:tc>
          <w:tcPr>
            <w:tcW w:w="658" w:type="dxa"/>
            <w:tcBorders>
              <w:top w:val="nil"/>
              <w:left w:val="nil"/>
              <w:bottom w:val="single" w:sz="4" w:space="0" w:color="8EA9DB"/>
              <w:right w:val="nil"/>
            </w:tcBorders>
          </w:tcPr>
          <w:p w14:paraId="2B73B7B7" w14:textId="77777777" w:rsidR="005B77D2" w:rsidRPr="00AE4E50" w:rsidRDefault="005B77D2" w:rsidP="00AE4E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single" w:sz="4" w:space="0" w:color="8EA9DB"/>
              <w:right w:val="nil"/>
            </w:tcBorders>
          </w:tcPr>
          <w:p w14:paraId="115BA8BF" w14:textId="22BD972C" w:rsidR="005B77D2" w:rsidRPr="00AE4E50" w:rsidRDefault="005B77D2" w:rsidP="00AE4E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Medium</w:t>
            </w:r>
          </w:p>
        </w:tc>
        <w:tc>
          <w:tcPr>
            <w:tcW w:w="658" w:type="dxa"/>
            <w:tcBorders>
              <w:top w:val="nil"/>
              <w:left w:val="nil"/>
              <w:bottom w:val="single" w:sz="4" w:space="0" w:color="8EA9DB"/>
              <w:right w:val="nil"/>
            </w:tcBorders>
          </w:tcPr>
          <w:p w14:paraId="046562E2" w14:textId="77777777" w:rsidR="005B77D2" w:rsidRPr="00AE4E50" w:rsidRDefault="005B77D2" w:rsidP="00AE4E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single" w:sz="4" w:space="0" w:color="8EA9DB"/>
              <w:right w:val="nil"/>
            </w:tcBorders>
          </w:tcPr>
          <w:p w14:paraId="408F341F" w14:textId="77777777" w:rsidR="005B77D2" w:rsidRPr="00AE4E50" w:rsidRDefault="005B77D2" w:rsidP="00AE4E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</w:tr>
      <w:tr w:rsidR="005B77D2" w:rsidRPr="00AE4E50" w14:paraId="1CA7FBF7" w14:textId="50CF4FB2" w:rsidTr="005B77D2">
        <w:trPr>
          <w:trHeight w:val="300"/>
        </w:trPr>
        <w:tc>
          <w:tcPr>
            <w:tcW w:w="1381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1852A33" w14:textId="77777777" w:rsidR="005B77D2" w:rsidRPr="00AE4E50" w:rsidRDefault="005B77D2" w:rsidP="00AE4E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AE4E50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2019</w:t>
            </w:r>
          </w:p>
        </w:tc>
        <w:tc>
          <w:tcPr>
            <w:tcW w:w="1961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CB0AE16" w14:textId="77777777" w:rsidR="005B77D2" w:rsidRPr="00AE4E50" w:rsidRDefault="005B77D2" w:rsidP="00AE4E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AE4E50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1134761" w14:textId="77777777" w:rsidR="005B77D2" w:rsidRPr="00AE4E50" w:rsidRDefault="005B77D2" w:rsidP="00AE4E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AE4E50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9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BA60F5C" w14:textId="77777777" w:rsidR="005B77D2" w:rsidRPr="00AE4E50" w:rsidRDefault="005B77D2" w:rsidP="00AE4E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AE4E50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507839740</w:t>
            </w:r>
          </w:p>
        </w:tc>
        <w:tc>
          <w:tcPr>
            <w:tcW w:w="658" w:type="dxa"/>
            <w:tcBorders>
              <w:top w:val="nil"/>
              <w:left w:val="nil"/>
              <w:bottom w:val="single" w:sz="4" w:space="0" w:color="8EA9DB"/>
              <w:right w:val="nil"/>
            </w:tcBorders>
          </w:tcPr>
          <w:p w14:paraId="3C312F9D" w14:textId="77777777" w:rsidR="005B77D2" w:rsidRPr="00AE4E50" w:rsidRDefault="005B77D2" w:rsidP="00AE4E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single" w:sz="4" w:space="0" w:color="8EA9DB"/>
              <w:right w:val="nil"/>
            </w:tcBorders>
          </w:tcPr>
          <w:p w14:paraId="45FC6C9B" w14:textId="2E5A9AB8" w:rsidR="005B77D2" w:rsidRPr="00AE4E50" w:rsidRDefault="005B77D2" w:rsidP="00AE4E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Medium</w:t>
            </w:r>
          </w:p>
        </w:tc>
        <w:tc>
          <w:tcPr>
            <w:tcW w:w="658" w:type="dxa"/>
            <w:tcBorders>
              <w:top w:val="nil"/>
              <w:left w:val="nil"/>
              <w:bottom w:val="single" w:sz="4" w:space="0" w:color="8EA9DB"/>
              <w:right w:val="nil"/>
            </w:tcBorders>
          </w:tcPr>
          <w:p w14:paraId="7FDF5696" w14:textId="77777777" w:rsidR="005B77D2" w:rsidRPr="00AE4E50" w:rsidRDefault="005B77D2" w:rsidP="00AE4E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single" w:sz="4" w:space="0" w:color="8EA9DB"/>
              <w:right w:val="nil"/>
            </w:tcBorders>
          </w:tcPr>
          <w:p w14:paraId="3609C85B" w14:textId="77777777" w:rsidR="005B77D2" w:rsidRPr="00AE4E50" w:rsidRDefault="005B77D2" w:rsidP="00AE4E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</w:tr>
      <w:tr w:rsidR="005B77D2" w:rsidRPr="00AE4E50" w14:paraId="1232DCA8" w14:textId="30581B4F" w:rsidTr="005B77D2">
        <w:trPr>
          <w:trHeight w:val="300"/>
        </w:trPr>
        <w:tc>
          <w:tcPr>
            <w:tcW w:w="1381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379E767" w14:textId="77777777" w:rsidR="005B77D2" w:rsidRPr="00AE4E50" w:rsidRDefault="005B77D2" w:rsidP="00AE4E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AE4E50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2020</w:t>
            </w:r>
          </w:p>
        </w:tc>
        <w:tc>
          <w:tcPr>
            <w:tcW w:w="1961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6AF4EDC" w14:textId="77777777" w:rsidR="005B77D2" w:rsidRPr="00AE4E50" w:rsidRDefault="005B77D2" w:rsidP="00AE4E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AE4E50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16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E710BE4" w14:textId="77777777" w:rsidR="005B77D2" w:rsidRPr="00AE4E50" w:rsidRDefault="005B77D2" w:rsidP="00AE4E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AE4E50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16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1E1E59F" w14:textId="77777777" w:rsidR="005B77D2" w:rsidRPr="00AE4E50" w:rsidRDefault="005B77D2" w:rsidP="00AE4E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AE4E50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727621779</w:t>
            </w:r>
          </w:p>
        </w:tc>
        <w:tc>
          <w:tcPr>
            <w:tcW w:w="658" w:type="dxa"/>
            <w:tcBorders>
              <w:top w:val="nil"/>
              <w:left w:val="nil"/>
              <w:bottom w:val="single" w:sz="4" w:space="0" w:color="8EA9DB"/>
              <w:right w:val="nil"/>
            </w:tcBorders>
          </w:tcPr>
          <w:p w14:paraId="3F1C6DC8" w14:textId="77777777" w:rsidR="005B77D2" w:rsidRPr="00AE4E50" w:rsidRDefault="005B77D2" w:rsidP="00AE4E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single" w:sz="4" w:space="0" w:color="8EA9DB"/>
              <w:right w:val="nil"/>
            </w:tcBorders>
          </w:tcPr>
          <w:p w14:paraId="40AC6175" w14:textId="1688C337" w:rsidR="005B77D2" w:rsidRPr="00AE4E50" w:rsidRDefault="005B77D2" w:rsidP="00AE4E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High</w:t>
            </w:r>
          </w:p>
        </w:tc>
        <w:tc>
          <w:tcPr>
            <w:tcW w:w="658" w:type="dxa"/>
            <w:tcBorders>
              <w:top w:val="nil"/>
              <w:left w:val="nil"/>
              <w:bottom w:val="single" w:sz="4" w:space="0" w:color="8EA9DB"/>
              <w:right w:val="nil"/>
            </w:tcBorders>
          </w:tcPr>
          <w:p w14:paraId="30238A24" w14:textId="77777777" w:rsidR="005B77D2" w:rsidRPr="00AE4E50" w:rsidRDefault="005B77D2" w:rsidP="00AE4E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single" w:sz="4" w:space="0" w:color="8EA9DB"/>
              <w:right w:val="nil"/>
            </w:tcBorders>
          </w:tcPr>
          <w:p w14:paraId="5E77493D" w14:textId="77777777" w:rsidR="005B77D2" w:rsidRPr="00AE4E50" w:rsidRDefault="005B77D2" w:rsidP="00AE4E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</w:tr>
      <w:tr w:rsidR="005B77D2" w:rsidRPr="00AE4E50" w14:paraId="1E365603" w14:textId="214191E9" w:rsidTr="005B77D2">
        <w:trPr>
          <w:trHeight w:val="300"/>
        </w:trPr>
        <w:tc>
          <w:tcPr>
            <w:tcW w:w="1381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447CEFB" w14:textId="77777777" w:rsidR="005B77D2" w:rsidRPr="00AE4E50" w:rsidRDefault="005B77D2" w:rsidP="00AE4E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AE4E50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2021</w:t>
            </w:r>
          </w:p>
        </w:tc>
        <w:tc>
          <w:tcPr>
            <w:tcW w:w="1961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1DC44A2" w14:textId="77777777" w:rsidR="005B77D2" w:rsidRPr="00AE4E50" w:rsidRDefault="005B77D2" w:rsidP="00AE4E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AE4E50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A41BF56" w14:textId="77777777" w:rsidR="005B77D2" w:rsidRPr="00AE4E50" w:rsidRDefault="005B77D2" w:rsidP="00AE4E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AE4E50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4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75620D4" w14:textId="77777777" w:rsidR="005B77D2" w:rsidRPr="00AE4E50" w:rsidRDefault="005B77D2" w:rsidP="00AE4E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AE4E50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125247000</w:t>
            </w:r>
          </w:p>
        </w:tc>
        <w:tc>
          <w:tcPr>
            <w:tcW w:w="658" w:type="dxa"/>
            <w:tcBorders>
              <w:top w:val="nil"/>
              <w:left w:val="nil"/>
              <w:bottom w:val="single" w:sz="4" w:space="0" w:color="8EA9DB"/>
              <w:right w:val="nil"/>
            </w:tcBorders>
          </w:tcPr>
          <w:p w14:paraId="6B876EEF" w14:textId="77777777" w:rsidR="005B77D2" w:rsidRPr="00AE4E50" w:rsidRDefault="005B77D2" w:rsidP="00AE4E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single" w:sz="4" w:space="0" w:color="8EA9DB"/>
              <w:right w:val="nil"/>
            </w:tcBorders>
          </w:tcPr>
          <w:p w14:paraId="45B7B81E" w14:textId="0DF8BB14" w:rsidR="005B77D2" w:rsidRPr="00AE4E50" w:rsidRDefault="005B77D2" w:rsidP="00AE4E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High</w:t>
            </w:r>
          </w:p>
        </w:tc>
        <w:tc>
          <w:tcPr>
            <w:tcW w:w="658" w:type="dxa"/>
            <w:tcBorders>
              <w:top w:val="nil"/>
              <w:left w:val="nil"/>
              <w:bottom w:val="single" w:sz="4" w:space="0" w:color="8EA9DB"/>
              <w:right w:val="nil"/>
            </w:tcBorders>
          </w:tcPr>
          <w:p w14:paraId="341F22F4" w14:textId="77777777" w:rsidR="005B77D2" w:rsidRPr="00AE4E50" w:rsidRDefault="005B77D2" w:rsidP="00AE4E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single" w:sz="4" w:space="0" w:color="8EA9DB"/>
              <w:right w:val="nil"/>
            </w:tcBorders>
          </w:tcPr>
          <w:p w14:paraId="298CAC21" w14:textId="77777777" w:rsidR="005B77D2" w:rsidRPr="00AE4E50" w:rsidRDefault="005B77D2" w:rsidP="00AE4E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</w:tr>
      <w:tr w:rsidR="005B77D2" w:rsidRPr="00AE4E50" w14:paraId="6305BBD7" w14:textId="14B43E64" w:rsidTr="005B77D2">
        <w:trPr>
          <w:trHeight w:val="300"/>
        </w:trPr>
        <w:tc>
          <w:tcPr>
            <w:tcW w:w="1381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258E6145" w14:textId="77777777" w:rsidR="005B77D2" w:rsidRPr="00AE4E50" w:rsidRDefault="005B77D2" w:rsidP="00AE4E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AE4E50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Grand Total</w:t>
            </w:r>
          </w:p>
        </w:tc>
        <w:tc>
          <w:tcPr>
            <w:tcW w:w="1961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62366609" w14:textId="77777777" w:rsidR="005B77D2" w:rsidRPr="00AE4E50" w:rsidRDefault="005B77D2" w:rsidP="00AE4E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AE4E50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50</w:t>
            </w:r>
          </w:p>
        </w:tc>
        <w:tc>
          <w:tcPr>
            <w:tcW w:w="162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5BF55C88" w14:textId="77777777" w:rsidR="005B77D2" w:rsidRPr="00AE4E50" w:rsidRDefault="005B77D2" w:rsidP="00AE4E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AE4E50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50</w:t>
            </w:r>
          </w:p>
        </w:tc>
        <w:tc>
          <w:tcPr>
            <w:tcW w:w="154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6EEBB182" w14:textId="77777777" w:rsidR="005B77D2" w:rsidRPr="00AE4E50" w:rsidRDefault="005B77D2" w:rsidP="00AE4E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AE4E50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1856205677</w:t>
            </w:r>
          </w:p>
        </w:tc>
        <w:tc>
          <w:tcPr>
            <w:tcW w:w="658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</w:tcPr>
          <w:p w14:paraId="61CA31FB" w14:textId="77777777" w:rsidR="005B77D2" w:rsidRPr="00AE4E50" w:rsidRDefault="005B77D2" w:rsidP="00AE4E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658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</w:tcPr>
          <w:p w14:paraId="24EC581B" w14:textId="77777777" w:rsidR="005B77D2" w:rsidRPr="00AE4E50" w:rsidRDefault="005B77D2" w:rsidP="00AE4E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658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</w:tcPr>
          <w:p w14:paraId="19FCC932" w14:textId="77777777" w:rsidR="005B77D2" w:rsidRPr="00AE4E50" w:rsidRDefault="005B77D2" w:rsidP="00AE4E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658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</w:tcPr>
          <w:p w14:paraId="11BF3E49" w14:textId="77777777" w:rsidR="005B77D2" w:rsidRPr="00AE4E50" w:rsidRDefault="005B77D2" w:rsidP="00AE4E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</w:tr>
    </w:tbl>
    <w:p w14:paraId="74E36DB3" w14:textId="77777777" w:rsidR="00B92497" w:rsidRDefault="00B92497">
      <w:pPr>
        <w:rPr>
          <w:b/>
          <w:bCs/>
          <w:lang w:val="en-US"/>
        </w:rPr>
      </w:pPr>
    </w:p>
    <w:p w14:paraId="19FFFA11" w14:textId="4FFE9693" w:rsidR="001E3A00" w:rsidRDefault="00622FD2">
      <w:r>
        <w:rPr>
          <w:b/>
          <w:bCs/>
          <w:lang w:val="en-US"/>
        </w:rPr>
        <w:t xml:space="preserve">Inference: </w:t>
      </w:r>
      <w:r>
        <w:t xml:space="preserve">The attack began with phishing e-mails sent to a handful of its employees. This was the main reason </w:t>
      </w:r>
      <w:r w:rsidR="006019FB">
        <w:t>of increase in data breaches from last 2 years.</w:t>
      </w:r>
    </w:p>
    <w:p w14:paraId="2BFE25D8" w14:textId="77777777" w:rsidR="00B92497" w:rsidRDefault="00B92497"/>
    <w:p w14:paraId="693C4393" w14:textId="77777777" w:rsidR="00CC4A1E" w:rsidRDefault="006019FB">
      <w:r w:rsidRPr="006019FB">
        <w:rPr>
          <w:b/>
          <w:bCs/>
        </w:rPr>
        <w:lastRenderedPageBreak/>
        <w:t>Conclusion:</w:t>
      </w:r>
      <w:r>
        <w:rPr>
          <w:b/>
          <w:bCs/>
        </w:rPr>
        <w:t xml:space="preserve"> </w:t>
      </w:r>
      <w:r>
        <w:t xml:space="preserve">There are some reports saying that there are many records which has not been exposed yet. </w:t>
      </w:r>
      <w:r w:rsidRPr="006019FB">
        <w:t>Most breaches were the result of hacking, but in second place was insider theft or employee error/negligence.</w:t>
      </w:r>
      <w:r>
        <w:t xml:space="preserve"> </w:t>
      </w:r>
      <w:r w:rsidR="00A25DB9" w:rsidRPr="00A25DB9">
        <w:t>Data breach costs rose from USD 3.86 million to USD 4.24 million, the highest average total cost in the 17-year history</w:t>
      </w:r>
      <w:r w:rsidR="00A25DB9">
        <w:t>, which is proved through th</w:t>
      </w:r>
      <w:r w:rsidR="0083068C">
        <w:t xml:space="preserve">is </w:t>
      </w:r>
      <w:r w:rsidR="00A25DB9">
        <w:t xml:space="preserve">dataset. </w:t>
      </w:r>
    </w:p>
    <w:p w14:paraId="3FA48C0C" w14:textId="77777777" w:rsidR="00CC4A1E" w:rsidRDefault="00CC4A1E"/>
    <w:p w14:paraId="0E65421F" w14:textId="4B36B7BA" w:rsidR="006019FB" w:rsidRPr="006019FB" w:rsidRDefault="00CC4A1E">
      <w:pPr>
        <w:rPr>
          <w:lang w:val="en-US"/>
        </w:rPr>
      </w:pPr>
      <w:r w:rsidRPr="00CC4A1E">
        <w:rPr>
          <w:b/>
          <w:bCs/>
        </w:rPr>
        <w:t>Suggestions:</w:t>
      </w:r>
      <w:r>
        <w:t xml:space="preserve"> </w:t>
      </w:r>
      <w:r w:rsidR="00A25DB9">
        <w:t xml:space="preserve">We can avoid this by increasing IT infrastructure, </w:t>
      </w:r>
      <w:r>
        <w:t xml:space="preserve">frequent </w:t>
      </w:r>
      <w:r w:rsidR="00A25DB9">
        <w:t>risk analysis and limited access to patient’s information.</w:t>
      </w:r>
    </w:p>
    <w:sectPr w:rsidR="006019FB" w:rsidRPr="006019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BA5"/>
    <w:rsid w:val="00053451"/>
    <w:rsid w:val="000E5AA1"/>
    <w:rsid w:val="00164943"/>
    <w:rsid w:val="00193279"/>
    <w:rsid w:val="001B33FB"/>
    <w:rsid w:val="001E3A00"/>
    <w:rsid w:val="00246C07"/>
    <w:rsid w:val="00291A09"/>
    <w:rsid w:val="00322FE6"/>
    <w:rsid w:val="00346F95"/>
    <w:rsid w:val="003B2F03"/>
    <w:rsid w:val="003C71A5"/>
    <w:rsid w:val="005565B8"/>
    <w:rsid w:val="00556AF6"/>
    <w:rsid w:val="005956EA"/>
    <w:rsid w:val="005B77D2"/>
    <w:rsid w:val="005C6899"/>
    <w:rsid w:val="005F67AA"/>
    <w:rsid w:val="006019FB"/>
    <w:rsid w:val="00622FD2"/>
    <w:rsid w:val="00690515"/>
    <w:rsid w:val="006A671B"/>
    <w:rsid w:val="006E77A0"/>
    <w:rsid w:val="00731ADB"/>
    <w:rsid w:val="00742B22"/>
    <w:rsid w:val="00793CF2"/>
    <w:rsid w:val="007B7E44"/>
    <w:rsid w:val="007C02E5"/>
    <w:rsid w:val="0083068C"/>
    <w:rsid w:val="009017BB"/>
    <w:rsid w:val="00902371"/>
    <w:rsid w:val="00A25DB9"/>
    <w:rsid w:val="00A3534E"/>
    <w:rsid w:val="00AB7BA5"/>
    <w:rsid w:val="00AE4E50"/>
    <w:rsid w:val="00B92497"/>
    <w:rsid w:val="00B958E7"/>
    <w:rsid w:val="00C0355F"/>
    <w:rsid w:val="00CC4A1E"/>
    <w:rsid w:val="00D01A2C"/>
    <w:rsid w:val="00D23861"/>
    <w:rsid w:val="00E26C9B"/>
    <w:rsid w:val="00E614A0"/>
    <w:rsid w:val="00F36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27A63"/>
  <w15:chartTrackingRefBased/>
  <w15:docId w15:val="{BE78BABE-6588-4ED8-86E3-20A268CD0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31AD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1A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22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8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8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4/relationships/chartEx" Target="charts/chartEx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chart" Target="charts/chart1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package" Target="embeddings/Microsoft_Excel_Binary_Worksheet.xlsb"/><Relationship Id="rId11" Type="http://schemas.openxmlformats.org/officeDocument/2006/relationships/chart" Target="charts/chart3.xml"/><Relationship Id="rId5" Type="http://schemas.openxmlformats.org/officeDocument/2006/relationships/image" Target="media/image1.emf"/><Relationship Id="rId10" Type="http://schemas.openxmlformats.org/officeDocument/2006/relationships/chart" Target="charts/chart2.xml"/><Relationship Id="rId4" Type="http://schemas.openxmlformats.org/officeDocument/2006/relationships/hyperlink" Target="https://www.kaggle.com/hishaamarmghan/list-of-top-data-breaches-2004-2021" TargetMode="External"/><Relationship Id="rId9" Type="http://schemas.openxmlformats.org/officeDocument/2006/relationships/image" Target="media/image2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CHRIST\Trim%201\DAM\cia1\DataBreaches(2004-2021)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k\AppData\Roaming\Microsoft\Excel\DataBreaches(2004-2021)%20-%20Copy%20(version%202).xlsb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CHRIST\Trim%201\DAM\cia1\DataBreaches(2004-2021)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Ex1.xml.rels><?xml version="1.0" encoding="UTF-8" standalone="yes"?>
<Relationships xmlns="http://schemas.openxmlformats.org/package/2006/relationships"><Relationship Id="rId3" Type="http://schemas.microsoft.com/office/2011/relationships/chartColorStyle" Target="colors2.xml"/><Relationship Id="rId2" Type="http://schemas.microsoft.com/office/2011/relationships/chartStyle" Target="style2.xml"/><Relationship Id="rId1" Type="http://schemas.openxmlformats.org/officeDocument/2006/relationships/oleObject" Target="file:///C:\Users\Hk\AppData\Roaming\Microsoft\Excel\DataBreaches(2004-2021)%20-%20Copy%20(version%202).xlsb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entity vs no. of breaches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'Filtered data'!$A$33:$A$46</c:f>
              <c:strCache>
                <c:ptCount val="14"/>
                <c:pt idx="0">
                  <c:v>21st Century Oncology</c:v>
                </c:pt>
                <c:pt idx="1">
                  <c:v>Inuvik hospital</c:v>
                </c:pt>
                <c:pt idx="2">
                  <c:v>Advocate Medical Group</c:v>
                </c:pt>
                <c:pt idx="3">
                  <c:v>Grozio Chirurgija</c:v>
                </c:pt>
                <c:pt idx="4">
                  <c:v>Centers for Medicare &amp; Medicaid Services</c:v>
                </c:pt>
                <c:pt idx="5">
                  <c:v>Health Sciences Authority (Singapore)</c:v>
                </c:pt>
                <c:pt idx="6">
                  <c:v>LifeLabs</c:v>
                </c:pt>
                <c:pt idx="7">
                  <c:v>Ministry of Health (Singapore)</c:v>
                </c:pt>
                <c:pt idx="8">
                  <c:v>Accendo Insurance Co.</c:v>
                </c:pt>
                <c:pt idx="9">
                  <c:v>Vastaamo</c:v>
                </c:pt>
                <c:pt idx="10">
                  <c:v>National Health Information Center (NCZI) of Slovakia</c:v>
                </c:pt>
                <c:pt idx="11">
                  <c:v>Ankle &amp; Foot Center of Tampa Bay, Inc.</c:v>
                </c:pt>
                <c:pt idx="12">
                  <c:v>Anthem Inc.</c:v>
                </c:pt>
                <c:pt idx="13">
                  <c:v>Apple Health Medicaid</c:v>
                </c:pt>
              </c:strCache>
            </c:strRef>
          </c:cat>
          <c:val>
            <c:numRef>
              <c:f>'Filtered data'!$B$33:$B$46</c:f>
              <c:numCache>
                <c:formatCode>General</c:formatCode>
                <c:ptCount val="14"/>
                <c:pt idx="0">
                  <c:v>2016</c:v>
                </c:pt>
                <c:pt idx="1">
                  <c:v>2016</c:v>
                </c:pt>
                <c:pt idx="2">
                  <c:v>2017</c:v>
                </c:pt>
                <c:pt idx="3">
                  <c:v>2017</c:v>
                </c:pt>
                <c:pt idx="4">
                  <c:v>2018</c:v>
                </c:pt>
                <c:pt idx="5">
                  <c:v>2019</c:v>
                </c:pt>
                <c:pt idx="6">
                  <c:v>2019</c:v>
                </c:pt>
                <c:pt idx="7">
                  <c:v>2019</c:v>
                </c:pt>
                <c:pt idx="8">
                  <c:v>2020</c:v>
                </c:pt>
                <c:pt idx="9">
                  <c:v>2020</c:v>
                </c:pt>
                <c:pt idx="10">
                  <c:v>2020</c:v>
                </c:pt>
                <c:pt idx="11">
                  <c:v>2021</c:v>
                </c:pt>
                <c:pt idx="12">
                  <c:v>2021</c:v>
                </c:pt>
                <c:pt idx="13">
                  <c:v>2021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DE4-4765-B76D-2DB314EFBB86}"/>
            </c:ext>
          </c:extLst>
        </c:ser>
        <c:ser>
          <c:idx val="1"/>
          <c:order val="1"/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'Filtered data'!$A$33:$A$46</c:f>
              <c:strCache>
                <c:ptCount val="14"/>
                <c:pt idx="0">
                  <c:v>21st Century Oncology</c:v>
                </c:pt>
                <c:pt idx="1">
                  <c:v>Inuvik hospital</c:v>
                </c:pt>
                <c:pt idx="2">
                  <c:v>Advocate Medical Group</c:v>
                </c:pt>
                <c:pt idx="3">
                  <c:v>Grozio Chirurgija</c:v>
                </c:pt>
                <c:pt idx="4">
                  <c:v>Centers for Medicare &amp; Medicaid Services</c:v>
                </c:pt>
                <c:pt idx="5">
                  <c:v>Health Sciences Authority (Singapore)</c:v>
                </c:pt>
                <c:pt idx="6">
                  <c:v>LifeLabs</c:v>
                </c:pt>
                <c:pt idx="7">
                  <c:v>Ministry of Health (Singapore)</c:v>
                </c:pt>
                <c:pt idx="8">
                  <c:v>Accendo Insurance Co.</c:v>
                </c:pt>
                <c:pt idx="9">
                  <c:v>Vastaamo</c:v>
                </c:pt>
                <c:pt idx="10">
                  <c:v>National Health Information Center (NCZI) of Slovakia</c:v>
                </c:pt>
                <c:pt idx="11">
                  <c:v>Ankle &amp; Foot Center of Tampa Bay, Inc.</c:v>
                </c:pt>
                <c:pt idx="12">
                  <c:v>Anthem Inc.</c:v>
                </c:pt>
                <c:pt idx="13">
                  <c:v>Apple Health Medicaid</c:v>
                </c:pt>
              </c:strCache>
            </c:strRef>
          </c:cat>
          <c:val>
            <c:numRef>
              <c:f>'Filtered data'!$C$33:$C$46</c:f>
              <c:numCache>
                <c:formatCode>General</c:formatCode>
                <c:ptCount val="14"/>
                <c:pt idx="0">
                  <c:v>2200000</c:v>
                </c:pt>
                <c:pt idx="1">
                  <c:v>6700</c:v>
                </c:pt>
                <c:pt idx="2">
                  <c:v>4000000</c:v>
                </c:pt>
                <c:pt idx="3">
                  <c:v>25000</c:v>
                </c:pt>
                <c:pt idx="4">
                  <c:v>75000</c:v>
                </c:pt>
                <c:pt idx="5">
                  <c:v>808000</c:v>
                </c:pt>
                <c:pt idx="6">
                  <c:v>15000000</c:v>
                </c:pt>
                <c:pt idx="7">
                  <c:v>14200</c:v>
                </c:pt>
                <c:pt idx="8">
                  <c:v>175350</c:v>
                </c:pt>
                <c:pt idx="9">
                  <c:v>130000</c:v>
                </c:pt>
                <c:pt idx="10">
                  <c:v>391250</c:v>
                </c:pt>
                <c:pt idx="11">
                  <c:v>156000</c:v>
                </c:pt>
                <c:pt idx="12">
                  <c:v>80000000</c:v>
                </c:pt>
                <c:pt idx="13">
                  <c:v>91000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7DE4-4765-B76D-2DB314EFBB8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312"/>
        <c:overlap val="-100"/>
        <c:axId val="653714192"/>
        <c:axId val="655032992"/>
      </c:barChart>
      <c:catAx>
        <c:axId val="65371419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55032992"/>
        <c:crosses val="autoZero"/>
        <c:auto val="1"/>
        <c:lblAlgn val="ctr"/>
        <c:lblOffset val="100"/>
        <c:noMultiLvlLbl val="0"/>
      </c:catAx>
      <c:valAx>
        <c:axId val="655032992"/>
        <c:scaling>
          <c:orientation val="minMax"/>
          <c:max val="10000000"/>
        </c:scaling>
        <c:delete val="1"/>
        <c:axPos val="l"/>
        <c:numFmt formatCode="General" sourceLinked="1"/>
        <c:majorTickMark val="none"/>
        <c:minorTickMark val="none"/>
        <c:tickLblPos val="nextTo"/>
        <c:crossAx val="65371419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pieChart>
        <c:varyColors val="1"/>
        <c:ser>
          <c:idx val="0"/>
          <c:order val="0"/>
          <c:tx>
            <c:strRef>
              <c:f>Sheet3!$B$1</c:f>
              <c:strCache>
                <c:ptCount val="1"/>
                <c:pt idx="0">
                  <c:v>COUNT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9215-433F-AC5F-59DE5C4C4110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9215-433F-AC5F-59DE5C4C4110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9215-433F-AC5F-59DE5C4C4110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9215-433F-AC5F-59DE5C4C4110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9-9215-433F-AC5F-59DE5C4C4110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B-9215-433F-AC5F-59DE5C4C4110}"/>
              </c:ext>
            </c:extLst>
          </c:dPt>
          <c:dPt>
            <c:idx val="6"/>
            <c:bubble3D val="0"/>
            <c:spPr>
              <a:solidFill>
                <a:schemeClr val="accent1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D-9215-433F-AC5F-59DE5C4C4110}"/>
              </c:ext>
            </c:extLst>
          </c:dPt>
          <c:dPt>
            <c:idx val="7"/>
            <c:bubble3D val="0"/>
            <c:spPr>
              <a:solidFill>
                <a:schemeClr val="accent2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F-9215-433F-AC5F-59DE5C4C4110}"/>
              </c:ext>
            </c:extLst>
          </c:dPt>
          <c:dPt>
            <c:idx val="8"/>
            <c:bubble3D val="0"/>
            <c:spPr>
              <a:solidFill>
                <a:schemeClr val="accent3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1-9215-433F-AC5F-59DE5C4C4110}"/>
              </c:ext>
            </c:extLst>
          </c:dPt>
          <c:dPt>
            <c:idx val="9"/>
            <c:bubble3D val="0"/>
            <c:spPr>
              <a:solidFill>
                <a:schemeClr val="accent4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3-9215-433F-AC5F-59DE5C4C4110}"/>
              </c:ext>
            </c:extLst>
          </c:dPt>
          <c:dPt>
            <c:idx val="10"/>
            <c:bubble3D val="0"/>
            <c:spPr>
              <a:solidFill>
                <a:schemeClr val="accent5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5-9215-433F-AC5F-59DE5C4C4110}"/>
              </c:ext>
            </c:extLst>
          </c:dPt>
          <c:dPt>
            <c:idx val="11"/>
            <c:bubble3D val="0"/>
            <c:spPr>
              <a:solidFill>
                <a:schemeClr val="accent6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7-9215-433F-AC5F-59DE5C4C4110}"/>
              </c:ext>
            </c:extLst>
          </c:dPt>
          <c:dPt>
            <c:idx val="12"/>
            <c:bubble3D val="0"/>
            <c:spPr>
              <a:solidFill>
                <a:schemeClr val="accent1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9-9215-433F-AC5F-59DE5C4C4110}"/>
              </c:ext>
            </c:extLst>
          </c:dPt>
          <c:dPt>
            <c:idx val="13"/>
            <c:bubble3D val="0"/>
            <c:spPr>
              <a:solidFill>
                <a:schemeClr val="accent2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B-9215-433F-AC5F-59DE5C4C4110}"/>
              </c:ext>
            </c:extLst>
          </c:dPt>
          <c:dPt>
            <c:idx val="14"/>
            <c:bubble3D val="0"/>
            <c:spPr>
              <a:solidFill>
                <a:schemeClr val="accent3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D-9215-433F-AC5F-59DE5C4C4110}"/>
              </c:ext>
            </c:extLst>
          </c:dPt>
          <c:dLbls>
            <c:dLbl>
              <c:idx val="5"/>
              <c:layout>
                <c:manualLayout>
                  <c:x val="4.4316419233325537E-3"/>
                  <c:y val="2.3546725533480393E-2"/>
                </c:manualLayout>
              </c:layout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B-9215-433F-AC5F-59DE5C4C4110}"/>
                </c:ext>
              </c:extLst>
            </c:dLbl>
            <c:dLbl>
              <c:idx val="6"/>
              <c:layout>
                <c:manualLayout>
                  <c:x val="-5.9827165964990027E-2"/>
                  <c:y val="1.4716703458425313E-2"/>
                </c:manualLayout>
              </c:layout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D-9215-433F-AC5F-59DE5C4C4110}"/>
                </c:ext>
              </c:extLst>
            </c:dLbl>
            <c:dLbl>
              <c:idx val="7"/>
              <c:layout>
                <c:manualLayout>
                  <c:x val="-4.2100598271659649E-2"/>
                  <c:y val="-5.0036791758646171E-2"/>
                </c:manualLayout>
              </c:layout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F-9215-433F-AC5F-59DE5C4C4110}"/>
                </c:ext>
              </c:extLst>
            </c:dLbl>
            <c:dLbl>
              <c:idx val="8"/>
              <c:layout>
                <c:manualLayout>
                  <c:x val="-1.5510746731664082E-2"/>
                  <c:y val="-4.1206769683590876E-2"/>
                </c:manualLayout>
              </c:layout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11-9215-433F-AC5F-59DE5C4C4110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0"/>
            <c:showCatName val="1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Sheet3!$A$2:$A$16</c:f>
              <c:strCache>
                <c:ptCount val="15"/>
                <c:pt idx="0">
                  <c:v>2007-08</c:v>
                </c:pt>
                <c:pt idx="1">
                  <c:v>2008-09</c:v>
                </c:pt>
                <c:pt idx="2">
                  <c:v>2009-10</c:v>
                </c:pt>
                <c:pt idx="3">
                  <c:v>2010-11</c:v>
                </c:pt>
                <c:pt idx="4">
                  <c:v>2011-12</c:v>
                </c:pt>
                <c:pt idx="5">
                  <c:v>2012-13</c:v>
                </c:pt>
                <c:pt idx="6">
                  <c:v>2013-14</c:v>
                </c:pt>
                <c:pt idx="7">
                  <c:v>2014-15</c:v>
                </c:pt>
                <c:pt idx="8">
                  <c:v>2015-16</c:v>
                </c:pt>
                <c:pt idx="9">
                  <c:v>2016-17</c:v>
                </c:pt>
                <c:pt idx="10">
                  <c:v>2017-18</c:v>
                </c:pt>
                <c:pt idx="11">
                  <c:v>2018-19</c:v>
                </c:pt>
                <c:pt idx="12">
                  <c:v>2019-20</c:v>
                </c:pt>
                <c:pt idx="13">
                  <c:v>2020-21</c:v>
                </c:pt>
                <c:pt idx="14">
                  <c:v>2021-22</c:v>
                </c:pt>
              </c:strCache>
            </c:strRef>
          </c:cat>
          <c:val>
            <c:numRef>
              <c:f>Sheet3!$B$2:$B$16</c:f>
              <c:numCache>
                <c:formatCode>General</c:formatCode>
                <c:ptCount val="15"/>
                <c:pt idx="0">
                  <c:v>1</c:v>
                </c:pt>
                <c:pt idx="1">
                  <c:v>8</c:v>
                </c:pt>
                <c:pt idx="2">
                  <c:v>8</c:v>
                </c:pt>
                <c:pt idx="3">
                  <c:v>8</c:v>
                </c:pt>
                <c:pt idx="4">
                  <c:v>2</c:v>
                </c:pt>
                <c:pt idx="5">
                  <c:v>2</c:v>
                </c:pt>
                <c:pt idx="6">
                  <c:v>1</c:v>
                </c:pt>
                <c:pt idx="7">
                  <c:v>1</c:v>
                </c:pt>
                <c:pt idx="8">
                  <c:v>5</c:v>
                </c:pt>
                <c:pt idx="9">
                  <c:v>2</c:v>
                </c:pt>
                <c:pt idx="10">
                  <c:v>2</c:v>
                </c:pt>
                <c:pt idx="11">
                  <c:v>1</c:v>
                </c:pt>
                <c:pt idx="12">
                  <c:v>3</c:v>
                </c:pt>
                <c:pt idx="13">
                  <c:v>3</c:v>
                </c:pt>
                <c:pt idx="14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E-9215-433F-AC5F-59DE5C4C4110}"/>
            </c:ext>
          </c:extLst>
        </c:ser>
        <c:dLbls>
          <c:dLblPos val="outEnd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Sheet1!$B$2:$B$157</c:f>
              <c:numCache>
                <c:formatCode>General</c:formatCode>
                <c:ptCount val="156"/>
                <c:pt idx="0">
                  <c:v>510000</c:v>
                </c:pt>
                <c:pt idx="1">
                  <c:v>200000</c:v>
                </c:pt>
                <c:pt idx="2">
                  <c:v>125000</c:v>
                </c:pt>
                <c:pt idx="3">
                  <c:v>1200000</c:v>
                </c:pt>
                <c:pt idx="4">
                  <c:v>3900000</c:v>
                </c:pt>
                <c:pt idx="5">
                  <c:v>2600000</c:v>
                </c:pt>
                <c:pt idx="6">
                  <c:v>200000</c:v>
                </c:pt>
                <c:pt idx="7">
                  <c:v>960000</c:v>
                </c:pt>
                <c:pt idx="8">
                  <c:v>17000000</c:v>
                </c:pt>
                <c:pt idx="9">
                  <c:v>26500000</c:v>
                </c:pt>
                <c:pt idx="10">
                  <c:v>160000</c:v>
                </c:pt>
                <c:pt idx="11">
                  <c:v>1000000</c:v>
                </c:pt>
                <c:pt idx="12">
                  <c:v>8637405</c:v>
                </c:pt>
                <c:pt idx="13">
                  <c:v>3000000</c:v>
                </c:pt>
                <c:pt idx="14">
                  <c:v>8500000</c:v>
                </c:pt>
                <c:pt idx="15">
                  <c:v>800000</c:v>
                </c:pt>
                <c:pt idx="16">
                  <c:v>89000</c:v>
                </c:pt>
                <c:pt idx="17">
                  <c:v>25000000</c:v>
                </c:pt>
                <c:pt idx="18">
                  <c:v>113000</c:v>
                </c:pt>
                <c:pt idx="19">
                  <c:v>12500000</c:v>
                </c:pt>
                <c:pt idx="20">
                  <c:v>11100000</c:v>
                </c:pt>
                <c:pt idx="21">
                  <c:v>1600000</c:v>
                </c:pt>
                <c:pt idx="22">
                  <c:v>6000000</c:v>
                </c:pt>
                <c:pt idx="23">
                  <c:v>3950000</c:v>
                </c:pt>
                <c:pt idx="24">
                  <c:v>50500</c:v>
                </c:pt>
                <c:pt idx="25">
                  <c:v>72000</c:v>
                </c:pt>
                <c:pt idx="26">
                  <c:v>97000</c:v>
                </c:pt>
                <c:pt idx="27">
                  <c:v>84000</c:v>
                </c:pt>
                <c:pt idx="28">
                  <c:v>1700000</c:v>
                </c:pt>
                <c:pt idx="29">
                  <c:v>2100000</c:v>
                </c:pt>
                <c:pt idx="30">
                  <c:v>2200000</c:v>
                </c:pt>
                <c:pt idx="31">
                  <c:v>1220000</c:v>
                </c:pt>
                <c:pt idx="32">
                  <c:v>1023209</c:v>
                </c:pt>
                <c:pt idx="33">
                  <c:v>500000</c:v>
                </c:pt>
                <c:pt idx="34">
                  <c:v>72000</c:v>
                </c:pt>
                <c:pt idx="35">
                  <c:v>76000000</c:v>
                </c:pt>
                <c:pt idx="36">
                  <c:v>131000</c:v>
                </c:pt>
                <c:pt idx="37">
                  <c:v>105470</c:v>
                </c:pt>
                <c:pt idx="38">
                  <c:v>3300000</c:v>
                </c:pt>
                <c:pt idx="39">
                  <c:v>251000</c:v>
                </c:pt>
                <c:pt idx="40">
                  <c:v>180111</c:v>
                </c:pt>
                <c:pt idx="41">
                  <c:v>2600000</c:v>
                </c:pt>
                <c:pt idx="42">
                  <c:v>130495</c:v>
                </c:pt>
                <c:pt idx="43">
                  <c:v>1700000</c:v>
                </c:pt>
                <c:pt idx="44">
                  <c:v>800000</c:v>
                </c:pt>
                <c:pt idx="45">
                  <c:v>398000</c:v>
                </c:pt>
                <c:pt idx="46">
                  <c:v>392000</c:v>
                </c:pt>
                <c:pt idx="47">
                  <c:v>260000</c:v>
                </c:pt>
                <c:pt idx="48">
                  <c:v>43000</c:v>
                </c:pt>
                <c:pt idx="49">
                  <c:v>2500000</c:v>
                </c:pt>
                <c:pt idx="50">
                  <c:v>514330</c:v>
                </c:pt>
                <c:pt idx="51">
                  <c:v>1900000</c:v>
                </c:pt>
                <c:pt idx="52">
                  <c:v>283000</c:v>
                </c:pt>
                <c:pt idx="53">
                  <c:v>210000</c:v>
                </c:pt>
                <c:pt idx="54">
                  <c:v>102153</c:v>
                </c:pt>
                <c:pt idx="55">
                  <c:v>34000</c:v>
                </c:pt>
                <c:pt idx="56">
                  <c:v>1055489</c:v>
                </c:pt>
                <c:pt idx="57">
                  <c:v>8300000</c:v>
                </c:pt>
                <c:pt idx="58">
                  <c:v>400000</c:v>
                </c:pt>
                <c:pt idx="59">
                  <c:v>3500000</c:v>
                </c:pt>
                <c:pt idx="60">
                  <c:v>935000</c:v>
                </c:pt>
                <c:pt idx="61">
                  <c:v>4243434</c:v>
                </c:pt>
                <c:pt idx="62">
                  <c:v>4901432</c:v>
                </c:pt>
                <c:pt idx="63">
                  <c:v>50000</c:v>
                </c:pt>
                <c:pt idx="64">
                  <c:v>123461</c:v>
                </c:pt>
                <c:pt idx="65">
                  <c:v>800000</c:v>
                </c:pt>
                <c:pt idx="66">
                  <c:v>315000</c:v>
                </c:pt>
                <c:pt idx="67">
                  <c:v>420000</c:v>
                </c:pt>
                <c:pt idx="68">
                  <c:v>8000000</c:v>
                </c:pt>
                <c:pt idx="69">
                  <c:v>163792</c:v>
                </c:pt>
                <c:pt idx="70">
                  <c:v>1800000</c:v>
                </c:pt>
                <c:pt idx="71">
                  <c:v>6500000</c:v>
                </c:pt>
                <c:pt idx="72">
                  <c:v>6400000</c:v>
                </c:pt>
                <c:pt idx="73">
                  <c:v>344579</c:v>
                </c:pt>
                <c:pt idx="74">
                  <c:v>150000</c:v>
                </c:pt>
                <c:pt idx="75">
                  <c:v>100000</c:v>
                </c:pt>
                <c:pt idx="76">
                  <c:v>6000000</c:v>
                </c:pt>
                <c:pt idx="77">
                  <c:v>100000</c:v>
                </c:pt>
                <c:pt idx="78">
                  <c:v>170000</c:v>
                </c:pt>
                <c:pt idx="79">
                  <c:v>2000000</c:v>
                </c:pt>
                <c:pt idx="80">
                  <c:v>20000000</c:v>
                </c:pt>
                <c:pt idx="81">
                  <c:v>76000</c:v>
                </c:pt>
                <c:pt idx="82">
                  <c:v>52000</c:v>
                </c:pt>
                <c:pt idx="83">
                  <c:v>50000</c:v>
                </c:pt>
                <c:pt idx="84">
                  <c:v>680000</c:v>
                </c:pt>
                <c:pt idx="85">
                  <c:v>500000</c:v>
                </c:pt>
                <c:pt idx="86">
                  <c:v>6054459</c:v>
                </c:pt>
                <c:pt idx="87">
                  <c:v>30000</c:v>
                </c:pt>
                <c:pt idx="88">
                  <c:v>412214295</c:v>
                </c:pt>
                <c:pt idx="89">
                  <c:v>6700</c:v>
                </c:pt>
                <c:pt idx="90">
                  <c:v>4000000</c:v>
                </c:pt>
                <c:pt idx="91">
                  <c:v>1900000</c:v>
                </c:pt>
                <c:pt idx="92">
                  <c:v>163119000</c:v>
                </c:pt>
                <c:pt idx="93">
                  <c:v>90000</c:v>
                </c:pt>
                <c:pt idx="94">
                  <c:v>340000000</c:v>
                </c:pt>
                <c:pt idx="95">
                  <c:v>50000000</c:v>
                </c:pt>
                <c:pt idx="96">
                  <c:v>500000</c:v>
                </c:pt>
                <c:pt idx="97">
                  <c:v>92283889</c:v>
                </c:pt>
                <c:pt idx="98">
                  <c:v>60000000</c:v>
                </c:pt>
                <c:pt idx="99">
                  <c:v>7500000</c:v>
                </c:pt>
                <c:pt idx="100">
                  <c:v>320000000</c:v>
                </c:pt>
                <c:pt idx="101">
                  <c:v>106000000</c:v>
                </c:pt>
                <c:pt idx="102">
                  <c:v>9700000</c:v>
                </c:pt>
                <c:pt idx="103">
                  <c:v>108000000</c:v>
                </c:pt>
                <c:pt idx="104">
                  <c:v>540000000</c:v>
                </c:pt>
                <c:pt idx="105">
                  <c:v>1500000</c:v>
                </c:pt>
                <c:pt idx="106">
                  <c:v>267000000</c:v>
                </c:pt>
                <c:pt idx="107">
                  <c:v>885000000</c:v>
                </c:pt>
                <c:pt idx="108">
                  <c:v>808000</c:v>
                </c:pt>
                <c:pt idx="109">
                  <c:v>100000000</c:v>
                </c:pt>
                <c:pt idx="110">
                  <c:v>250000000</c:v>
                </c:pt>
                <c:pt idx="111">
                  <c:v>14200</c:v>
                </c:pt>
                <c:pt idx="112">
                  <c:v>202000000</c:v>
                </c:pt>
                <c:pt idx="113">
                  <c:v>275000000</c:v>
                </c:pt>
                <c:pt idx="114">
                  <c:v>100000000</c:v>
                </c:pt>
                <c:pt idx="115">
                  <c:v>11900000</c:v>
                </c:pt>
                <c:pt idx="116">
                  <c:v>299055000</c:v>
                </c:pt>
                <c:pt idx="117">
                  <c:v>175350</c:v>
                </c:pt>
                <c:pt idx="118">
                  <c:v>56000000</c:v>
                </c:pt>
                <c:pt idx="119">
                  <c:v>201000000</c:v>
                </c:pt>
                <c:pt idx="120">
                  <c:v>200000000</c:v>
                </c:pt>
                <c:pt idx="121">
                  <c:v>5200000</c:v>
                </c:pt>
                <c:pt idx="122">
                  <c:v>30000</c:v>
                </c:pt>
                <c:pt idx="123">
                  <c:v>20076016</c:v>
                </c:pt>
                <c:pt idx="124">
                  <c:v>1381735</c:v>
                </c:pt>
                <c:pt idx="125">
                  <c:v>377428</c:v>
                </c:pt>
                <c:pt idx="126">
                  <c:v>120000000</c:v>
                </c:pt>
                <c:pt idx="127">
                  <c:v>42000000</c:v>
                </c:pt>
                <c:pt idx="128">
                  <c:v>38000000</c:v>
                </c:pt>
                <c:pt idx="129">
                  <c:v>900000</c:v>
                </c:pt>
                <c:pt idx="130">
                  <c:v>4000000</c:v>
                </c:pt>
                <c:pt idx="131">
                  <c:v>200000000</c:v>
                </c:pt>
                <c:pt idx="132">
                  <c:v>391250</c:v>
                </c:pt>
                <c:pt idx="133">
                  <c:v>380000</c:v>
                </c:pt>
                <c:pt idx="134">
                  <c:v>300000</c:v>
                </c:pt>
                <c:pt idx="135">
                  <c:v>92000000</c:v>
                </c:pt>
                <c:pt idx="136">
                  <c:v>20000000</c:v>
                </c:pt>
                <c:pt idx="137">
                  <c:v>12367232</c:v>
                </c:pt>
                <c:pt idx="138">
                  <c:v>91000</c:v>
                </c:pt>
              </c:numCache>
            </c:numRef>
          </c:xVal>
          <c:yVal>
            <c:numRef>
              <c:f>Sheet1!$C$2:$C$157</c:f>
              <c:numCache>
                <c:formatCode>General</c:formatCode>
                <c:ptCount val="156"/>
                <c:pt idx="0">
                  <c:v>40000</c:v>
                </c:pt>
                <c:pt idx="1">
                  <c:v>1400</c:v>
                </c:pt>
                <c:pt idx="2">
                  <c:v>4000</c:v>
                </c:pt>
                <c:pt idx="3">
                  <c:v>4200</c:v>
                </c:pt>
                <c:pt idx="4">
                  <c:v>1600</c:v>
                </c:pt>
                <c:pt idx="5">
                  <c:v>6300</c:v>
                </c:pt>
                <c:pt idx="6">
                  <c:v>94000</c:v>
                </c:pt>
                <c:pt idx="7">
                  <c:v>18000</c:v>
                </c:pt>
                <c:pt idx="8">
                  <c:v>8000</c:v>
                </c:pt>
                <c:pt idx="9">
                  <c:v>1500</c:v>
                </c:pt>
                <c:pt idx="10">
                  <c:v>5000</c:v>
                </c:pt>
                <c:pt idx="11">
                  <c:v>130000</c:v>
                </c:pt>
                <c:pt idx="12">
                  <c:v>573</c:v>
                </c:pt>
                <c:pt idx="13">
                  <c:v>32000</c:v>
                </c:pt>
                <c:pt idx="14">
                  <c:v>160</c:v>
                </c:pt>
                <c:pt idx="15">
                  <c:v>8257.3780000000006</c:v>
                </c:pt>
                <c:pt idx="16">
                  <c:v>531.4</c:v>
                </c:pt>
                <c:pt idx="17">
                  <c:v>114</c:v>
                </c:pt>
                <c:pt idx="18">
                  <c:v>2300</c:v>
                </c:pt>
                <c:pt idx="19">
                  <c:v>400</c:v>
                </c:pt>
                <c:pt idx="20">
                  <c:v>1500</c:v>
                </c:pt>
                <c:pt idx="21">
                  <c:v>760</c:v>
                </c:pt>
                <c:pt idx="22">
                  <c:v>515</c:v>
                </c:pt>
                <c:pt idx="23">
                  <c:v>231.4</c:v>
                </c:pt>
                <c:pt idx="24">
                  <c:v>200</c:v>
                </c:pt>
                <c:pt idx="25">
                  <c:v>6000</c:v>
                </c:pt>
                <c:pt idx="26">
                  <c:v>10000</c:v>
                </c:pt>
                <c:pt idx="27">
                  <c:v>360.08300000000003</c:v>
                </c:pt>
                <c:pt idx="28">
                  <c:v>13200</c:v>
                </c:pt>
                <c:pt idx="29">
                  <c:v>200</c:v>
                </c:pt>
                <c:pt idx="30">
                  <c:v>180</c:v>
                </c:pt>
                <c:pt idx="31">
                  <c:v>1290.7550000000001</c:v>
                </c:pt>
                <c:pt idx="32">
                  <c:v>24600</c:v>
                </c:pt>
                <c:pt idx="33">
                  <c:v>1000</c:v>
                </c:pt>
                <c:pt idx="34">
                  <c:v>77000</c:v>
                </c:pt>
                <c:pt idx="35">
                  <c:v>300</c:v>
                </c:pt>
                <c:pt idx="36">
                  <c:v>35000</c:v>
                </c:pt>
                <c:pt idx="37">
                  <c:v>28000</c:v>
                </c:pt>
                <c:pt idx="38">
                  <c:v>73</c:v>
                </c:pt>
                <c:pt idx="39">
                  <c:v>1270</c:v>
                </c:pt>
                <c:pt idx="40">
                  <c:v>62</c:v>
                </c:pt>
                <c:pt idx="41">
                  <c:v>14000</c:v>
                </c:pt>
                <c:pt idx="42">
                  <c:v>68648.009000000005</c:v>
                </c:pt>
                <c:pt idx="43">
                  <c:v>8000</c:v>
                </c:pt>
                <c:pt idx="44">
                  <c:v>7000</c:v>
                </c:pt>
                <c:pt idx="45">
                  <c:v>9000</c:v>
                </c:pt>
                <c:pt idx="46">
                  <c:v>3000</c:v>
                </c:pt>
                <c:pt idx="47">
                  <c:v>8700</c:v>
                </c:pt>
                <c:pt idx="48">
                  <c:v>160000</c:v>
                </c:pt>
                <c:pt idx="49">
                  <c:v>780</c:v>
                </c:pt>
                <c:pt idx="50">
                  <c:v>98167.934999999998</c:v>
                </c:pt>
                <c:pt idx="51">
                  <c:v>2434.8989999999999</c:v>
                </c:pt>
                <c:pt idx="52">
                  <c:v>260</c:v>
                </c:pt>
                <c:pt idx="53">
                  <c:v>450</c:v>
                </c:pt>
                <c:pt idx="54">
                  <c:v>24000</c:v>
                </c:pt>
                <c:pt idx="55">
                  <c:v>152000</c:v>
                </c:pt>
                <c:pt idx="56">
                  <c:v>110</c:v>
                </c:pt>
                <c:pt idx="57">
                  <c:v>1000</c:v>
                </c:pt>
                <c:pt idx="58">
                  <c:v>1000</c:v>
                </c:pt>
                <c:pt idx="59">
                  <c:v>50000</c:v>
                </c:pt>
                <c:pt idx="60">
                  <c:v>125</c:v>
                </c:pt>
                <c:pt idx="61">
                  <c:v>1000</c:v>
                </c:pt>
                <c:pt idx="62">
                  <c:v>50000</c:v>
                </c:pt>
                <c:pt idx="63">
                  <c:v>240</c:v>
                </c:pt>
                <c:pt idx="64">
                  <c:v>500</c:v>
                </c:pt>
                <c:pt idx="65">
                  <c:v>4700</c:v>
                </c:pt>
                <c:pt idx="66">
                  <c:v>16</c:v>
                </c:pt>
                <c:pt idx="67">
                  <c:v>110000</c:v>
                </c:pt>
                <c:pt idx="68">
                  <c:v>65469.298000000003</c:v>
                </c:pt>
                <c:pt idx="69">
                  <c:v>250</c:v>
                </c:pt>
                <c:pt idx="70">
                  <c:v>2000</c:v>
                </c:pt>
                <c:pt idx="71">
                  <c:v>160</c:v>
                </c:pt>
                <c:pt idx="72">
                  <c:v>3000000</c:v>
                </c:pt>
                <c:pt idx="73">
                  <c:v>22000</c:v>
                </c:pt>
                <c:pt idx="74">
                  <c:v>2400</c:v>
                </c:pt>
                <c:pt idx="75">
                  <c:v>35040</c:v>
                </c:pt>
                <c:pt idx="76">
                  <c:v>4500</c:v>
                </c:pt>
                <c:pt idx="77">
                  <c:v>600</c:v>
                </c:pt>
                <c:pt idx="78">
                  <c:v>145000</c:v>
                </c:pt>
                <c:pt idx="79">
                  <c:v>5000</c:v>
                </c:pt>
                <c:pt idx="80">
                  <c:v>56000</c:v>
                </c:pt>
                <c:pt idx="81">
                  <c:v>76000</c:v>
                </c:pt>
                <c:pt idx="82">
                  <c:v>1000</c:v>
                </c:pt>
                <c:pt idx="83">
                  <c:v>860</c:v>
                </c:pt>
                <c:pt idx="84">
                  <c:v>3000</c:v>
                </c:pt>
                <c:pt idx="85">
                  <c:v>1100</c:v>
                </c:pt>
                <c:pt idx="86">
                  <c:v>300</c:v>
                </c:pt>
                <c:pt idx="87">
                  <c:v>500000</c:v>
                </c:pt>
                <c:pt idx="88">
                  <c:v>32000</c:v>
                </c:pt>
                <c:pt idx="89">
                  <c:v>250</c:v>
                </c:pt>
                <c:pt idx="90">
                  <c:v>1100</c:v>
                </c:pt>
                <c:pt idx="91">
                  <c:v>10000</c:v>
                </c:pt>
                <c:pt idx="92">
                  <c:v>15000</c:v>
                </c:pt>
                <c:pt idx="93">
                  <c:v>720</c:v>
                </c:pt>
                <c:pt idx="94">
                  <c:v>1250</c:v>
                </c:pt>
                <c:pt idx="95">
                  <c:v>3900</c:v>
                </c:pt>
                <c:pt idx="96">
                  <c:v>21500</c:v>
                </c:pt>
                <c:pt idx="97">
                  <c:v>2300</c:v>
                </c:pt>
                <c:pt idx="98">
                  <c:v>11000</c:v>
                </c:pt>
                <c:pt idx="99">
                  <c:v>4600</c:v>
                </c:pt>
                <c:pt idx="100">
                  <c:v>4500</c:v>
                </c:pt>
                <c:pt idx="101">
                  <c:v>5000</c:v>
                </c:pt>
                <c:pt idx="102">
                  <c:v>1300</c:v>
                </c:pt>
                <c:pt idx="103">
                  <c:v>2200</c:v>
                </c:pt>
                <c:pt idx="104">
                  <c:v>60</c:v>
                </c:pt>
                <c:pt idx="105">
                  <c:v>55000</c:v>
                </c:pt>
                <c:pt idx="106">
                  <c:v>40</c:v>
                </c:pt>
                <c:pt idx="107">
                  <c:v>2500</c:v>
                </c:pt>
                <c:pt idx="108">
                  <c:v>1500</c:v>
                </c:pt>
                <c:pt idx="109">
                  <c:v>430</c:v>
                </c:pt>
                <c:pt idx="110">
                  <c:v>1500</c:v>
                </c:pt>
                <c:pt idx="111">
                  <c:v>20000</c:v>
                </c:pt>
                <c:pt idx="112">
                  <c:v>8.8000000000000007</c:v>
                </c:pt>
                <c:pt idx="113">
                  <c:v>80</c:v>
                </c:pt>
                <c:pt idx="114">
                  <c:v>63</c:v>
                </c:pt>
                <c:pt idx="115">
                  <c:v>1500</c:v>
                </c:pt>
                <c:pt idx="116">
                  <c:v>43430.315999999999</c:v>
                </c:pt>
                <c:pt idx="117">
                  <c:v>25</c:v>
                </c:pt>
                <c:pt idx="118">
                  <c:v>28722.877</c:v>
                </c:pt>
                <c:pt idx="119">
                  <c:v>57000</c:v>
                </c:pt>
                <c:pt idx="120">
                  <c:v>75</c:v>
                </c:pt>
                <c:pt idx="121">
                  <c:v>20</c:v>
                </c:pt>
                <c:pt idx="122">
                  <c:v>100</c:v>
                </c:pt>
                <c:pt idx="123">
                  <c:v>7633.2340000000004</c:v>
                </c:pt>
                <c:pt idx="124">
                  <c:v>500</c:v>
                </c:pt>
                <c:pt idx="125">
                  <c:v>9400</c:v>
                </c:pt>
                <c:pt idx="126">
                  <c:v>75</c:v>
                </c:pt>
                <c:pt idx="127">
                  <c:v>28517.243999999999</c:v>
                </c:pt>
                <c:pt idx="128">
                  <c:v>500000</c:v>
                </c:pt>
                <c:pt idx="129">
                  <c:v>880</c:v>
                </c:pt>
                <c:pt idx="130">
                  <c:v>123.857</c:v>
                </c:pt>
                <c:pt idx="131">
                  <c:v>100000</c:v>
                </c:pt>
                <c:pt idx="132">
                  <c:v>1500</c:v>
                </c:pt>
                <c:pt idx="133">
                  <c:v>26151.608</c:v>
                </c:pt>
                <c:pt idx="134">
                  <c:v>150000</c:v>
                </c:pt>
                <c:pt idx="135">
                  <c:v>140000</c:v>
                </c:pt>
                <c:pt idx="136">
                  <c:v>4900</c:v>
                </c:pt>
                <c:pt idx="137">
                  <c:v>461.09100000000001</c:v>
                </c:pt>
                <c:pt idx="138">
                  <c:v>15000</c:v>
                </c:pt>
                <c:pt idx="139">
                  <c:v>6800</c:v>
                </c:pt>
                <c:pt idx="140">
                  <c:v>1164.54</c:v>
                </c:pt>
                <c:pt idx="141">
                  <c:v>173000</c:v>
                </c:pt>
                <c:pt idx="142">
                  <c:v>98</c:v>
                </c:pt>
                <c:pt idx="143">
                  <c:v>14870.304</c:v>
                </c:pt>
                <c:pt idx="144">
                  <c:v>46000</c:v>
                </c:pt>
                <c:pt idx="145">
                  <c:v>350</c:v>
                </c:pt>
                <c:pt idx="146">
                  <c:v>160</c:v>
                </c:pt>
                <c:pt idx="147">
                  <c:v>130</c:v>
                </c:pt>
                <c:pt idx="148">
                  <c:v>270000</c:v>
                </c:pt>
                <c:pt idx="149">
                  <c:v>30000</c:v>
                </c:pt>
                <c:pt idx="150">
                  <c:v>156</c:v>
                </c:pt>
                <c:pt idx="151">
                  <c:v>80000</c:v>
                </c:pt>
                <c:pt idx="152">
                  <c:v>275</c:v>
                </c:pt>
                <c:pt idx="153">
                  <c:v>45000</c:v>
                </c:pt>
                <c:pt idx="154">
                  <c:v>363</c:v>
                </c:pt>
                <c:pt idx="155">
                  <c:v>2000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9CB3-40D9-94D7-E62657DEBA0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45859184"/>
        <c:axId val="645859600"/>
      </c:scatterChart>
      <c:valAx>
        <c:axId val="645859184"/>
        <c:scaling>
          <c:orientation val="minMax"/>
          <c:max val="1000000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45859600"/>
        <c:crosses val="autoZero"/>
        <c:crossBetween val="midCat"/>
      </c:valAx>
      <c:valAx>
        <c:axId val="645859600"/>
        <c:scaling>
          <c:orientation val="minMax"/>
          <c:max val="2000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4585918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Ex1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strDim type="cat">
        <cx:f>Sheet3!$A$2:$A$16</cx:f>
        <cx:lvl ptCount="15">
          <cx:pt idx="0">2007-08</cx:pt>
          <cx:pt idx="1">2008-09</cx:pt>
          <cx:pt idx="2">2009-10</cx:pt>
          <cx:pt idx="3">2010-11</cx:pt>
          <cx:pt idx="4">2011-12</cx:pt>
          <cx:pt idx="5">2012-13</cx:pt>
          <cx:pt idx="6">2013-14</cx:pt>
          <cx:pt idx="7">2014-15</cx:pt>
          <cx:pt idx="8">2015-16</cx:pt>
          <cx:pt idx="9">2016-17</cx:pt>
          <cx:pt idx="10">2017-18</cx:pt>
          <cx:pt idx="11">2018-19</cx:pt>
          <cx:pt idx="12">2019-20</cx:pt>
          <cx:pt idx="13">2020-21</cx:pt>
          <cx:pt idx="14">2021-22</cx:pt>
        </cx:lvl>
      </cx:strDim>
      <cx:numDim type="val">
        <cx:f>Sheet3!$B$2:$B$16</cx:f>
        <cx:lvl ptCount="15" formatCode="General">
          <cx:pt idx="0">1</cx:pt>
          <cx:pt idx="1">8</cx:pt>
          <cx:pt idx="2">8</cx:pt>
          <cx:pt idx="3">8</cx:pt>
          <cx:pt idx="4">2</cx:pt>
          <cx:pt idx="5">2</cx:pt>
          <cx:pt idx="6">1</cx:pt>
          <cx:pt idx="7">1</cx:pt>
          <cx:pt idx="8">5</cx:pt>
          <cx:pt idx="9">2</cx:pt>
          <cx:pt idx="10">2</cx:pt>
          <cx:pt idx="11">1</cx:pt>
          <cx:pt idx="12">3</cx:pt>
          <cx:pt idx="13">3</cx:pt>
          <cx:pt idx="14">3</cx:pt>
        </cx:lvl>
      </cx:numDim>
    </cx:data>
  </cx:chartData>
  <cx:chart>
    <cx:plotArea>
      <cx:plotAreaRegion>
        <cx:series layoutId="clusteredColumn" uniqueId="{77F08CBF-0BC0-40C4-9640-C44FDA630486}" formatIdx="0">
          <cx:tx>
            <cx:txData>
              <cx:f>Sheet3!$B$1</cx:f>
              <cx:v>COUNT</cx:v>
            </cx:txData>
          </cx:tx>
          <cx:dataId val="0"/>
          <cx:layoutPr>
            <cx:aggregation/>
          </cx:layoutPr>
        </cx:series>
      </cx:plotAreaRegion>
      <cx:axis id="0">
        <cx:catScaling gapWidth="0"/>
        <cx:tickLabels/>
      </cx:axis>
      <cx:axis id="1">
        <cx:valScaling/>
        <cx:majorGridlines/>
        <cx:tickLabels/>
      </cx:axis>
    </cx:plotArea>
  </cx:chart>
</cx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  <cs:bodyPr rot="-5400000" spcFirstLastPara="1" vertOverflow="clip" horzOverflow="clip" vert="horz" wrap="square" lIns="38100" tIns="19050" rIns="38100" bIns="19050" anchor="ctr" anchorCtr="1">
      <a:spAutoFit/>
    </cs:bodyPr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36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804</TotalTime>
  <Pages>4</Pages>
  <Words>411</Words>
  <Characters>2346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Hemanath Kumar J</dc:creator>
  <cp:keywords/>
  <dc:description/>
  <cp:lastModifiedBy>Hemanath Kumar J</cp:lastModifiedBy>
  <cp:revision>18</cp:revision>
  <dcterms:created xsi:type="dcterms:W3CDTF">2021-09-05T10:14:00Z</dcterms:created>
  <dcterms:modified xsi:type="dcterms:W3CDTF">2021-09-06T07:32:00Z</dcterms:modified>
</cp:coreProperties>
</file>