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During FinTech Plus Sync's 2nd quarter 2023 earnings call, CEO John Doe reported a prosperous quarter with a revenue of $125 million, marking a 25% annual increase. The company achieved a strong gross profit margin of 58% through efficiency gains from its scalable business model. EBITDA reached $37.5 million, reflecting a notable 30% EBITDA margin. Net income rose significantly to $16 million compared to $10 million in Q2 2022. Growth was facilitated by expanding product lines like high-yield savings and the RoboAdvisor platform and strategic investments in asset-backed securities, including collateralized debt obligations and residential mortgage-backed securities. FinTech Plus also diversified its portfolio with a $25 million investment in AAA-rated corporate bonds to bolster risk-adjusted returns.</w:t>
      </w:r>
    </w:p>
    <w:p/>
    <w:p>
      <w:pPr>
        <w:pStyle w:val="Heading1"/>
      </w:pPr>
      <w:r>
        <w:t>Key Points</w:t>
      </w:r>
    </w:p>
    <w:p>
      <w:r>
        <w:t>Main Points Discussed:</w:t>
        <w:br/>
        <w:br/>
        <w:t>1. FinTech Plus had a strong Q2 in 2023:</w:t>
        <w:br/>
        <w:t xml:space="preserve">   - Revenue reached $125 million, marking a 25% increase year over year.</w:t>
        <w:br/>
        <w:t xml:space="preserve">   - Gross profit margin stood at 58%.</w:t>
        <w:br/>
        <w:t xml:space="preserve">   - EBITDA surged to $37.5 million, with a notable 30% EBITDA margin.</w:t>
        <w:br/>
        <w:t xml:space="preserve">   - Net income for the quarter rose to $16 million.</w:t>
        <w:br/>
        <w:t xml:space="preserve">   </w:t>
        <w:br/>
        <w:t>2. Cost efficiencies from a scalable business model contributed to the strong gross profit margin.</w:t>
        <w:br/>
        <w:br/>
        <w:t>3. Expansion efforts were successful:</w:t>
        <w:br/>
        <w:t xml:space="preserve">   - Total addressable market grew substantially.</w:t>
        <w:br/>
        <w:t xml:space="preserve">   - Launch of high-yield savings product line and a new RoboAdvisor platform played significant roles.</w:t>
        <w:br/>
        <w:br/>
        <w:t>4. Diversification of investments:</w:t>
        <w:br/>
        <w:t xml:space="preserve">   - Locus on asset-backed securities portfolio, including collateralized debt obligations and residential mortgage-backed securities.</w:t>
        <w:br/>
        <w:t xml:space="preserve">   - Investment of $25 million in AAA-rated corporate bonds aims at enhancing risk-adjusted returns.</w:t>
      </w:r>
    </w:p>
    <w:p/>
    <w:p>
      <w:pPr>
        <w:pStyle w:val="Heading1"/>
      </w:pPr>
      <w:r>
        <w:t>Action Items</w:t>
      </w:r>
    </w:p>
    <w:p>
      <w:r>
        <w:t>Action Items:</w:t>
        <w:br/>
        <w:br/>
        <w:t>1. Review and analyze the return on investment (ROI) from investing in collateralized debt obligations, residential mortgage-backed securities, and AAA-rated corporate bonds for future decision-making. (Financial/CFO team)</w:t>
        <w:br/>
        <w:br/>
        <w:t>2. Assess the scalability and efficiency of the business model leading to a high gross profit margin and explore potential areas for further cost efficiencies. (Operations/Finance team)</w:t>
        <w:br/>
        <w:br/>
        <w:t>3. Evaluate the growth and performance of the high-yield savings product line and RoboAdvisor platform to identify opportunities for continued expansion and market share capture. (Product Development/Marketing team)</w:t>
        <w:br/>
        <w:br/>
        <w:t>4. Monitor and assess the total addressable market growth to inform strategic decisions and adapt business strategies accordingly. (Market Research/Business Development team)</w:t>
      </w:r>
    </w:p>
    <w:p/>
    <w:p>
      <w:pPr>
        <w:pStyle w:val="Heading1"/>
      </w:pPr>
      <w:r>
        <w:t>Sentiment</w:t>
      </w:r>
    </w:p>
    <w:p>
      <w:r>
        <w:t xml:space="preserve">The sentiment of the provided text is generally positive. </w:t>
        <w:br/>
        <w:br/>
        <w:t>Explanation:</w:t>
        <w:br/>
        <w:t>1. **Positive Language**: The text uses positive language such as "stellar", "solid", "surged", "remarkable", "noteworthy increase", "substantially", "expansion", and "enhancing", which conveys a sense of success, growth, and prosperity.</w:t>
        <w:br/>
        <w:t xml:space="preserve">   </w:t>
        <w:br/>
        <w:t>2. **Achievement**: The data presented highlights various significant achievements like a revenue increase compared to the previous year, a high gross profit margin, a substantial EBITDA margin, and a growth in net income. These metrics indicate successful performance.</w:t>
        <w:br/>
        <w:t xml:space="preserve">   </w:t>
        <w:br/>
        <w:t>3. **Business Expansion**: Discussion of the total addressable market growth, diversification of the securities portfolio, investments in various financial instruments, and enhancement of return on investment paints a picture of a company making strategic moves to expand and improve its business operations.</w:t>
        <w:br/>
        <w:br/>
        <w:t>Considering these factors, it can be determined that the overall sentiment is positive, reflecting on the impressive performance and strategic decisions of FinTech Plus Sync in the 2nd quarter of 2023.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