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rFonts w:ascii="Arial" w:cs="Arial" w:eastAsia="Arial" w:hAnsi="Arial"/>
          <w:b/>
          <w:bCs/>
          <w:color w:val="1A73E8"/>
          <w:sz w:val="64"/>
          <w:szCs w:val="64"/>
        </w:rPr>
        <w:t xml:space="preserve">Google Resume Studio</w:t>
      </w:r>
    </w:p>
    <w:p>
      <w:pPr>
        <w:spacing w:after="300"/>
        <w:jc w:val="center"/>
      </w:pPr>
      <w:r>
        <w:rPr>
          <w:rFonts w:ascii="Arial" w:cs="Arial" w:eastAsia="Arial" w:hAnsi="Arial"/>
          <w:color w:val="202124"/>
          <w:sz w:val="40"/>
          <w:szCs w:val="40"/>
        </w:rPr>
        <w:t xml:space="preserve">Go-to-Market Strategy</w:t>
      </w:r>
    </w:p>
    <w:p>
      <w:pPr>
        <w:spacing w:after="120"/>
        <w:jc w:val="center"/>
      </w:pPr>
      <w:r>
        <w:rPr>
          <w:rFonts w:ascii="Arial" w:cs="Arial" w:eastAsia="Arial" w:hAnsi="Arial"/>
          <w:i/>
          <w:iCs/>
          <w:color w:val="5F6368"/>
          <w:sz w:val="24"/>
          <w:szCs w:val="24"/>
        </w:rPr>
        <w:t xml:space="preserve">An AI resume builder that gets every job seeker past the robots and in front of humans</w:t>
      </w:r>
    </w:p>
    <w:p>
      <w:pPr>
        <w:spacing w:after="80" w:before="2400"/>
        <w:jc w:val="center"/>
      </w:pPr>
      <w:r>
        <w:rPr>
          <w:rFonts w:ascii="Arial" w:cs="Arial" w:eastAsia="Arial" w:hAnsi="Arial"/>
          <w:color w:val="5F6368"/>
          <w:sz w:val="20"/>
          <w:szCs w:val="20"/>
        </w:rPr>
        <w:t xml:space="preserve">Prepared by Harseet · Product Marketing Portfolio Project · July 2026</w:t>
      </w:r>
    </w:p>
    <w:p>
      <w:pPr>
        <w:jc w:val="center"/>
      </w:pPr>
      <w:r>
        <w:rPr>
          <w:rFonts w:ascii="Arial" w:cs="Arial" w:eastAsia="Arial" w:hAnsi="Arial"/>
          <w:i/>
          <w:iCs/>
          <w:color w:val="5F6368"/>
          <w:sz w:val="18"/>
          <w:szCs w:val="18"/>
        </w:rPr>
        <w:t xml:space="preserve">Fictional product. Written as an exercise in the role of a Google product marketer; not affiliated with Google.</w:t>
      </w:r>
    </w:p>
    <w:p>
      <w:r>
        <w:br w:type="page"/>
      </w:r>
    </w:p>
    <w:p>
      <w:pPr>
        <w:pStyle w:val="Heading1"/>
        <w:spacing w:after="200" w:before="360"/>
      </w:pPr>
      <w:r>
        <w:rPr>
          <w:rFonts w:ascii="Arial" w:cs="Arial" w:eastAsia="Arial" w:hAnsi="Arial"/>
          <w:b/>
          <w:bCs/>
          <w:color w:val="1A73E8"/>
          <w:sz w:val="32"/>
          <w:szCs w:val="32"/>
        </w:rPr>
        <w:t xml:space="preserve">1. Executive Summary</w:t>
      </w:r>
    </w:p>
    <w:p>
      <w:pPr>
        <w:spacing w:after="160" w:line="276"/>
      </w:pPr>
      <w:r>
        <w:rPr>
          <w:rFonts w:ascii="Arial" w:cs="Arial" w:eastAsia="Arial" w:hAnsi="Arial"/>
          <w:color w:val="202124"/>
          <w:sz w:val="22"/>
          <w:szCs w:val="22"/>
        </w:rPr>
        <w:t xml:space="preserve">Google Resume Studio is a Gemini-powered resume builder that turns a job seeker's raw history into a tailored, ATS-ready resume for every application — free to start, integrated with Docs, Drive, and Google's job search experience. This plan covers the first 12 months from public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Metric</w:t>
            </w:r>
          </w:p>
        </w:tc>
        <w:tc>
          <w:tcPr>
            <w:tcW w:type="dxa" w:w="468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Year-1 Target</w:t>
            </w:r>
          </w:p>
        </w:tc>
      </w:tr>
      <w:tr>
        <w:tc>
          <w:tcPr>
            <w:tcW w:type="dxa" w:w="468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Signups</w:t>
            </w:r>
          </w:p>
        </w:tc>
        <w:tc>
          <w:tcPr>
            <w:tcW w:type="dxa" w:w="468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6.0M free accounts</w:t>
            </w:r>
          </w:p>
        </w:tc>
      </w:tr>
      <w:tr>
        <w:tc>
          <w:tcPr>
            <w:tcW w:type="dxa" w:w="468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Activation (resume completed + downloaded)</w:t>
            </w:r>
          </w:p>
        </w:tc>
        <w:tc>
          <w:tcPr>
            <w:tcW w:type="dxa" w:w="468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55% of signups</w:t>
            </w:r>
          </w:p>
        </w:tc>
      </w:tr>
      <w:tr>
        <w:tc>
          <w:tcPr>
            <w:tcW w:type="dxa" w:w="468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Free → paid conversion</w:t>
            </w:r>
          </w:p>
        </w:tc>
        <w:tc>
          <w:tcPr>
            <w:tcW w:type="dxa" w:w="468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3.0% (benchmark: 2–5% freemium median)</w:t>
            </w:r>
          </w:p>
        </w:tc>
      </w:tr>
      <w:tr>
        <w:tc>
          <w:tcPr>
            <w:tcW w:type="dxa" w:w="468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Paying subscribers at exit</w:t>
            </w:r>
          </w:p>
        </w:tc>
        <w:tc>
          <w:tcPr>
            <w:tcW w:type="dxa" w:w="468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132K (180K acquired, 7% monthly churn)</w:t>
            </w:r>
          </w:p>
        </w:tc>
      </w:tr>
      <w:tr>
        <w:tc>
          <w:tcPr>
            <w:tcW w:type="dxa" w:w="468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Year-1 revenue / exit ARR</w:t>
            </w:r>
          </w:p>
        </w:tc>
        <w:tc>
          <w:tcPr>
            <w:tcW w:type="dxa" w:w="468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$6.5M / $12.7M</w:t>
            </w:r>
          </w:p>
        </w:tc>
      </w:tr>
      <w:tr>
        <w:tc>
          <w:tcPr>
            <w:tcW w:type="dxa" w:w="468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Launch-year blended CAC</w:t>
            </w:r>
          </w:p>
        </w:tc>
        <w:tc>
          <w:tcPr>
            <w:tcW w:type="dxa" w:w="468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$67 per subscriber ($2.00 per signup)</w:t>
            </w:r>
          </w:p>
        </w:tc>
      </w:tr>
      <w:tr>
        <w:tc>
          <w:tcPr>
            <w:tcW w:type="dxa" w:w="468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LTV / steady-state LTV:CAC</w:t>
            </w:r>
          </w:p>
        </w:tc>
        <w:tc>
          <w:tcPr>
            <w:tcW w:type="dxa" w:w="468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$97 / 3.2x by Year 2</w:t>
            </w:r>
          </w:p>
        </w:tc>
      </w:tr>
      <w:tr>
        <w:tc>
          <w:tcPr>
            <w:tcW w:type="dxa" w:w="468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Launch budget</w:t>
            </w:r>
          </w:p>
        </w:tc>
        <w:tc>
          <w:tcPr>
            <w:tcW w:type="dxa" w:w="468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$12M (media, brand, partnerships, PR)</w:t>
            </w:r>
          </w:p>
        </w:tc>
      </w:tr>
    </w:tbl>
    <w:p>
      <w:pPr>
        <w:spacing w:after="160"/>
      </w:pPr>
    </w:p>
    <w:p>
      <w:pPr>
        <w:spacing w:after="160" w:line="276"/>
      </w:pPr>
      <w:r>
        <w:rPr>
          <w:rFonts w:ascii="Arial" w:cs="Arial" w:eastAsia="Arial" w:hAnsi="Arial"/>
          <w:color w:val="202124"/>
          <w:sz w:val="22"/>
          <w:szCs w:val="22"/>
        </w:rPr>
        <w:t xml:space="preserve">The strategic bet: the resume-builder market is crowded but has no trusted default. Incumbents charge $24–29/month with dark-pattern billing; ChatGPT is free but generic and increasingly flagged by recruiters. Google can win on trust, distribution, and a radically better free tier — monetizing the serious job seeker, not the desperate one.</w:t>
      </w:r>
    </w:p>
    <w:p>
      <w:pPr>
        <w:pStyle w:val="Heading1"/>
        <w:spacing w:after="200" w:before="360"/>
      </w:pPr>
      <w:r>
        <w:rPr>
          <w:rFonts w:ascii="Arial" w:cs="Arial" w:eastAsia="Arial" w:hAnsi="Arial"/>
          <w:b/>
          <w:bCs/>
          <w:color w:val="1A73E8"/>
          <w:sz w:val="32"/>
          <w:szCs w:val="32"/>
        </w:rPr>
        <w:t xml:space="preserve">2. Market Research</w:t>
      </w:r>
    </w:p>
    <w:p>
      <w:pPr>
        <w:pStyle w:val="Heading2"/>
        <w:spacing w:after="160" w:before="280"/>
      </w:pPr>
      <w:r>
        <w:rPr>
          <w:rFonts w:ascii="Arial" w:cs="Arial" w:eastAsia="Arial" w:hAnsi="Arial"/>
          <w:b/>
          <w:bCs/>
          <w:color w:val="202124"/>
          <w:sz w:val="26"/>
          <w:szCs w:val="26"/>
        </w:rPr>
        <w:t xml:space="preserve">2.1 Market size</w:t>
      </w:r>
    </w:p>
    <w:p>
      <w:pPr>
        <w:pStyle w:val="ListParagraph"/>
        <w:numPr>
          <w:ilvl w:val="0"/>
          <w:numId w:val="2"/>
        </w:numPr>
        <w:spacing w:after="100" w:line="276"/>
      </w:pPr>
      <w:r>
        <w:rPr>
          <w:rFonts w:ascii="Arial" w:cs="Arial" w:eastAsia="Arial" w:hAnsi="Arial"/>
          <w:b/>
          <w:bCs/>
          <w:color w:val="202124"/>
          <w:sz w:val="22"/>
          <w:szCs w:val="22"/>
        </w:rPr>
        <w:t xml:space="preserve">TAM — $9.5B (2026). </w:t>
      </w:r>
      <w:r>
        <w:rPr>
          <w:rFonts w:ascii="Arial" w:cs="Arial" w:eastAsia="Arial" w:hAnsi="Arial"/>
          <w:color w:val="202124"/>
          <w:sz w:val="22"/>
          <w:szCs w:val="22"/>
        </w:rPr>
        <w:t xml:space="preserve">The global resume-builder market grows from $8.9B (2025) to $9.5B (2026) at 7.4% CAGR, reaching ~$12.6B by 2030 (The Business Research Company).</w:t>
      </w:r>
    </w:p>
    <w:p>
      <w:pPr>
        <w:pStyle w:val="ListParagraph"/>
        <w:numPr>
          <w:ilvl w:val="0"/>
          <w:numId w:val="2"/>
        </w:numPr>
        <w:spacing w:after="100" w:line="276"/>
      </w:pPr>
      <w:r>
        <w:rPr>
          <w:rFonts w:ascii="Arial" w:cs="Arial" w:eastAsia="Arial" w:hAnsi="Arial"/>
          <w:b/>
          <w:bCs/>
          <w:color w:val="202124"/>
          <w:sz w:val="22"/>
          <w:szCs w:val="22"/>
        </w:rPr>
        <w:t xml:space="preserve">SAM — ~$1.2B. </w:t>
      </w:r>
      <w:r>
        <w:rPr>
          <w:rFonts w:ascii="Arial" w:cs="Arial" w:eastAsia="Arial" w:hAnsi="Arial"/>
          <w:color w:val="202124"/>
          <w:sz w:val="22"/>
          <w:szCs w:val="22"/>
        </w:rPr>
        <w:t xml:space="preserve">The AI-native segment: estimates range from $400M (2024) growing at 20% CAGR to $1.24B already in 2024 depending on definition (MarketIntelo, FutureDataStats). We size the serviceable market at consumer AI resume subscriptions in English-first markets.</w:t>
      </w:r>
    </w:p>
    <w:p>
      <w:pPr>
        <w:pStyle w:val="ListParagraph"/>
        <w:numPr>
          <w:ilvl w:val="0"/>
          <w:numId w:val="2"/>
        </w:numPr>
        <w:spacing w:after="100" w:line="276"/>
      </w:pPr>
      <w:r>
        <w:rPr>
          <w:rFonts w:ascii="Arial" w:cs="Arial" w:eastAsia="Arial" w:hAnsi="Arial"/>
          <w:b/>
          <w:bCs/>
          <w:color w:val="202124"/>
          <w:sz w:val="22"/>
          <w:szCs w:val="22"/>
        </w:rPr>
        <w:t xml:space="preserve">SOM — $13M exit ARR in Year 1, </w:t>
      </w:r>
      <w:r>
        <w:rPr>
          <w:rFonts w:ascii="Arial" w:cs="Arial" w:eastAsia="Arial" w:hAnsi="Arial"/>
          <w:color w:val="202124"/>
          <w:sz w:val="22"/>
          <w:szCs w:val="22"/>
        </w:rPr>
        <w:t xml:space="preserve">~1% of SAM, deliberately conservative for a launch year despite Google-scale distribution.</w:t>
      </w:r>
    </w:p>
    <w:p>
      <w:pPr>
        <w:pStyle w:val="Heading2"/>
        <w:spacing w:after="160" w:before="280"/>
      </w:pPr>
      <w:r>
        <w:rPr>
          <w:rFonts w:ascii="Arial" w:cs="Arial" w:eastAsia="Arial" w:hAnsi="Arial"/>
          <w:b/>
          <w:bCs/>
          <w:color w:val="202124"/>
          <w:sz w:val="26"/>
          <w:szCs w:val="26"/>
        </w:rPr>
        <w:t xml:space="preserve">2.2 Demand signals</w:t>
      </w:r>
    </w:p>
    <w:p>
      <w:pPr>
        <w:pStyle w:val="ListParagraph"/>
        <w:numPr>
          <w:ilvl w:val="0"/>
          <w:numId w:val="2"/>
        </w:numPr>
        <w:spacing w:after="100" w:line="276"/>
      </w:pPr>
      <w:r>
        <w:rPr>
          <w:rFonts w:ascii="Arial" w:cs="Arial" w:eastAsia="Arial" w:hAnsi="Arial"/>
          <w:color w:val="202124"/>
          <w:sz w:val="22"/>
          <w:szCs w:val="22"/>
        </w:rPr>
        <w:t xml:space="preserve">31–65% of job seekers already use AI in applications (estimates vary by study; JobCannon 2026, CNBC/Career Group 2025) — behavior is mainstream, tooling is fragmented.</w:t>
      </w:r>
    </w:p>
    <w:p>
      <w:pPr>
        <w:pStyle w:val="ListParagraph"/>
        <w:numPr>
          <w:ilvl w:val="0"/>
          <w:numId w:val="2"/>
        </w:numPr>
        <w:spacing w:after="100" w:line="276"/>
      </w:pPr>
      <w:r>
        <w:rPr>
          <w:rFonts w:ascii="Arial" w:cs="Arial" w:eastAsia="Arial" w:hAnsi="Arial"/>
          <w:color w:val="202124"/>
          <w:sz w:val="22"/>
          <w:szCs w:val="22"/>
        </w:rPr>
        <w:t xml:space="preserve">78% of job seekers who used AI for resumes report landing interviews; algorithmic writing help lifts hires +7.8% (JobCannon).</w:t>
      </w:r>
    </w:p>
    <w:p>
      <w:pPr>
        <w:pStyle w:val="ListParagraph"/>
        <w:numPr>
          <w:ilvl w:val="0"/>
          <w:numId w:val="2"/>
        </w:numPr>
        <w:spacing w:after="100" w:line="276"/>
      </w:pPr>
      <w:r>
        <w:rPr>
          <w:rFonts w:ascii="Arial" w:cs="Arial" w:eastAsia="Arial" w:hAnsi="Arial"/>
          <w:color w:val="202124"/>
          <w:sz w:val="22"/>
          <w:szCs w:val="22"/>
        </w:rPr>
        <w:t xml:space="preserve">Counter-signal that shapes positioning: 57% of hiring managers say they're less likely to hire candidates who obviously used AI, and 1 in 3 recruiters claim to spot a ChatGPT resume in under 20 seconds. Generic AI output is now a liability — 'AI that doesn't sound like AI' is the wedge.</w:t>
      </w:r>
    </w:p>
    <w:p>
      <w:pPr>
        <w:pStyle w:val="ListParagraph"/>
        <w:numPr>
          <w:ilvl w:val="0"/>
          <w:numId w:val="2"/>
        </w:numPr>
        <w:spacing w:after="100" w:line="276"/>
      </w:pPr>
      <w:r>
        <w:rPr>
          <w:rFonts w:ascii="Arial" w:cs="Arial" w:eastAsia="Arial" w:hAnsi="Arial"/>
          <w:color w:val="202124"/>
          <w:sz w:val="22"/>
          <w:szCs w:val="22"/>
        </w:rPr>
        <w:t xml:space="preserve">Structural tailwind: nearly every large employer screens with ATS software; tailoring per application is now table stakes, and doing it manually takes 30–60 minutes per job.</w:t>
      </w:r>
    </w:p>
    <w:p>
      <w:pPr>
        <w:pStyle w:val="Heading2"/>
        <w:spacing w:after="160" w:before="280"/>
      </w:pPr>
      <w:r>
        <w:rPr>
          <w:rFonts w:ascii="Arial" w:cs="Arial" w:eastAsia="Arial" w:hAnsi="Arial"/>
          <w:b/>
          <w:bCs/>
          <w:color w:val="202124"/>
          <w:sz w:val="26"/>
          <w:szCs w:val="26"/>
        </w:rPr>
        <w:t xml:space="preserve">2.3 Why now, why Google</w:t>
      </w:r>
    </w:p>
    <w:p>
      <w:pPr>
        <w:spacing w:after="160" w:line="276"/>
      </w:pPr>
      <w:r>
        <w:rPr>
          <w:rFonts w:ascii="Arial" w:cs="Arial" w:eastAsia="Arial" w:hAnsi="Arial"/>
          <w:color w:val="202124"/>
          <w:sz w:val="22"/>
          <w:szCs w:val="22"/>
        </w:rPr>
        <w:t xml:space="preserve">Job search is already a Google behavior: hundreds of millions of job-related searches flow through Google monthly, and the job search experience in Search is a massive untapped surface for a native resume tool. Gemini provides model quality; Docs/Drive provide the editing and storage layer users already trust with their documents. No competitor can bundle model + distribution + document ecosystem.</w:t>
      </w:r>
    </w:p>
    <w:p>
      <w:pPr>
        <w:pStyle w:val="Heading1"/>
        <w:spacing w:after="200" w:before="360"/>
      </w:pPr>
      <w:r>
        <w:rPr>
          <w:rFonts w:ascii="Arial" w:cs="Arial" w:eastAsia="Arial" w:hAnsi="Arial"/>
          <w:b/>
          <w:bCs/>
          <w:color w:val="1A73E8"/>
          <w:sz w:val="32"/>
          <w:szCs w:val="32"/>
        </w:rPr>
        <w:t xml:space="preserve">3.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
            </w:r>
          </w:p>
        </w:tc>
        <w:tc>
          <w:tcPr>
            <w:tcW w:type="dxa" w:w="26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New-Grad Nia</w:t>
            </w:r>
          </w:p>
        </w:tc>
        <w:tc>
          <w:tcPr>
            <w:tcW w:type="dxa" w:w="26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Switcher Sam</w:t>
            </w:r>
          </w:p>
        </w:tc>
        <w:tc>
          <w:tcPr>
            <w:tcW w:type="dxa" w:w="26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Laid-off Priya</w:t>
            </w:r>
          </w:p>
        </w:tc>
      </w:tr>
      <w:tr>
        <w:tc>
          <w:tcPr>
            <w:tcW w:type="dxa" w:w="15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Profile</w:t>
            </w:r>
          </w:p>
        </w:tc>
        <w:tc>
          <w:tcPr>
            <w:tcW w:type="dxa" w:w="26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22, graduating senior, applying to 100+ entry-level roles</w:t>
            </w:r>
          </w:p>
        </w:tc>
        <w:tc>
          <w:tcPr>
            <w:tcW w:type="dxa" w:w="26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31, retail manager moving into tech sales / ops</w:t>
            </w:r>
          </w:p>
        </w:tc>
        <w:tc>
          <w:tcPr>
            <w:tcW w:type="dxa" w:w="26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38, senior marketer, first search in 9 years after layoff</w:t>
            </w:r>
          </w:p>
        </w:tc>
      </w:tr>
      <w:tr>
        <w:tc>
          <w:tcPr>
            <w:tcW w:type="dxa" w:w="15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Pain</w:t>
            </w:r>
          </w:p>
        </w:tc>
        <w:tc>
          <w:tcPr>
            <w:tcW w:type="dxa" w:w="26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Blank-page paralysis; no idea what ATS wants; zero budget</w:t>
            </w:r>
          </w:p>
        </w:tc>
        <w:tc>
          <w:tcPr>
            <w:tcW w:type="dxa" w:w="26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Can't translate experience into new-industry language</w:t>
            </w:r>
          </w:p>
        </w:tc>
        <w:tc>
          <w:tcPr>
            <w:tcW w:type="dxa" w:w="26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Resume format is dated; tailoring 10 applications/week is exhausting</w:t>
            </w:r>
          </w:p>
        </w:tc>
      </w:tr>
      <w:tr>
        <w:tc>
          <w:tcPr>
            <w:tcW w:type="dxa" w:w="15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Current tools</w:t>
            </w:r>
          </w:p>
        </w:tc>
        <w:tc>
          <w:tcPr>
            <w:tcW w:type="dxa" w:w="26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Google Docs template + ChatGPT free</w:t>
            </w:r>
          </w:p>
        </w:tc>
        <w:tc>
          <w:tcPr>
            <w:tcW w:type="dxa" w:w="26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Zety trial (burned by billing), YouTube advice</w:t>
            </w:r>
          </w:p>
        </w:tc>
        <w:tc>
          <w:tcPr>
            <w:tcW w:type="dxa" w:w="26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LinkedIn, paid resume writer quote ($400)</w:t>
            </w:r>
          </w:p>
        </w:tc>
      </w:tr>
      <w:tr>
        <w:tc>
          <w:tcPr>
            <w:tcW w:type="dxa" w:w="15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Willingness to pay</w:t>
            </w:r>
          </w:p>
        </w:tc>
        <w:tc>
          <w:tcPr>
            <w:tcW w:type="dxa" w:w="26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Low ($0) — free tier &amp; future brand loyalty</w:t>
            </w:r>
          </w:p>
        </w:tc>
        <w:tc>
          <w:tcPr>
            <w:tcW w:type="dxa" w:w="26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Medium ($5–10/mo for 2–3 months)</w:t>
            </w:r>
          </w:p>
        </w:tc>
        <w:tc>
          <w:tcPr>
            <w:tcW w:type="dxa" w:w="26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High ($10–15/mo, expensed, urgent)</w:t>
            </w:r>
          </w:p>
        </w:tc>
      </w:tr>
      <w:tr>
        <w:tc>
          <w:tcPr>
            <w:tcW w:type="dxa" w:w="15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Job to be done</w:t>
            </w:r>
          </w:p>
        </w:tc>
        <w:tc>
          <w:tcPr>
            <w:tcW w:type="dxa" w:w="26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“Give me a credible first resume fast”</w:t>
            </w:r>
          </w:p>
        </w:tc>
        <w:tc>
          <w:tcPr>
            <w:tcW w:type="dxa" w:w="26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“Reframe my story for a new field”</w:t>
            </w:r>
          </w:p>
        </w:tc>
        <w:tc>
          <w:tcPr>
            <w:tcW w:type="dxa" w:w="26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“Tailor at volume without sounding like a bot”</w:t>
            </w:r>
          </w:p>
        </w:tc>
      </w:tr>
      <w:tr>
        <w:tc>
          <w:tcPr>
            <w:tcW w:type="dxa" w:w="15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Primary channel</w:t>
            </w:r>
          </w:p>
        </w:tc>
        <w:tc>
          <w:tcPr>
            <w:tcW w:type="dxa" w:w="26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Campus/creator, YouTube Shorts</w:t>
            </w:r>
          </w:p>
        </w:tc>
        <w:tc>
          <w:tcPr>
            <w:tcW w:type="dxa" w:w="26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Search (“resume for career change”), TikTok</w:t>
            </w:r>
          </w:p>
        </w:tc>
        <w:tc>
          <w:tcPr>
            <w:tcW w:type="dxa" w:w="26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Search, LinkedIn, PR/news coverage</w:t>
            </w:r>
          </w:p>
        </w:tc>
      </w:tr>
    </w:tbl>
    <w:p>
      <w:pPr>
        <w:spacing w:after="160"/>
      </w:pPr>
    </w:p>
    <w:p>
      <w:pPr>
        <w:spacing w:after="160" w:line="276"/>
      </w:pPr>
      <w:r>
        <w:rPr>
          <w:rFonts w:ascii="Arial" w:cs="Arial" w:eastAsia="Arial" w:hAnsi="Arial"/>
          <w:color w:val="202124"/>
          <w:sz w:val="22"/>
          <w:szCs w:val="22"/>
        </w:rPr>
        <w:t xml:space="preserve">Nia drives volume and long-term brand equity; Sam and Priya drive revenue. The free tier is built for Nia; Pro is built for Sam's reframing and Priya's tailoring-at-volume.</w:t>
      </w:r>
    </w:p>
    <w:p>
      <w:pPr>
        <w:pStyle w:val="Heading1"/>
        <w:spacing w:after="200" w:before="360"/>
      </w:pPr>
      <w:r>
        <w:rPr>
          <w:rFonts w:ascii="Arial" w:cs="Arial" w:eastAsia="Arial" w:hAnsi="Arial"/>
          <w:b/>
          <w:bCs/>
          <w:color w:val="1A73E8"/>
          <w:sz w:val="32"/>
          <w:szCs w:val="32"/>
        </w:rPr>
        <w:t xml:space="preserve">4.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00"/>
        <w:gridCol w:w="2700"/>
        <w:gridCol w:w="3200"/>
      </w:tblGrid>
      <w:tr>
        <w:trPr>
          <w:tblHeader/>
        </w:trPr>
        <w:tc>
          <w:tcPr>
            <w:tcW w:type="dxa" w:w="156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Player</w:t>
            </w:r>
          </w:p>
        </w:tc>
        <w:tc>
          <w:tcPr>
            <w:tcW w:type="dxa" w:w="19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Price</w:t>
            </w:r>
          </w:p>
        </w:tc>
        <w:tc>
          <w:tcPr>
            <w:tcW w:type="dxa" w:w="27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Strength</w:t>
            </w:r>
          </w:p>
        </w:tc>
        <w:tc>
          <w:tcPr>
            <w:tcW w:type="dxa" w:w="32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Exploitable weakness</w:t>
            </w:r>
          </w:p>
        </w:tc>
      </w:tr>
      <w:tr>
        <w:tc>
          <w:tcPr>
            <w:tcW w:type="dxa" w:w="15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Zety</w:t>
            </w:r>
          </w:p>
        </w:tc>
        <w:tc>
          <w:tcPr>
            <w:tcW w:type="dxa" w:w="19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~$25.95 / 4 weeks (bills 13x/yr)</w:t>
            </w:r>
          </w:p>
        </w:tc>
        <w:tc>
          <w:tcPr>
            <w:tcW w:type="dxa" w:w="27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SEO dominance, guided flow</w:t>
            </w:r>
          </w:p>
        </w:tc>
        <w:tc>
          <w:tcPr>
            <w:tcW w:type="dxa" w:w="32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Free download is stripped TXT; billing dark patterns → trust deficit</w:t>
            </w:r>
          </w:p>
        </w:tc>
      </w:tr>
      <w:tr>
        <w:tc>
          <w:tcPr>
            <w:tcW w:type="dxa" w:w="15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Teal</w:t>
            </w:r>
          </w:p>
        </w:tc>
        <w:tc>
          <w:tcPr>
            <w:tcW w:type="dxa" w:w="19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Free tier + $29 / 30 days</w:t>
            </w:r>
          </w:p>
        </w:tc>
        <w:tc>
          <w:tcPr>
            <w:tcW w:type="dxa" w:w="27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Best free tier, job tracker</w:t>
            </w:r>
          </w:p>
        </w:tc>
        <w:tc>
          <w:tcPr>
            <w:tcW w:type="dxa" w:w="32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Power-user complexity; weak brand outside job-search Twitter</w:t>
            </w:r>
          </w:p>
        </w:tc>
      </w:tr>
      <w:tr>
        <w:tc>
          <w:tcPr>
            <w:tcW w:type="dxa" w:w="15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Rezi</w:t>
            </w:r>
          </w:p>
        </w:tc>
        <w:tc>
          <w:tcPr>
            <w:tcW w:type="dxa" w:w="19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$29/mo or $149 lifetime</w:t>
            </w:r>
          </w:p>
        </w:tc>
        <w:tc>
          <w:tcPr>
            <w:tcW w:type="dxa" w:w="27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ATS scoring, strong AI features</w:t>
            </w:r>
          </w:p>
        </w:tc>
        <w:tc>
          <w:tcPr>
            <w:tcW w:type="dxa" w:w="32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Niche brand; utilitarian design; lifetime deal caps LTV</w:t>
            </w:r>
          </w:p>
        </w:tc>
      </w:tr>
      <w:tr>
        <w:tc>
          <w:tcPr>
            <w:tcW w:type="dxa" w:w="15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Kickresume</w:t>
            </w:r>
          </w:p>
        </w:tc>
        <w:tc>
          <w:tcPr>
            <w:tcW w:type="dxa" w:w="19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~$4.50/mo (annual)</w:t>
            </w:r>
          </w:p>
        </w:tc>
        <w:tc>
          <w:tcPr>
            <w:tcW w:type="dxa" w:w="27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Cheapest paid, templates</w:t>
            </w:r>
          </w:p>
        </w:tc>
        <w:tc>
          <w:tcPr>
            <w:tcW w:type="dxa" w:w="32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Thin AI differentiation; low brand trust in US</w:t>
            </w:r>
          </w:p>
        </w:tc>
      </w:tr>
      <w:tr>
        <w:tc>
          <w:tcPr>
            <w:tcW w:type="dxa" w:w="15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LinkedIn</w:t>
            </w:r>
          </w:p>
        </w:tc>
        <w:tc>
          <w:tcPr>
            <w:tcW w:type="dxa" w:w="19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Premium $29.99/mo (bundled)</w:t>
            </w:r>
          </w:p>
        </w:tc>
        <w:tc>
          <w:tcPr>
            <w:tcW w:type="dxa" w:w="27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Data moat, distribution</w:t>
            </w:r>
          </w:p>
        </w:tc>
        <w:tc>
          <w:tcPr>
            <w:tcW w:type="dxa" w:w="32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Resume builder is an afterthought; output quality is poor</w:t>
            </w:r>
          </w:p>
        </w:tc>
      </w:tr>
      <w:tr>
        <w:tc>
          <w:tcPr>
            <w:tcW w:type="dxa" w:w="15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ChatGPT (substitute)</w:t>
            </w:r>
          </w:p>
        </w:tc>
        <w:tc>
          <w:tcPr>
            <w:tcW w:type="dxa" w:w="19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Free / $20/mo</w:t>
            </w:r>
          </w:p>
        </w:tc>
        <w:tc>
          <w:tcPr>
            <w:tcW w:type="dxa" w:w="27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Ubiquity, flexibility</w:t>
            </w:r>
          </w:p>
        </w:tc>
        <w:tc>
          <w:tcPr>
            <w:tcW w:type="dxa" w:w="32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Generic voice recruiters flag; no formatting, ATS checks, or tracking</w:t>
            </w:r>
          </w:p>
        </w:tc>
      </w:tr>
    </w:tbl>
    <w:p>
      <w:pPr>
        <w:spacing w:after="160"/>
      </w:pPr>
    </w:p>
    <w:p>
      <w:pPr>
        <w:spacing w:after="160" w:line="276"/>
      </w:pPr>
      <w:r>
        <w:rPr>
          <w:rFonts w:ascii="Arial" w:cs="Arial" w:eastAsia="Arial" w:hAnsi="Arial"/>
          <w:color w:val="202124"/>
          <w:sz w:val="22"/>
          <w:szCs w:val="22"/>
        </w:rPr>
        <w:t xml:space="preserve">Pricing sources: Resumly, FastApply, BestJobSearchApps 2026 comparisons. The market splits into expensive-and-distrusted (Zety), good-but-niche (Teal, Rezi), and free-but-generic (ChatGPT). Nobody owns “trusted default.” That position is open, and it maps exactly to Google's brand assets.</w:t>
      </w:r>
    </w:p>
    <w:p>
      <w:pPr>
        <w:pStyle w:val="Heading1"/>
        <w:spacing w:after="200" w:before="360"/>
      </w:pPr>
      <w:r>
        <w:rPr>
          <w:rFonts w:ascii="Arial" w:cs="Arial" w:eastAsia="Arial" w:hAnsi="Arial"/>
          <w:b/>
          <w:bCs/>
          <w:color w:val="1A73E8"/>
          <w:sz w:val="32"/>
          <w:szCs w:val="32"/>
        </w:rPr>
        <w:t xml:space="preserve">5. Product Positioning</w:t>
      </w:r>
    </w:p>
    <w:p>
      <w:pPr>
        <w:spacing w:after="160" w:line="276"/>
      </w:pPr>
      <w:r>
        <w:rPr>
          <w:rFonts w:ascii="Arial" w:cs="Arial" w:eastAsia="Arial" w:hAnsi="Arial"/>
          <w:b/>
          <w:bCs/>
          <w:color w:val="202124"/>
          <w:sz w:val="22"/>
          <w:szCs w:val="22"/>
        </w:rPr>
        <w:t xml:space="preserve">Positioning statement:</w:t>
      </w:r>
    </w:p>
    <w:p>
      <w:pPr>
        <w:pBdr>
          <w:left w:val="single" w:color="1A73E8" w:sz="24" w:space="8"/>
        </w:pBdr>
        <w:spacing w:after="200" w:line="276"/>
        <w:ind w:left="400" w:right="400"/>
      </w:pPr>
      <w:r>
        <w:rPr>
          <w:rFonts w:ascii="Arial" w:cs="Arial" w:eastAsia="Arial" w:hAnsi="Arial"/>
          <w:i/>
          <w:iCs/>
          <w:color w:val="202124"/>
          <w:sz w:val="22"/>
          <w:szCs w:val="22"/>
        </w:rPr>
        <w:t xml:space="preserve">For active job seekers who must tailor every application to beat automated screening, Google Resume Studio is the AI resume builder that turns your real experience into a recruiter-ready, ATS-proof resume in minutes — unlike generic chatbots that sound robotic or legacy builders that trap you behind paywalls, it's free to start, private by design, and built on the same Google stack you already write and search with.</w:t>
      </w:r>
    </w:p>
    <w:p>
      <w:pPr>
        <w:pStyle w:val="Heading2"/>
        <w:spacing w:after="160" w:before="280"/>
      </w:pPr>
      <w:r>
        <w:rPr>
          <w:rFonts w:ascii="Arial" w:cs="Arial" w:eastAsia="Arial" w:hAnsi="Arial"/>
          <w:b/>
          <w:bCs/>
          <w:color w:val="202124"/>
          <w:sz w:val="26"/>
          <w:szCs w:val="26"/>
        </w:rPr>
        <w:t xml:space="preserve">5.1 Positioning pillars</w:t>
      </w:r>
    </w:p>
    <w:p>
      <w:pPr>
        <w:pStyle w:val="ListParagraph"/>
        <w:numPr>
          <w:ilvl w:val="0"/>
          <w:numId w:val="2"/>
        </w:numPr>
        <w:spacing w:after="100" w:line="276"/>
      </w:pPr>
      <w:r>
        <w:rPr>
          <w:rFonts w:ascii="Arial" w:cs="Arial" w:eastAsia="Arial" w:hAnsi="Arial"/>
          <w:b/>
          <w:bCs/>
          <w:color w:val="202124"/>
          <w:sz w:val="22"/>
          <w:szCs w:val="22"/>
        </w:rPr>
        <w:t xml:space="preserve">Sounds like you, not like AI. </w:t>
      </w:r>
      <w:r>
        <w:rPr>
          <w:rFonts w:ascii="Arial" w:cs="Arial" w:eastAsia="Arial" w:hAnsi="Arial"/>
          <w:color w:val="202124"/>
          <w:sz w:val="22"/>
          <w:szCs w:val="22"/>
        </w:rPr>
        <w:t xml:space="preserve">Gemini fine-tuned on outcome-linked resume data; a 'human voice' score directly counters the 57%-of-recruiters objection.</w:t>
      </w:r>
    </w:p>
    <w:p>
      <w:pPr>
        <w:pStyle w:val="ListParagraph"/>
        <w:numPr>
          <w:ilvl w:val="0"/>
          <w:numId w:val="2"/>
        </w:numPr>
        <w:spacing w:after="100" w:line="276"/>
      </w:pPr>
      <w:r>
        <w:rPr>
          <w:rFonts w:ascii="Arial" w:cs="Arial" w:eastAsia="Arial" w:hAnsi="Arial"/>
          <w:b/>
          <w:bCs/>
          <w:color w:val="202124"/>
          <w:sz w:val="22"/>
          <w:szCs w:val="22"/>
        </w:rPr>
        <w:t xml:space="preserve">Beat the bots, honestly. </w:t>
      </w:r>
      <w:r>
        <w:rPr>
          <w:rFonts w:ascii="Arial" w:cs="Arial" w:eastAsia="Arial" w:hAnsi="Arial"/>
          <w:color w:val="202124"/>
          <w:sz w:val="22"/>
          <w:szCs w:val="22"/>
        </w:rPr>
        <w:t xml:space="preserve">Live ATS compatibility check and job-description match scoring for every application.</w:t>
      </w:r>
    </w:p>
    <w:p>
      <w:pPr>
        <w:pStyle w:val="ListParagraph"/>
        <w:numPr>
          <w:ilvl w:val="0"/>
          <w:numId w:val="2"/>
        </w:numPr>
        <w:spacing w:after="100" w:line="276"/>
      </w:pPr>
      <w:r>
        <w:rPr>
          <w:rFonts w:ascii="Arial" w:cs="Arial" w:eastAsia="Arial" w:hAnsi="Arial"/>
          <w:b/>
          <w:bCs/>
          <w:color w:val="202124"/>
          <w:sz w:val="22"/>
          <w:szCs w:val="22"/>
        </w:rPr>
        <w:t xml:space="preserve">Actually free. </w:t>
      </w:r>
      <w:r>
        <w:rPr>
          <w:rFonts w:ascii="Arial" w:cs="Arial" w:eastAsia="Arial" w:hAnsi="Arial"/>
          <w:color w:val="202124"/>
          <w:sz w:val="22"/>
          <w:szCs w:val="22"/>
        </w:rPr>
        <w:t xml:space="preserve">Unlimited resumes, real PDF/DOCX export, no watermarks — a direct strike at Zety-style bait pricing.</w:t>
      </w:r>
    </w:p>
    <w:p>
      <w:pPr>
        <w:pStyle w:val="ListParagraph"/>
        <w:numPr>
          <w:ilvl w:val="0"/>
          <w:numId w:val="2"/>
        </w:numPr>
        <w:spacing w:after="100" w:line="276"/>
      </w:pPr>
      <w:r>
        <w:rPr>
          <w:rFonts w:ascii="Arial" w:cs="Arial" w:eastAsia="Arial" w:hAnsi="Arial"/>
          <w:b/>
          <w:bCs/>
          <w:color w:val="202124"/>
          <w:sz w:val="22"/>
          <w:szCs w:val="22"/>
        </w:rPr>
        <w:t xml:space="preserve">Private by design. </w:t>
      </w:r>
      <w:r>
        <w:rPr>
          <w:rFonts w:ascii="Arial" w:cs="Arial" w:eastAsia="Arial" w:hAnsi="Arial"/>
          <w:color w:val="202124"/>
          <w:sz w:val="22"/>
          <w:szCs w:val="22"/>
        </w:rPr>
        <w:t xml:space="preserve">Resume data never used for ads; export or delete anytime. Trust is the category's scarcest asset.</w:t>
      </w:r>
    </w:p>
    <w:p>
      <w:pPr>
        <w:pStyle w:val="Heading1"/>
        <w:spacing w:after="200" w:before="360"/>
      </w:pPr>
      <w:r>
        <w:rPr>
          <w:rFonts w:ascii="Arial" w:cs="Arial" w:eastAsia="Arial" w:hAnsi="Arial"/>
          <w:b/>
          <w:bCs/>
          <w:color w:val="1A73E8"/>
          <w:sz w:val="32"/>
          <w:szCs w:val="32"/>
        </w:rPr>
        <w:t xml:space="preserve">6. Messaging Framework</w:t>
      </w:r>
    </w:p>
    <w:p>
      <w:pPr>
        <w:spacing w:after="160" w:line="276"/>
      </w:pPr>
      <w:r>
        <w:rPr>
          <w:rFonts w:ascii="Arial" w:cs="Arial" w:eastAsia="Arial" w:hAnsi="Arial"/>
          <w:color w:val="202124"/>
          <w:sz w:val="22"/>
          <w:szCs w:val="22"/>
        </w:rPr>
        <w:t xml:space="preserve">Master narrative: “You're qualified. Make sure the robots know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2500"/>
        <w:gridCol w:w="2900"/>
        <w:gridCol w:w="2300"/>
      </w:tblGrid>
      <w:tr>
        <w:trPr>
          <w:tblHeader/>
        </w:trPr>
        <w:tc>
          <w:tcPr>
            <w:tcW w:type="dxa" w:w="166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Audience</w:t>
            </w:r>
          </w:p>
        </w:tc>
        <w:tc>
          <w:tcPr>
            <w:tcW w:type="dxa" w:w="25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Hook (awareness)</w:t>
            </w:r>
          </w:p>
        </w:tc>
        <w:tc>
          <w:tcPr>
            <w:tcW w:type="dxa" w:w="29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Proof (consideration)</w:t>
            </w:r>
          </w:p>
        </w:tc>
        <w:tc>
          <w:tcPr>
            <w:tcW w:type="dxa" w:w="23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CTA (conversion)</w:t>
            </w:r>
          </w:p>
        </w:tc>
      </w:tr>
      <w:tr>
        <w:tc>
          <w:tcPr>
            <w:tcW w:type="dxa" w:w="16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New-Grad Nia</w:t>
            </w:r>
          </w:p>
        </w:tc>
        <w:tc>
          <w:tcPr>
            <w:tcW w:type="dxa" w:w="25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“First resume, done before your coffee.”</w:t>
            </w:r>
          </w:p>
        </w:tc>
        <w:tc>
          <w:tcPr>
            <w:tcW w:type="dxa" w:w="29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Free forever for core use; built by Google; campus success stories</w:t>
            </w:r>
          </w:p>
        </w:tc>
        <w:tc>
          <w:tcPr>
            <w:tcW w:type="dxa" w:w="23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“Start free with your Google account”</w:t>
            </w:r>
          </w:p>
        </w:tc>
      </w:tr>
      <w:tr>
        <w:tc>
          <w:tcPr>
            <w:tcW w:type="dxa" w:w="16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Switcher Sam</w:t>
            </w:r>
          </w:p>
        </w:tc>
        <w:tc>
          <w:tcPr>
            <w:tcW w:type="dxa" w:w="25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“Your experience counts. Reframe it.”</w:t>
            </w:r>
          </w:p>
        </w:tc>
        <w:tc>
          <w:tcPr>
            <w:tcW w:type="dxa" w:w="29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Career-change rewrite engine; before/after examples; match score</w:t>
            </w:r>
          </w:p>
        </w:tc>
        <w:tc>
          <w:tcPr>
            <w:tcW w:type="dxa" w:w="23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“See your skills translated — free”</w:t>
            </w:r>
          </w:p>
        </w:tc>
      </w:tr>
      <w:tr>
        <w:tc>
          <w:tcPr>
            <w:tcW w:type="dxa" w:w="16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Laid-off Priya</w:t>
            </w:r>
          </w:p>
        </w:tc>
        <w:tc>
          <w:tcPr>
            <w:tcW w:type="dxa" w:w="25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“Tailor 10 applications in the time one used to take.”</w:t>
            </w:r>
          </w:p>
        </w:tc>
        <w:tc>
          <w:tcPr>
            <w:tcW w:type="dxa" w:w="29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ATS pass-rate data; human-voice score; privacy commitment</w:t>
            </w:r>
          </w:p>
        </w:tc>
        <w:tc>
          <w:tcPr>
            <w:tcW w:type="dxa" w:w="23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“Go Pro for $9.99/mo — cancel anytime”</w:t>
            </w:r>
          </w:p>
        </w:tc>
      </w:tr>
      <w:tr>
        <w:tc>
          <w:tcPr>
            <w:tcW w:type="dxa" w:w="16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Press / analysts</w:t>
            </w:r>
          </w:p>
        </w:tc>
        <w:tc>
          <w:tcPr>
            <w:tcW w:type="dxa" w:w="25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“Google takes on the resume-industrial complex.”</w:t>
            </w:r>
          </w:p>
        </w:tc>
        <w:tc>
          <w:tcPr>
            <w:tcW w:type="dxa" w:w="29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Free-tier generosity vs. incumbent dark patterns; recruiter-validated output</w:t>
            </w:r>
          </w:p>
        </w:tc>
        <w:tc>
          <w:tcPr>
            <w:tcW w:type="dxa" w:w="23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Launch briefings, data reports</w:t>
            </w:r>
          </w:p>
        </w:tc>
      </w:tr>
    </w:tbl>
    <w:p>
      <w:pPr>
        <w:spacing w:after="160"/>
      </w:pPr>
    </w:p>
    <w:p>
      <w:pPr>
        <w:spacing w:after="160" w:line="276"/>
      </w:pPr>
      <w:r>
        <w:rPr>
          <w:rFonts w:ascii="Arial" w:cs="Arial" w:eastAsia="Arial" w:hAnsi="Arial"/>
          <w:color w:val="202124"/>
          <w:sz w:val="22"/>
          <w:szCs w:val="22"/>
        </w:rPr>
        <w:t xml:space="preserve">Message discipline: never promise “get hired” (unprovable, regulatory risk); always promise “get seen.” Every asset must pass the test: would a recruiter nod at this claim?</w:t>
      </w:r>
    </w:p>
    <w:p>
      <w:pPr>
        <w:pStyle w:val="Heading1"/>
        <w:spacing w:after="200" w:before="360"/>
      </w:pPr>
      <w:r>
        <w:rPr>
          <w:rFonts w:ascii="Arial" w:cs="Arial" w:eastAsia="Arial" w:hAnsi="Arial"/>
          <w:b/>
          <w:bCs/>
          <w:color w:val="1A73E8"/>
          <w:sz w:val="32"/>
          <w:szCs w:val="32"/>
        </w:rPr>
        <w:t xml:space="preserve">7.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3400"/>
        <w:gridCol w:w="2400"/>
      </w:tblGrid>
      <w:tr>
        <w:trPr>
          <w:tblHeader/>
        </w:trPr>
        <w:tc>
          <w:tcPr>
            <w:tcW w:type="dxa" w:w="156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Tier</w:t>
            </w:r>
          </w:p>
        </w:tc>
        <w:tc>
          <w:tcPr>
            <w:tcW w:type="dxa" w:w="20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Price</w:t>
            </w:r>
          </w:p>
        </w:tc>
        <w:tc>
          <w:tcPr>
            <w:tcW w:type="dxa" w:w="34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Includes</w:t>
            </w:r>
          </w:p>
        </w:tc>
        <w:tc>
          <w:tcPr>
            <w:tcW w:type="dxa" w:w="24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Role</w:t>
            </w:r>
          </w:p>
        </w:tc>
      </w:tr>
      <w:tr>
        <w:tc>
          <w:tcPr>
            <w:tcW w:type="dxa" w:w="15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Free</w:t>
            </w:r>
          </w:p>
        </w:tc>
        <w:tc>
          <w:tcPr>
            <w:tcW w:type="dxa" w:w="20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$0</w:t>
            </w:r>
          </w:p>
        </w:tc>
        <w:tc>
          <w:tcPr>
            <w:tcW w:type="dxa" w:w="34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Unlimited resumes, 3 templates, real PDF/DOCX export, basic ATS check</w:t>
            </w:r>
          </w:p>
        </w:tc>
        <w:tc>
          <w:tcPr>
            <w:tcW w:type="dxa" w:w="24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Acquisition + trust; kills the bait-and-switch objection</w:t>
            </w:r>
          </w:p>
        </w:tc>
      </w:tr>
      <w:tr>
        <w:tc>
          <w:tcPr>
            <w:tcW w:type="dxa" w:w="15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Pro</w:t>
            </w:r>
          </w:p>
        </w:tc>
        <w:tc>
          <w:tcPr>
            <w:tcW w:type="dxa" w:w="20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$9.99/mo or $59.99/yr</w:t>
            </w:r>
          </w:p>
        </w:tc>
        <w:tc>
          <w:tcPr>
            <w:tcW w:type="dxa" w:w="34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Tailoring engine (unlimited job-description matches), full template library, human-voice score, cover letters, interview prep</w:t>
            </w:r>
          </w:p>
        </w:tc>
        <w:tc>
          <w:tcPr>
            <w:tcW w:type="dxa" w:w="24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Core monetization; priced at 1/3 of Zety/Teal/Rezi</w:t>
            </w:r>
          </w:p>
        </w:tc>
      </w:tr>
      <w:tr>
        <w:tc>
          <w:tcPr>
            <w:tcW w:type="dxa" w:w="15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Google One bundle</w:t>
            </w:r>
          </w:p>
        </w:tc>
        <w:tc>
          <w:tcPr>
            <w:tcW w:type="dxa" w:w="20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Included in Premium tiers</w:t>
            </w:r>
          </w:p>
        </w:tc>
        <w:tc>
          <w:tcPr>
            <w:tcW w:type="dxa" w:w="34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Pro features bundled</w:t>
            </w:r>
          </w:p>
        </w:tc>
        <w:tc>
          <w:tcPr>
            <w:tcW w:type="dxa" w:w="24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Retention + ecosystem lock-in lever (Year 2)</w:t>
            </w:r>
          </w:p>
        </w:tc>
      </w:tr>
    </w:tbl>
    <w:p>
      <w:pPr>
        <w:spacing w:after="160"/>
      </w:pPr>
    </w:p>
    <w:p>
      <w:pPr>
        <w:pStyle w:val="ListParagraph"/>
        <w:numPr>
          <w:ilvl w:val="0"/>
          <w:numId w:val="2"/>
        </w:numPr>
        <w:spacing w:after="100" w:line="276"/>
      </w:pPr>
      <w:r>
        <w:rPr>
          <w:rFonts w:ascii="Arial" w:cs="Arial" w:eastAsia="Arial" w:hAnsi="Arial"/>
          <w:b/>
          <w:bCs/>
          <w:color w:val="202124"/>
          <w:sz w:val="22"/>
          <w:szCs w:val="22"/>
        </w:rPr>
        <w:t xml:space="preserve">Why $9.99: </w:t>
      </w:r>
      <w:r>
        <w:rPr>
          <w:rFonts w:ascii="Arial" w:cs="Arial" w:eastAsia="Arial" w:hAnsi="Arial"/>
          <w:color w:val="202124"/>
          <w:sz w:val="22"/>
          <w:szCs w:val="22"/>
        </w:rPr>
        <w:t xml:space="preserve">undercuts the $24.95–$29.99 incumbent cluster enough to be a no-brainer, stays premium to Kickresume's $4.50 to signal quality, and clears LTV math ($97 at 7% monthly churn, 85% margin).</w:t>
      </w:r>
    </w:p>
    <w:p>
      <w:pPr>
        <w:pStyle w:val="ListParagraph"/>
        <w:numPr>
          <w:ilvl w:val="0"/>
          <w:numId w:val="2"/>
        </w:numPr>
        <w:spacing w:after="100" w:line="276"/>
      </w:pPr>
      <w:r>
        <w:rPr>
          <w:rFonts w:ascii="Arial" w:cs="Arial" w:eastAsia="Arial" w:hAnsi="Arial"/>
          <w:b/>
          <w:bCs/>
          <w:color w:val="202124"/>
          <w:sz w:val="22"/>
          <w:szCs w:val="22"/>
        </w:rPr>
        <w:t xml:space="preserve">Annual at $59.99 (50% effective discount) </w:t>
      </w:r>
      <w:r>
        <w:rPr>
          <w:rFonts w:ascii="Arial" w:cs="Arial" w:eastAsia="Arial" w:hAnsi="Arial"/>
          <w:color w:val="202124"/>
          <w:sz w:val="22"/>
          <w:szCs w:val="22"/>
        </w:rPr>
        <w:t xml:space="preserve">deliberately over-discounts to shift mix toward annual: job search is episodic, and annual plans smooth the churn cliff when users get hired.</w:t>
      </w:r>
    </w:p>
    <w:p>
      <w:pPr>
        <w:pStyle w:val="ListParagraph"/>
        <w:numPr>
          <w:ilvl w:val="0"/>
          <w:numId w:val="2"/>
        </w:numPr>
        <w:spacing w:after="100" w:line="276"/>
      </w:pPr>
      <w:r>
        <w:rPr>
          <w:rFonts w:ascii="Arial" w:cs="Arial" w:eastAsia="Arial" w:hAnsi="Arial"/>
          <w:b/>
          <w:bCs/>
          <w:color w:val="202124"/>
          <w:sz w:val="22"/>
          <w:szCs w:val="22"/>
        </w:rPr>
        <w:t xml:space="preserve">Ethical billing as a feature: </w:t>
      </w:r>
      <w:r>
        <w:rPr>
          <w:rFonts w:ascii="Arial" w:cs="Arial" w:eastAsia="Arial" w:hAnsi="Arial"/>
          <w:color w:val="202124"/>
          <w:sz w:val="22"/>
          <w:szCs w:val="22"/>
        </w:rPr>
        <w:t xml:space="preserve">cancel in two clicks, pause-my-subscription when hired, no 4-week billing tricks. This is marketing, not just policy — it's the sharpest contrast with Zety.</w:t>
      </w:r>
    </w:p>
    <w:p>
      <w:pPr>
        <w:pStyle w:val="Heading1"/>
        <w:spacing w:after="200" w:before="360"/>
      </w:pPr>
      <w:r>
        <w:rPr>
          <w:rFonts w:ascii="Arial" w:cs="Arial" w:eastAsia="Arial" w:hAnsi="Arial"/>
          <w:b/>
          <w:bCs/>
          <w:color w:val="1A73E8"/>
          <w:sz w:val="32"/>
          <w:szCs w:val="32"/>
        </w:rPr>
        <w:t xml:space="preserve">8. Launch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800"/>
        <w:gridCol w:w="2760"/>
      </w:tblGrid>
      <w:tr>
        <w:trPr>
          <w:tblHeader/>
        </w:trPr>
        <w:tc>
          <w:tcPr>
            <w:tcW w:type="dxa" w:w="13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Phase</w:t>
            </w:r>
          </w:p>
        </w:tc>
        <w:tc>
          <w:tcPr>
            <w:tcW w:type="dxa" w:w="15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When</w:t>
            </w:r>
          </w:p>
        </w:tc>
        <w:tc>
          <w:tcPr>
            <w:tcW w:type="dxa" w:w="38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Focus</w:t>
            </w:r>
          </w:p>
        </w:tc>
        <w:tc>
          <w:tcPr>
            <w:tcW w:type="dxa" w:w="276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Exit criteria</w:t>
            </w:r>
          </w:p>
        </w:tc>
      </w:tr>
      <w:tr>
        <w:tc>
          <w:tcPr>
            <w:tcW w:type="dxa" w:w="13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Alpha</w:t>
            </w:r>
          </w:p>
        </w:tc>
        <w:tc>
          <w:tcPr>
            <w:tcW w:type="dxa" w:w="15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T-16 → T-9 wks</w:t>
            </w:r>
          </w:p>
        </w:tc>
        <w:tc>
          <w:tcPr>
            <w:tcW w:type="dxa" w:w="38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Internal dogfood + 500 recruiters/career coaches; tune human-voice score</w:t>
            </w:r>
          </w:p>
        </w:tc>
        <w:tc>
          <w:tcPr>
            <w:tcW w:type="dxa" w:w="27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Recruiter blind-test: ≥70% rate output 'human-written'</w:t>
            </w:r>
          </w:p>
        </w:tc>
      </w:tr>
      <w:tr>
        <w:tc>
          <w:tcPr>
            <w:tcW w:type="dxa" w:w="13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Private beta</w:t>
            </w:r>
          </w:p>
        </w:tc>
        <w:tc>
          <w:tcPr>
            <w:tcW w:type="dxa" w:w="15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T-8 → T-1 wks</w:t>
            </w:r>
          </w:p>
        </w:tc>
        <w:tc>
          <w:tcPr>
            <w:tcW w:type="dxa" w:w="38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100K waitlist invites via job-search surfaces; instrument funnel</w:t>
            </w:r>
          </w:p>
        </w:tc>
        <w:tc>
          <w:tcPr>
            <w:tcW w:type="dxa" w:w="27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Activation ≥50%, D7 retention ≥25%, NPS ≥40</w:t>
            </w:r>
          </w:p>
        </w:tc>
      </w:tr>
      <w:tr>
        <w:tc>
          <w:tcPr>
            <w:tcW w:type="dxa" w:w="13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Launch</w:t>
            </w:r>
          </w:p>
        </w:tc>
        <w:tc>
          <w:tcPr>
            <w:tcW w:type="dxa" w:w="15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Week 0</w:t>
            </w:r>
          </w:p>
        </w:tc>
        <w:tc>
          <w:tcPr>
            <w:tcW w:type="dxa" w:w="38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Keynote moment + PR + creator wave + Search/YouTube takeover</w:t>
            </w:r>
          </w:p>
        </w:tc>
        <w:tc>
          <w:tcPr>
            <w:tcW w:type="dxa" w:w="27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1M signups in 30 days; 60%+ of press mentions include 'free'</w:t>
            </w:r>
          </w:p>
        </w:tc>
      </w:tr>
      <w:tr>
        <w:tc>
          <w:tcPr>
            <w:tcW w:type="dxa" w:w="13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Scale</w:t>
            </w:r>
          </w:p>
        </w:tc>
        <w:tc>
          <w:tcPr>
            <w:tcW w:type="dxa" w:w="15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Wks 1–12</w:t>
            </w:r>
          </w:p>
        </w:tc>
        <w:tc>
          <w:tcPr>
            <w:tcW w:type="dxa" w:w="38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Paid channels on, weekly ship cadence, campus program (fall recruiting)</w:t>
            </w:r>
          </w:p>
        </w:tc>
        <w:tc>
          <w:tcPr>
            <w:tcW w:type="dxa" w:w="27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CAC per signup ≤ $2.50; conversion ≥2.5%</w:t>
            </w:r>
          </w:p>
        </w:tc>
      </w:tr>
      <w:tr>
        <w:tc>
          <w:tcPr>
            <w:tcW w:type="dxa" w:w="13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Expand</w:t>
            </w:r>
          </w:p>
        </w:tc>
        <w:tc>
          <w:tcPr>
            <w:tcW w:type="dxa" w:w="15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Months 4–12</w:t>
            </w:r>
          </w:p>
        </w:tc>
        <w:tc>
          <w:tcPr>
            <w:tcW w:type="dxa" w:w="38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Cover letters, interview prep, Google One bundle, 5 new locales</w:t>
            </w:r>
          </w:p>
        </w:tc>
        <w:tc>
          <w:tcPr>
            <w:tcW w:type="dxa" w:w="27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Conversion ≥3%, churn ≤7%/mo, exit ARR ≥ $12M</w:t>
            </w:r>
          </w:p>
        </w:tc>
      </w:tr>
    </w:tbl>
    <w:p>
      <w:pPr>
        <w:spacing w:after="160"/>
      </w:pPr>
    </w:p>
    <w:p>
      <w:pPr>
        <w:spacing w:after="160" w:line="276"/>
      </w:pPr>
      <w:r>
        <w:rPr>
          <w:rFonts w:ascii="Arial" w:cs="Arial" w:eastAsia="Arial" w:hAnsi="Arial"/>
          <w:color w:val="202124"/>
          <w:sz w:val="22"/>
          <w:szCs w:val="22"/>
        </w:rPr>
        <w:t xml:space="preserve">Launch timing targets late August: two weeks ahead of the September hiring surge and fall campus recruiting, when resume intent peaks.</w:t>
      </w:r>
    </w:p>
    <w:p>
      <w:pPr>
        <w:pStyle w:val="Heading1"/>
        <w:spacing w:after="200" w:before="360"/>
      </w:pPr>
      <w:r>
        <w:rPr>
          <w:rFonts w:ascii="Arial" w:cs="Arial" w:eastAsia="Arial" w:hAnsi="Arial"/>
          <w:b/>
          <w:bCs/>
          <w:color w:val="1A73E8"/>
          <w:sz w:val="32"/>
          <w:szCs w:val="32"/>
        </w:rPr>
        <w:t xml:space="preserve">9. Marketing Channels</w:t>
      </w:r>
    </w:p>
    <w:p>
      <w:pPr>
        <w:pStyle w:val="ListParagraph"/>
        <w:numPr>
          <w:ilvl w:val="0"/>
          <w:numId w:val="2"/>
        </w:numPr>
        <w:spacing w:after="100" w:line="276"/>
      </w:pPr>
      <w:r>
        <w:rPr>
          <w:rFonts w:ascii="Arial" w:cs="Arial" w:eastAsia="Arial" w:hAnsi="Arial"/>
          <w:b/>
          <w:bCs/>
          <w:color w:val="202124"/>
          <w:sz w:val="22"/>
          <w:szCs w:val="22"/>
        </w:rPr>
        <w:t xml:space="preserve">Owned (the moat): </w:t>
      </w:r>
      <w:r>
        <w:rPr>
          <w:rFonts w:ascii="Arial" w:cs="Arial" w:eastAsia="Arial" w:hAnsi="Arial"/>
          <w:color w:val="202124"/>
          <w:sz w:val="22"/>
          <w:szCs w:val="22"/>
        </w:rPr>
        <w:t xml:space="preserve">entry points in Google job search results (“Tailor your resume for this job”), Gemini hand-offs, Docs template gallery, Chrome new-tab promo. Near-zero marginal cost, drives ~60% of Year-1 signups.</w:t>
      </w:r>
    </w:p>
    <w:p>
      <w:pPr>
        <w:pStyle w:val="ListParagraph"/>
        <w:numPr>
          <w:ilvl w:val="0"/>
          <w:numId w:val="2"/>
        </w:numPr>
        <w:spacing w:after="100" w:line="276"/>
      </w:pPr>
      <w:r>
        <w:rPr>
          <w:rFonts w:ascii="Arial" w:cs="Arial" w:eastAsia="Arial" w:hAnsi="Arial"/>
          <w:b/>
          <w:bCs/>
          <w:color w:val="202124"/>
          <w:sz w:val="22"/>
          <w:szCs w:val="22"/>
        </w:rPr>
        <w:t xml:space="preserve">Earned: </w:t>
      </w:r>
      <w:r>
        <w:rPr>
          <w:rFonts w:ascii="Arial" w:cs="Arial" w:eastAsia="Arial" w:hAnsi="Arial"/>
          <w:color w:val="202124"/>
          <w:sz w:val="22"/>
          <w:szCs w:val="22"/>
        </w:rPr>
        <w:t xml:space="preserve">launch narrative (“Google takes on resume paywalls”), quarterly Job Search Trends data reports for sustained coverage, recruiter-validation study as third-party proof.</w:t>
      </w:r>
    </w:p>
    <w:p>
      <w:pPr>
        <w:pStyle w:val="ListParagraph"/>
        <w:numPr>
          <w:ilvl w:val="0"/>
          <w:numId w:val="2"/>
        </w:numPr>
        <w:spacing w:after="100" w:line="276"/>
      </w:pPr>
      <w:r>
        <w:rPr>
          <w:rFonts w:ascii="Arial" w:cs="Arial" w:eastAsia="Arial" w:hAnsi="Arial"/>
          <w:b/>
          <w:bCs/>
          <w:color w:val="202124"/>
          <w:sz w:val="22"/>
          <w:szCs w:val="22"/>
        </w:rPr>
        <w:t xml:space="preserve">Creator: </w:t>
      </w:r>
      <w:r>
        <w:rPr>
          <w:rFonts w:ascii="Arial" w:cs="Arial" w:eastAsia="Arial" w:hAnsi="Arial"/>
          <w:color w:val="202124"/>
          <w:sz w:val="22"/>
          <w:szCs w:val="22"/>
        </w:rPr>
        <w:t xml:space="preserve">50 career-content creators on YouTube/TikTok/LinkedIn with before/after resume formats; authenticity beats polish in this category.</w:t>
      </w:r>
    </w:p>
    <w:p>
      <w:pPr>
        <w:pStyle w:val="ListParagraph"/>
        <w:numPr>
          <w:ilvl w:val="0"/>
          <w:numId w:val="2"/>
        </w:numPr>
        <w:spacing w:after="100" w:line="276"/>
      </w:pPr>
      <w:r>
        <w:rPr>
          <w:rFonts w:ascii="Arial" w:cs="Arial" w:eastAsia="Arial" w:hAnsi="Arial"/>
          <w:b/>
          <w:bCs/>
          <w:color w:val="202124"/>
          <w:sz w:val="22"/>
          <w:szCs w:val="22"/>
        </w:rPr>
        <w:t xml:space="preserve">Paid: </w:t>
      </w:r>
      <w:r>
        <w:rPr>
          <w:rFonts w:ascii="Arial" w:cs="Arial" w:eastAsia="Arial" w:hAnsi="Arial"/>
          <w:color w:val="202124"/>
          <w:sz w:val="22"/>
          <w:szCs w:val="22"/>
        </w:rPr>
        <w:t xml:space="preserve">Search (high-intent resume keywords where Zety currently wins), YouTube pre-roll on job-search content, Performance Max. Paid is the tuning dial, not the engine.</w:t>
      </w:r>
    </w:p>
    <w:p>
      <w:pPr>
        <w:pStyle w:val="ListParagraph"/>
        <w:numPr>
          <w:ilvl w:val="0"/>
          <w:numId w:val="2"/>
        </w:numPr>
        <w:spacing w:after="100" w:line="276"/>
      </w:pPr>
      <w:r>
        <w:rPr>
          <w:rFonts w:ascii="Arial" w:cs="Arial" w:eastAsia="Arial" w:hAnsi="Arial"/>
          <w:b/>
          <w:bCs/>
          <w:color w:val="202124"/>
          <w:sz w:val="22"/>
          <w:szCs w:val="22"/>
        </w:rPr>
        <w:t xml:space="preserve">Partnerships: </w:t>
      </w:r>
      <w:r>
        <w:rPr>
          <w:rFonts w:ascii="Arial" w:cs="Arial" w:eastAsia="Arial" w:hAnsi="Arial"/>
          <w:color w:val="202124"/>
          <w:sz w:val="22"/>
          <w:szCs w:val="22"/>
        </w:rPr>
        <w:t xml:space="preserve">university career centers (Grow with Google), workforce agencies and outplacement firms (reach Priya at the layoff moment), bootcamps.</w:t>
      </w:r>
    </w:p>
    <w:p>
      <w:pPr>
        <w:pStyle w:val="Heading1"/>
        <w:spacing w:after="200" w:before="360"/>
      </w:pPr>
      <w:r>
        <w:rPr>
          <w:rFonts w:ascii="Arial" w:cs="Arial" w:eastAsia="Arial" w:hAnsi="Arial"/>
          <w:b/>
          <w:bCs/>
          <w:color w:val="1A73E8"/>
          <w:sz w:val="32"/>
          <w:szCs w:val="32"/>
        </w:rPr>
        <w:t xml:space="preserve">10. Budget Allocation — $12M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900"/>
        <w:gridCol w:w="3760"/>
      </w:tblGrid>
      <w:tr>
        <w:trPr>
          <w:tblHeader/>
        </w:trPr>
        <w:tc>
          <w:tcPr>
            <w:tcW w:type="dxa" w:w="34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Line</w:t>
            </w:r>
          </w:p>
        </w:tc>
        <w:tc>
          <w:tcPr>
            <w:tcW w:type="dxa" w:w="13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Amount</w:t>
            </w:r>
          </w:p>
        </w:tc>
        <w:tc>
          <w:tcPr>
            <w:tcW w:type="dxa" w:w="9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w:t>
            </w:r>
          </w:p>
        </w:tc>
        <w:tc>
          <w:tcPr>
            <w:tcW w:type="dxa" w:w="376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Notes</w:t>
            </w:r>
          </w:p>
        </w:tc>
      </w:tr>
      <w:tr>
        <w:tc>
          <w:tcPr>
            <w:tcW w:type="dxa" w:w="34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Paid media (Search, YouTube, social)</w:t>
            </w:r>
          </w:p>
        </w:tc>
        <w:tc>
          <w:tcPr>
            <w:tcW w:type="dxa" w:w="13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$5.0M</w:t>
            </w:r>
          </w:p>
        </w:tc>
        <w:tc>
          <w:tcPr>
            <w:tcW w:type="dxa" w:w="9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42%</w:t>
            </w:r>
          </w:p>
        </w:tc>
        <w:tc>
          <w:tcPr>
            <w:tcW w:type="dxa" w:w="37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Weighted to launch quarter + January surge</w:t>
            </w:r>
          </w:p>
        </w:tc>
      </w:tr>
      <w:tr>
        <w:tc>
          <w:tcPr>
            <w:tcW w:type="dxa" w:w="34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Brand &amp; launch moment</w:t>
            </w:r>
          </w:p>
        </w:tc>
        <w:tc>
          <w:tcPr>
            <w:tcW w:type="dxa" w:w="13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$2.5M</w:t>
            </w:r>
          </w:p>
        </w:tc>
        <w:tc>
          <w:tcPr>
            <w:tcW w:type="dxa" w:w="9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21%</w:t>
            </w:r>
          </w:p>
        </w:tc>
        <w:tc>
          <w:tcPr>
            <w:tcW w:type="dxa" w:w="37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Launch film, keynote assets, OOH in 5 metros</w:t>
            </w:r>
          </w:p>
        </w:tc>
      </w:tr>
      <w:tr>
        <w:tc>
          <w:tcPr>
            <w:tcW w:type="dxa" w:w="34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Creator &amp; influencer program</w:t>
            </w:r>
          </w:p>
        </w:tc>
        <w:tc>
          <w:tcPr>
            <w:tcW w:type="dxa" w:w="13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$1.5M</w:t>
            </w:r>
          </w:p>
        </w:tc>
        <w:tc>
          <w:tcPr>
            <w:tcW w:type="dxa" w:w="9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12%</w:t>
            </w:r>
          </w:p>
        </w:tc>
        <w:tc>
          <w:tcPr>
            <w:tcW w:type="dxa" w:w="37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50 creators, always-on</w:t>
            </w:r>
          </w:p>
        </w:tc>
      </w:tr>
      <w:tr>
        <w:tc>
          <w:tcPr>
            <w:tcW w:type="dxa" w:w="34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Partnerships &amp; campus</w:t>
            </w:r>
          </w:p>
        </w:tc>
        <w:tc>
          <w:tcPr>
            <w:tcW w:type="dxa" w:w="13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$1.2M</w:t>
            </w:r>
          </w:p>
        </w:tc>
        <w:tc>
          <w:tcPr>
            <w:tcW w:type="dxa" w:w="9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10%</w:t>
            </w:r>
          </w:p>
        </w:tc>
        <w:tc>
          <w:tcPr>
            <w:tcW w:type="dxa" w:w="37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200 career centers, workforce orgs</w:t>
            </w:r>
          </w:p>
        </w:tc>
      </w:tr>
      <w:tr>
        <w:tc>
          <w:tcPr>
            <w:tcW w:type="dxa" w:w="34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PR, data reports, events</w:t>
            </w:r>
          </w:p>
        </w:tc>
        <w:tc>
          <w:tcPr>
            <w:tcW w:type="dxa" w:w="13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$0.8M</w:t>
            </w:r>
          </w:p>
        </w:tc>
        <w:tc>
          <w:tcPr>
            <w:tcW w:type="dxa" w:w="9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7%</w:t>
            </w:r>
          </w:p>
        </w:tc>
        <w:tc>
          <w:tcPr>
            <w:tcW w:type="dxa" w:w="37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Two agencies + quarterly trends reports</w:t>
            </w:r>
          </w:p>
        </w:tc>
      </w:tr>
      <w:tr>
        <w:tc>
          <w:tcPr>
            <w:tcW w:type="dxa" w:w="34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Research, measurement, creative ops</w:t>
            </w:r>
          </w:p>
        </w:tc>
        <w:tc>
          <w:tcPr>
            <w:tcW w:type="dxa" w:w="13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$1.0M</w:t>
            </w:r>
          </w:p>
        </w:tc>
        <w:tc>
          <w:tcPr>
            <w:tcW w:type="dxa" w:w="9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8%</w:t>
            </w:r>
          </w:p>
        </w:tc>
        <w:tc>
          <w:tcPr>
            <w:tcW w:type="dxa" w:w="37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Brand-lift studies, MMM, localization</w:t>
            </w:r>
          </w:p>
        </w:tc>
      </w:tr>
    </w:tbl>
    <w:p>
      <w:pPr>
        <w:pStyle w:val="Heading1"/>
        <w:spacing w:after="200" w:before="360"/>
      </w:pPr>
      <w:r>
        <w:rPr>
          <w:rFonts w:ascii="Arial" w:cs="Arial" w:eastAsia="Arial" w:hAnsi="Arial"/>
          <w:b/>
          <w:bCs/>
          <w:color w:val="1A73E8"/>
          <w:sz w:val="32"/>
          <w:szCs w:val="32"/>
        </w:rPr>
        <w:t xml:space="preserve">11. KPI Dashboard &amp; Targets</w:t>
      </w:r>
    </w:p>
    <w:p>
      <w:pPr>
        <w:spacing w:after="160" w:line="276"/>
      </w:pPr>
      <w:r>
        <w:rPr>
          <w:rFonts w:ascii="Arial" w:cs="Arial" w:eastAsia="Arial" w:hAnsi="Arial"/>
          <w:color w:val="202124"/>
          <w:sz w:val="22"/>
          <w:szCs w:val="22"/>
        </w:rPr>
        <w:t xml:space="preserve">The companion Excel workbook contains the live model and dashboard. Headline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560"/>
        <w:gridCol w:w="2400"/>
      </w:tblGrid>
      <w:tr>
        <w:trPr>
          <w:tblHeader/>
        </w:trPr>
        <w:tc>
          <w:tcPr>
            <w:tcW w:type="dxa" w:w="17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KPI</w:t>
            </w:r>
          </w:p>
        </w:tc>
        <w:tc>
          <w:tcPr>
            <w:tcW w:type="dxa" w:w="27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Definition</w:t>
            </w:r>
          </w:p>
        </w:tc>
        <w:tc>
          <w:tcPr>
            <w:tcW w:type="dxa" w:w="256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Y1 Target</w:t>
            </w:r>
          </w:p>
        </w:tc>
        <w:tc>
          <w:tcPr>
            <w:tcW w:type="dxa" w:w="24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Benchmark</w:t>
            </w:r>
          </w:p>
        </w:tc>
      </w:tr>
      <w:tr>
        <w:tc>
          <w:tcPr>
            <w:tcW w:type="dxa" w:w="17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Signups</w:t>
            </w:r>
          </w:p>
        </w:tc>
        <w:tc>
          <w:tcPr>
            <w:tcW w:type="dxa" w:w="27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New free accounts</w:t>
            </w:r>
          </w:p>
        </w:tc>
        <w:tc>
          <w:tcPr>
            <w:tcW w:type="dxa" w:w="25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6.0M</w:t>
            </w:r>
          </w:p>
        </w:tc>
        <w:tc>
          <w:tcPr>
            <w:tcW w:type="dxa" w:w="24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w:t>
            </w:r>
          </w:p>
        </w:tc>
      </w:tr>
      <w:tr>
        <w:tc>
          <w:tcPr>
            <w:tcW w:type="dxa" w:w="17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Activation</w:t>
            </w:r>
          </w:p>
        </w:tc>
        <w:tc>
          <w:tcPr>
            <w:tcW w:type="dxa" w:w="27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Completed + exported a resume</w:t>
            </w:r>
          </w:p>
        </w:tc>
        <w:tc>
          <w:tcPr>
            <w:tcW w:type="dxa" w:w="25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55%</w:t>
            </w:r>
          </w:p>
        </w:tc>
        <w:tc>
          <w:tcPr>
            <w:tcW w:type="dxa" w:w="24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40–60% consumer tools</w:t>
            </w:r>
          </w:p>
        </w:tc>
      </w:tr>
      <w:tr>
        <w:tc>
          <w:tcPr>
            <w:tcW w:type="dxa" w:w="17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Free → paid</w:t>
            </w:r>
          </w:p>
        </w:tc>
        <w:tc>
          <w:tcPr>
            <w:tcW w:type="dxa" w:w="27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Payers ÷ signups (cohort)</w:t>
            </w:r>
          </w:p>
        </w:tc>
        <w:tc>
          <w:tcPr>
            <w:tcW w:type="dxa" w:w="25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3.0%</w:t>
            </w:r>
          </w:p>
        </w:tc>
        <w:tc>
          <w:tcPr>
            <w:tcW w:type="dxa" w:w="24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2–5% freemium median</w:t>
            </w:r>
          </w:p>
        </w:tc>
      </w:tr>
      <w:tr>
        <w:tc>
          <w:tcPr>
            <w:tcW w:type="dxa" w:w="17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Blended CAC</w:t>
            </w:r>
          </w:p>
        </w:tc>
        <w:tc>
          <w:tcPr>
            <w:tcW w:type="dxa" w:w="27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Total S&amp;M ÷ new payers</w:t>
            </w:r>
          </w:p>
        </w:tc>
        <w:tc>
          <w:tcPr>
            <w:tcW w:type="dxa" w:w="25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$67 Y1 → ~$30 Y2</w:t>
            </w:r>
          </w:p>
        </w:tc>
        <w:tc>
          <w:tcPr>
            <w:tcW w:type="dxa" w:w="24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$20–80/paying user (consumer apps)</w:t>
            </w:r>
          </w:p>
        </w:tc>
      </w:tr>
      <w:tr>
        <w:tc>
          <w:tcPr>
            <w:tcW w:type="dxa" w:w="17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Monthly churn</w:t>
            </w:r>
          </w:p>
        </w:tc>
        <w:tc>
          <w:tcPr>
            <w:tcW w:type="dxa" w:w="27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Payer logo churn</w:t>
            </w:r>
          </w:p>
        </w:tc>
        <w:tc>
          <w:tcPr>
            <w:tcW w:type="dxa" w:w="25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≤7%</w:t>
            </w:r>
          </w:p>
        </w:tc>
        <w:tc>
          <w:tcPr>
            <w:tcW w:type="dxa" w:w="24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~30% of annual subs cancel in month 1 (RevenueCat)</w:t>
            </w:r>
          </w:p>
        </w:tc>
      </w:tr>
      <w:tr>
        <w:tc>
          <w:tcPr>
            <w:tcW w:type="dxa" w:w="17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LTV / LTV:CAC</w:t>
            </w:r>
          </w:p>
        </w:tc>
        <w:tc>
          <w:tcPr>
            <w:tcW w:type="dxa" w:w="27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ARPU × lifetime × 85% margin</w:t>
            </w:r>
          </w:p>
        </w:tc>
        <w:tc>
          <w:tcPr>
            <w:tcW w:type="dxa" w:w="25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$97 / 1.5x Y1 → 3.2x Y2</w:t>
            </w:r>
          </w:p>
        </w:tc>
        <w:tc>
          <w:tcPr>
            <w:tcW w:type="dxa" w:w="24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≥3x healthy</w:t>
            </w:r>
          </w:p>
        </w:tc>
      </w:tr>
      <w:tr>
        <w:tc>
          <w:tcPr>
            <w:tcW w:type="dxa" w:w="17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Revenue</w:t>
            </w:r>
          </w:p>
        </w:tc>
        <w:tc>
          <w:tcPr>
            <w:tcW w:type="dxa" w:w="27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Subscription revenue</w:t>
            </w:r>
          </w:p>
        </w:tc>
        <w:tc>
          <w:tcPr>
            <w:tcW w:type="dxa" w:w="25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$6.5M Y1; $12.7M exit ARR</w:t>
            </w:r>
          </w:p>
        </w:tc>
        <w:tc>
          <w:tcPr>
            <w:tcW w:type="dxa" w:w="24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w:t>
            </w:r>
          </w:p>
        </w:tc>
      </w:tr>
      <w:tr>
        <w:tc>
          <w:tcPr>
            <w:tcW w:type="dxa" w:w="17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North star</w:t>
            </w:r>
          </w:p>
        </w:tc>
        <w:tc>
          <w:tcPr>
            <w:tcW w:type="dxa" w:w="27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Tailored resumes delivered / week</w:t>
            </w:r>
          </w:p>
        </w:tc>
        <w:tc>
          <w:tcPr>
            <w:tcW w:type="dxa" w:w="25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1M/wk by month 12</w:t>
            </w:r>
          </w:p>
        </w:tc>
        <w:tc>
          <w:tcPr>
            <w:tcW w:type="dxa" w:w="24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w:t>
            </w:r>
          </w:p>
        </w:tc>
      </w:tr>
    </w:tbl>
    <w:p>
      <w:pPr>
        <w:spacing w:after="160"/>
      </w:pPr>
    </w:p>
    <w:p>
      <w:pPr>
        <w:spacing w:after="160" w:line="276"/>
      </w:pPr>
      <w:r>
        <w:rPr>
          <w:rFonts w:ascii="Arial" w:cs="Arial" w:eastAsia="Arial" w:hAnsi="Arial"/>
          <w:color w:val="202124"/>
          <w:sz w:val="22"/>
          <w:szCs w:val="22"/>
        </w:rPr>
        <w:t xml:space="preserve">Launch-year LTV:CAC of 1.5x is expected and acceptable: $3.5M of spend is one-time brand/launch investment. Steady-state CAC (~$30) against $97 LTV clears the 3x bar. Kill criteria are defined in advance: if conversion is below 1.5% or D30 retention below 15% at month 6, pause paid spend and fix product before scaling.</w:t>
      </w:r>
    </w:p>
    <w:p>
      <w:pPr>
        <w:pStyle w:val="Heading1"/>
        <w:spacing w:after="200" w:before="360"/>
      </w:pPr>
      <w:r>
        <w:rPr>
          <w:rFonts w:ascii="Arial" w:cs="Arial" w:eastAsia="Arial" w:hAnsi="Arial"/>
          <w:b/>
          <w:bCs/>
          <w:color w:val="1A73E8"/>
          <w:sz w:val="32"/>
          <w:szCs w:val="3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Risk</w:t>
            </w:r>
          </w:p>
        </w:tc>
        <w:tc>
          <w:tcPr>
            <w:tcW w:type="dxa" w:w="5160"/>
            <w:tcBorders>
              <w:top w:val="single" w:color="DADCE0" w:sz="4"/>
              <w:left w:val="single" w:color="DADCE0" w:sz="4"/>
              <w:bottom w:val="single" w:color="DADCE0" w:sz="4"/>
              <w:right w:val="single" w:color="DADCE0" w:sz="4"/>
            </w:tcBorders>
            <w:shd w:fill="E8F0FE" w:val="clear"/>
            <w:tcMar>
              <w:top w:type="dxa" w:w="80"/>
              <w:left w:type="dxa" w:w="120"/>
              <w:bottom w:type="dxa" w:w="80"/>
              <w:right w:type="dxa" w:w="120"/>
            </w:tcMar>
          </w:tcPr>
          <w:p>
            <w:pPr>
              <w:spacing w:after="0" w:line="240"/>
            </w:pPr>
            <w:r>
              <w:rPr>
                <w:rFonts w:ascii="Arial" w:cs="Arial" w:eastAsia="Arial" w:hAnsi="Arial"/>
                <w:b/>
                <w:bCs/>
                <w:color w:val="174EA6"/>
                <w:sz w:val="19"/>
                <w:szCs w:val="19"/>
              </w:rPr>
              <w:t xml:space="preserve">Mitigation</w:t>
            </w:r>
          </w:p>
        </w:tc>
      </w:tr>
      <w:tr>
        <w:tc>
          <w:tcPr>
            <w:tcW w:type="dxa" w:w="42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“AI resume” backlash — recruiters penalize obvious AI output</w:t>
            </w:r>
          </w:p>
        </w:tc>
        <w:tc>
          <w:tcPr>
            <w:tcW w:type="dxa" w:w="51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Human-voice score as the hero feature; recruiter validation study pre-launch; never market 'AI writes it for you'</w:t>
            </w:r>
          </w:p>
        </w:tc>
      </w:tr>
      <w:tr>
        <w:tc>
          <w:tcPr>
            <w:tcW w:type="dxa" w:w="42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Churn cliff — users cancel the moment they're hired</w:t>
            </w:r>
          </w:p>
        </w:tc>
        <w:tc>
          <w:tcPr>
            <w:tcW w:type="dxa" w:w="51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Over-discounted annual plan; 'pause' option; expand into always-on career profile (reviews, promotions) in Year 2</w:t>
            </w:r>
          </w:p>
        </w:tc>
      </w:tr>
      <w:tr>
        <w:tc>
          <w:tcPr>
            <w:tcW w:type="dxa" w:w="42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Regulatory/PR scrutiny of Google entering another market</w:t>
            </w:r>
          </w:p>
        </w:tc>
        <w:tc>
          <w:tcPr>
            <w:tcW w:type="dxa" w:w="51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Radical free tier + ethical billing as the public narrative; no use of resume data for ads, stated loudly</w:t>
            </w:r>
          </w:p>
        </w:tc>
      </w:tr>
      <w:tr>
        <w:tc>
          <w:tcPr>
            <w:tcW w:type="dxa" w:w="420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Incumbents cut prices in response</w:t>
            </w:r>
          </w:p>
        </w:tc>
        <w:tc>
          <w:tcPr>
            <w:tcW w:type="dxa" w:w="5160"/>
            <w:tcBorders>
              <w:top w:val="single" w:color="DADCE0" w:sz="4"/>
              <w:left w:val="single" w:color="DADCE0" w:sz="4"/>
              <w:bottom w:val="single" w:color="DADCE0" w:sz="4"/>
              <w:right w:val="single" w:color="DADCE0" w:sz="4"/>
            </w:tcBorders>
            <w:shd w:fill="F1F3F4"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Compete on ecosystem integration and trust, not price; price is already 1/3 of theirs</w:t>
            </w:r>
          </w:p>
        </w:tc>
      </w:tr>
      <w:tr>
        <w:tc>
          <w:tcPr>
            <w:tcW w:type="dxa" w:w="420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Cannibalizing ChatGPT-style general usage</w:t>
            </w:r>
          </w:p>
        </w:tc>
        <w:tc>
          <w:tcPr>
            <w:tcW w:type="dxa" w:w="5160"/>
            <w:tcBorders>
              <w:top w:val="single" w:color="DADCE0" w:sz="4"/>
              <w:left w:val="single" w:color="DADCE0" w:sz="4"/>
              <w:bottom w:val="single" w:color="DADCE0" w:sz="4"/>
              <w:right w:val="single" w:color="DADCE0" w:sz="4"/>
            </w:tcBorders>
            <w:shd w:fill="FFFFFF" w:val="clear"/>
            <w:tcMar>
              <w:top w:type="dxa" w:w="80"/>
              <w:left w:type="dxa" w:w="120"/>
              <w:bottom w:type="dxa" w:w="80"/>
              <w:right w:type="dxa" w:w="120"/>
            </w:tcMar>
          </w:tcPr>
          <w:p>
            <w:pPr>
              <w:spacing w:after="0" w:line="240"/>
            </w:pPr>
            <w:r>
              <w:rPr>
                <w:rFonts w:ascii="Arial" w:cs="Arial" w:eastAsia="Arial" w:hAnsi="Arial"/>
                <w:b w:val="false"/>
                <w:bCs w:val="false"/>
                <w:color w:val="202124"/>
                <w:sz w:val="19"/>
                <w:szCs w:val="19"/>
              </w:rPr>
              <w:t xml:space="preserve">Position as workflow (tailor → check → track), not chat; chat can't do ATS scoring or application tracking</w:t>
            </w:r>
          </w:p>
        </w:tc>
      </w:tr>
    </w:tbl>
    <w:p>
      <w:pPr>
        <w:spacing w:after="160"/>
      </w:pPr>
    </w:p>
    <w:p>
      <w:pPr>
        <w:spacing w:after="160" w:line="276"/>
      </w:pPr>
      <w:r>
        <w:rPr>
          <w:rFonts w:ascii="Arial" w:cs="Arial" w:eastAsia="Arial" w:hAnsi="Arial"/>
          <w:i/>
          <w:iCs/>
          <w:color w:val="5F6368"/>
          <w:sz w:val="18"/>
          <w:szCs w:val="18"/>
        </w:rPr>
        <w:t xml:space="preserve">Sources: The Business Research Company, MarketIntelo, FutureDataStats (market sizing); JobCannon, Enhancv, CNBC/Career Group (AI adoption); Resumly, FastApply, BestJobSearchApps (competitor pricing); Adapty, RevenueCat, knowledgelib.io (conversion/retention benchmarks). Full links in the appendix of the accompanying materials.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1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2026-07-29T03:35:27.359Z</dcterms:created>
  <dcterms:modified xsi:type="dcterms:W3CDTF">2026-07-29T03:35:27.359Z</dcterms:modified>
</cp:coreProperties>
</file>

<file path=docProps/custom.xml><?xml version="1.0" encoding="utf-8"?>
<Properties xmlns="http://schemas.openxmlformats.org/officeDocument/2006/custom-properties" xmlns:vt="http://schemas.openxmlformats.org/officeDocument/2006/docPropsVTypes"/>
</file>