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2104" w14:textId="084FA812" w:rsidR="00D62F4E" w:rsidRDefault="00D62F4E" w:rsidP="00D62F4E">
      <w:pPr>
        <w:pStyle w:val="Title"/>
      </w:pPr>
      <w:r>
        <w:t>How many nets are needed to reach universal coverage – an update</w:t>
      </w:r>
    </w:p>
    <w:p w14:paraId="5623807A" w14:textId="77777777" w:rsidR="00D62F4E" w:rsidRDefault="00D62F4E" w:rsidP="00D62F4E">
      <w:pPr>
        <w:pStyle w:val="Heading1"/>
      </w:pPr>
      <w:commentRangeStart w:id="0"/>
      <w:r>
        <w:t>Author list</w:t>
      </w:r>
      <w:commentRangeEnd w:id="0"/>
      <w:r>
        <w:rPr>
          <w:rStyle w:val="CommentReference"/>
          <w:rFonts w:asciiTheme="minorHAnsi" w:eastAsiaTheme="minorHAnsi" w:hAnsiTheme="minorHAnsi" w:cstheme="minorBidi"/>
          <w:color w:val="auto"/>
        </w:rPr>
        <w:commentReference w:id="0"/>
      </w:r>
    </w:p>
    <w:p w14:paraId="2B04A2FC" w14:textId="5636F118" w:rsidR="00D62F4E" w:rsidRPr="002562FC" w:rsidRDefault="00D62F4E" w:rsidP="00D62F4E">
      <w:r>
        <w:t xml:space="preserve">Hannah Koenker, </w:t>
      </w:r>
      <w:r w:rsidR="00F5042A">
        <w:t xml:space="preserve">Amelia </w:t>
      </w:r>
      <w:proofErr w:type="spellStart"/>
      <w:r w:rsidR="00F5042A">
        <w:t>Bertozzi</w:t>
      </w:r>
      <w:proofErr w:type="spellEnd"/>
      <w:r w:rsidR="00F5042A">
        <w:t xml:space="preserve">-Villa, </w:t>
      </w:r>
      <w:r>
        <w:t xml:space="preserve">Joshua </w:t>
      </w:r>
      <w:proofErr w:type="spellStart"/>
      <w:r>
        <w:t>Yukich</w:t>
      </w:r>
      <w:proofErr w:type="spellEnd"/>
      <w:r>
        <w:t xml:space="preserve">, </w:t>
      </w:r>
      <w:r w:rsidR="00F5042A">
        <w:t xml:space="preserve">Albert </w:t>
      </w:r>
      <w:r>
        <w:t xml:space="preserve">Kilian, </w:t>
      </w:r>
      <w:r w:rsidR="00F5042A">
        <w:t xml:space="preserve">Pete </w:t>
      </w:r>
      <w:proofErr w:type="spellStart"/>
      <w:r w:rsidR="00F5042A">
        <w:t>Gething</w:t>
      </w:r>
      <w:proofErr w:type="spellEnd"/>
    </w:p>
    <w:p w14:paraId="6BED6F24" w14:textId="77777777" w:rsidR="00D62F4E" w:rsidRDefault="00D62F4E" w:rsidP="00D62F4E">
      <w:pPr>
        <w:pStyle w:val="Heading1"/>
      </w:pPr>
      <w:r>
        <w:t>Abstract</w:t>
      </w:r>
    </w:p>
    <w:p w14:paraId="0ECDB0DE" w14:textId="77777777" w:rsidR="00D62F4E" w:rsidRDefault="00D62F4E" w:rsidP="00D62F4E">
      <w:pPr>
        <w:pStyle w:val="ListParagraph"/>
        <w:numPr>
          <w:ilvl w:val="0"/>
          <w:numId w:val="3"/>
        </w:numPr>
      </w:pPr>
      <w:r>
        <w:t>To be written last (350 words)</w:t>
      </w:r>
    </w:p>
    <w:p w14:paraId="0406E0A3" w14:textId="77777777" w:rsidR="00D62F4E" w:rsidRDefault="00D62F4E" w:rsidP="00D62F4E"/>
    <w:p w14:paraId="16E4723B" w14:textId="77777777" w:rsidR="00D62F4E" w:rsidRPr="00E4380C" w:rsidRDefault="00D62F4E" w:rsidP="00D62F4E">
      <w:r>
        <w:t>Keywords (3-10)</w:t>
      </w:r>
    </w:p>
    <w:p w14:paraId="54FF10EE" w14:textId="77777777" w:rsidR="00D62F4E" w:rsidRDefault="00D62F4E" w:rsidP="00D62F4E">
      <w:pPr>
        <w:pStyle w:val="Heading1"/>
      </w:pPr>
      <w:r>
        <w:t>Background</w:t>
      </w:r>
    </w:p>
    <w:p w14:paraId="5913FCC4" w14:textId="3DEA0896" w:rsidR="00D62F4E" w:rsidRDefault="009F1C16" w:rsidP="00482450">
      <w:r>
        <w:t xml:space="preserve">Insecticide treated nets (ITNs) have served as the cornerstone of malaria vector control for the past two decades. Over 2.5 billion ITNs have been delivered to countries </w:t>
      </w:r>
      <w:sdt>
        <w:sdtPr>
          <w:alias w:val="SmartCite Citation"/>
          <w:tag w:val="b86d2c70-0ef7-4b43-8730-6047a7d3222f:c4a23cd2-3ed9-4a1d-a486-72e02721ff87+"/>
          <w:id w:val="1118105072"/>
          <w:placeholder>
            <w:docPart w:val="DefaultPlaceholder_-1854013440"/>
          </w:placeholder>
        </w:sdtPr>
        <w:sdtEndPr/>
        <w:sdtContent>
          <w:r w:rsidR="003A5E85" w:rsidRPr="003A5E85">
            <w:rPr>
              <w:rFonts w:ascii="Calibri" w:eastAsia="Times New Roman" w:hAnsi="Calibri" w:cs="Calibri"/>
              <w:color w:val="000000"/>
            </w:rPr>
            <w:t>[1]</w:t>
          </w:r>
        </w:sdtContent>
      </w:sdt>
      <w:r>
        <w:t xml:space="preserve">, primarily through periodic mass distribution campaigns scheduled at three-year intervals, aligning with the expected lifespan of nets. Recent work has shown significant variation in ITN durability across geographic zones, and while some studies support a three-year median lifespan, multi-country analyses of ITN retention times indicate half of countries can expect two years or less of useful life for </w:t>
      </w:r>
      <w:proofErr w:type="gramStart"/>
      <w:r>
        <w:t>the majority of</w:t>
      </w:r>
      <w:proofErr w:type="gramEnd"/>
      <w:r>
        <w:t xml:space="preserve"> nets they distribute </w:t>
      </w:r>
      <w:sdt>
        <w:sdtPr>
          <w:alias w:val="SmartCite Citation"/>
          <w:tag w:val="b86d2c70-0ef7-4b43-8730-6047a7d3222f:aac1743a-83be-49f4-9a4d-e8449fbf492c+"/>
          <w:id w:val="-631481934"/>
          <w:placeholder>
            <w:docPart w:val="DefaultPlaceholder_-1854013440"/>
          </w:placeholder>
        </w:sdtPr>
        <w:sdtEndPr/>
        <w:sdtContent>
          <w:r w:rsidR="003A5E85" w:rsidRPr="003A5E85">
            <w:rPr>
              <w:rFonts w:ascii="Calibri" w:eastAsia="Times New Roman" w:hAnsi="Calibri" w:cs="Calibri"/>
              <w:color w:val="000000"/>
            </w:rPr>
            <w:t>[2]</w:t>
          </w:r>
        </w:sdtContent>
      </w:sdt>
      <w:r>
        <w:t xml:space="preserve">. The implications of </w:t>
      </w:r>
      <w:r w:rsidR="00482450">
        <w:t>shorter</w:t>
      </w:r>
      <w:r>
        <w:t xml:space="preserve">-than-expected retention times have important implications for the ways in countries quantify ITNs for mass </w:t>
      </w:r>
      <w:proofErr w:type="gramStart"/>
      <w:r>
        <w:t>campaigns, and</w:t>
      </w:r>
      <w:proofErr w:type="gramEnd"/>
      <w:r>
        <w:t xml:space="preserve"> raise </w:t>
      </w:r>
      <w:r w:rsidR="00482450">
        <w:t>several</w:t>
      </w:r>
      <w:r>
        <w:t xml:space="preserve"> key questions. First, </w:t>
      </w:r>
      <w:r w:rsidR="003A5E85">
        <w:t>what is the projected impact of the mismatch in campaign cycle and ITN retention in terms of overall ITN coverage</w:t>
      </w:r>
      <w:r>
        <w:t xml:space="preserve">? Second, </w:t>
      </w:r>
      <w:r w:rsidR="00482450">
        <w:t xml:space="preserve">if mass campaigns every three years are insufficient due to ITNs lasting only 1-2 years, is switching to a two-year campaign cycle indicated, or are there alternative ways to distribute ITNs to ensure high rates of ITN access are maintained over time? </w:t>
      </w:r>
      <w:r w:rsidR="003A5E85">
        <w:t xml:space="preserve">Third, with what we know now about ITN retention and ITN distribution modalities, is population divided by 1.8 the correct quantification approach for mass campaigns for all countries? </w:t>
      </w:r>
      <w:r w:rsidR="00482450">
        <w:t xml:space="preserve">Finally, what would optimum ITN quantification look like for countries given their </w:t>
      </w:r>
      <w:proofErr w:type="gramStart"/>
      <w:r w:rsidR="00482450">
        <w:t>particular ITN</w:t>
      </w:r>
      <w:proofErr w:type="gramEnd"/>
      <w:r w:rsidR="00482450">
        <w:t xml:space="preserve"> retention times, aiming to sustain high levels of ITN access (</w:t>
      </w:r>
      <w:r w:rsidR="003A5E85">
        <w:t>the necessary, but not sufficient, precursor to ITN use</w:t>
      </w:r>
      <w:r w:rsidR="00482450">
        <w:t>)?</w:t>
      </w:r>
    </w:p>
    <w:p w14:paraId="401DD5A8" w14:textId="466C966B" w:rsidR="00482450" w:rsidRDefault="00482450" w:rsidP="00482450">
      <w:r>
        <w:t xml:space="preserve">This paper </w:t>
      </w:r>
      <w:r w:rsidR="003A5E85">
        <w:t xml:space="preserve">explores these questions using a stock and flow model to project population ITN access for countries in sub-Saharan Africa over five different distribution scenarios, using estimated ITN retention times from </w:t>
      </w:r>
      <w:proofErr w:type="spellStart"/>
      <w:r w:rsidR="003A5E85">
        <w:t>Bertozzi</w:t>
      </w:r>
      <w:proofErr w:type="spellEnd"/>
      <w:r w:rsidR="003A5E85">
        <w:t xml:space="preserve">-Villa et al </w:t>
      </w:r>
      <w:sdt>
        <w:sdtPr>
          <w:alias w:val="SmartCite Citation"/>
          <w:tag w:val="b86d2c70-0ef7-4b43-8730-6047a7d3222f:aac1743a-83be-49f4-9a4d-e8449fbf492c+"/>
          <w:id w:val="-1576740876"/>
          <w:placeholder>
            <w:docPart w:val="DefaultPlaceholder_-1854013440"/>
          </w:placeholder>
        </w:sdtPr>
        <w:sdtEndPr/>
        <w:sdtContent>
          <w:r w:rsidR="003A5E85" w:rsidRPr="003A5E85">
            <w:rPr>
              <w:rFonts w:ascii="Calibri" w:eastAsia="Times New Roman" w:hAnsi="Calibri" w:cs="Calibri"/>
              <w:color w:val="000000"/>
            </w:rPr>
            <w:t>[2]</w:t>
          </w:r>
        </w:sdtContent>
      </w:sdt>
      <w:r w:rsidR="003A5E85">
        <w:t xml:space="preserve"> and varying quantification approaches within each distribution scenario. </w:t>
      </w:r>
    </w:p>
    <w:p w14:paraId="1623080A" w14:textId="77777777" w:rsidR="00482450" w:rsidRDefault="00482450" w:rsidP="00482450"/>
    <w:p w14:paraId="6ED4CCC2" w14:textId="100044A2" w:rsidR="00D62F4E" w:rsidRDefault="00D62F4E" w:rsidP="00D62F4E">
      <w:pPr>
        <w:pStyle w:val="Heading1"/>
      </w:pPr>
      <w:r>
        <w:t>Methods</w:t>
      </w:r>
    </w:p>
    <w:p w14:paraId="759388B6" w14:textId="714699BC" w:rsidR="00000393" w:rsidRDefault="00000393" w:rsidP="00000393">
      <w:pPr>
        <w:rPr>
          <w:b/>
          <w:bCs/>
        </w:rPr>
      </w:pPr>
      <w:r w:rsidRPr="00B25CE0">
        <w:rPr>
          <w:b/>
          <w:bCs/>
        </w:rPr>
        <w:t>Projections of future coverage</w:t>
      </w:r>
    </w:p>
    <w:p w14:paraId="3C84C64C" w14:textId="518AD6F8" w:rsidR="005F5E6B" w:rsidRDefault="005F5E6B" w:rsidP="005F5E6B">
      <w:r>
        <w:lastRenderedPageBreak/>
        <w:t>Each country was assigned an indicative population of 10 million people in the database, starting in 2020, and an annual population growth rate of 3%, as the model outputs are adjusted for population and thus do not require specific population estimates.</w:t>
      </w:r>
    </w:p>
    <w:p w14:paraId="5665D3C4" w14:textId="43F39251" w:rsidR="005F5E6B" w:rsidRDefault="005F5E6B" w:rsidP="005F5E6B">
      <w:r>
        <w:t xml:space="preserve">ITNs were distributed in the model for each scenario as shown in </w:t>
      </w:r>
      <w:r w:rsidR="0079431F">
        <w:fldChar w:fldCharType="begin"/>
      </w:r>
      <w:r w:rsidR="0079431F">
        <w:instrText xml:space="preserve"> REF _Ref88580757 </w:instrText>
      </w:r>
      <w:r w:rsidR="0079431F">
        <w:fldChar w:fldCharType="separate"/>
      </w:r>
      <w:r>
        <w:t xml:space="preserve">Table </w:t>
      </w:r>
      <w:r>
        <w:rPr>
          <w:noProof/>
        </w:rPr>
        <w:t>1</w:t>
      </w:r>
      <w:r w:rsidR="0079431F">
        <w:rPr>
          <w:noProof/>
        </w:rPr>
        <w:fldChar w:fldCharType="end"/>
      </w:r>
      <w:r>
        <w:t>.</w:t>
      </w:r>
    </w:p>
    <w:p w14:paraId="0E8A34C7" w14:textId="37B8B3AD" w:rsidR="005F5E6B" w:rsidRDefault="005F5E6B" w:rsidP="005F5E6B">
      <w:pPr>
        <w:pStyle w:val="Caption"/>
        <w:keepNext/>
      </w:pPr>
      <w:bookmarkStart w:id="1" w:name="_Ref88580757"/>
      <w:r>
        <w:t xml:space="preserve">Table </w:t>
      </w:r>
      <w:r w:rsidR="0079431F">
        <w:fldChar w:fldCharType="begin"/>
      </w:r>
      <w:r w:rsidR="0079431F">
        <w:instrText xml:space="preserve"> SEQ Table \* ARABIC </w:instrText>
      </w:r>
      <w:r w:rsidR="0079431F">
        <w:fldChar w:fldCharType="separate"/>
      </w:r>
      <w:r>
        <w:rPr>
          <w:noProof/>
        </w:rPr>
        <w:t>1</w:t>
      </w:r>
      <w:r w:rsidR="0079431F">
        <w:rPr>
          <w:noProof/>
        </w:rPr>
        <w:fldChar w:fldCharType="end"/>
      </w:r>
      <w:bookmarkEnd w:id="1"/>
      <w:r>
        <w:t>: Distribution Scenarios and their ITN inputs</w:t>
      </w:r>
    </w:p>
    <w:tbl>
      <w:tblPr>
        <w:tblStyle w:val="GridTable1Light-Accent2"/>
        <w:tblW w:w="0" w:type="auto"/>
        <w:tblLook w:val="04A0" w:firstRow="1" w:lastRow="0" w:firstColumn="1" w:lastColumn="0" w:noHBand="0" w:noVBand="1"/>
      </w:tblPr>
      <w:tblGrid>
        <w:gridCol w:w="2337"/>
        <w:gridCol w:w="2337"/>
        <w:gridCol w:w="2338"/>
        <w:gridCol w:w="2338"/>
      </w:tblGrid>
      <w:tr w:rsidR="005F5E6B" w14:paraId="2B1A18F4" w14:textId="77777777" w:rsidTr="005F5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B333D4" w14:textId="505265C9" w:rsidR="005F5E6B" w:rsidRDefault="005F5E6B" w:rsidP="005F5E6B">
            <w:r>
              <w:t>Scenario</w:t>
            </w:r>
          </w:p>
        </w:tc>
        <w:tc>
          <w:tcPr>
            <w:tcW w:w="2337" w:type="dxa"/>
          </w:tcPr>
          <w:p w14:paraId="37D80556" w14:textId="498122E8" w:rsidR="005F5E6B" w:rsidRDefault="005F5E6B" w:rsidP="005F5E6B">
            <w:pPr>
              <w:cnfStyle w:val="100000000000" w:firstRow="1" w:lastRow="0" w:firstColumn="0" w:lastColumn="0" w:oddVBand="0" w:evenVBand="0" w:oddHBand="0" w:evenHBand="0" w:firstRowFirstColumn="0" w:firstRowLastColumn="0" w:lastRowFirstColumn="0" w:lastRowLastColumn="0"/>
            </w:pPr>
            <w:r>
              <w:t>Mass Campaign</w:t>
            </w:r>
          </w:p>
        </w:tc>
        <w:tc>
          <w:tcPr>
            <w:tcW w:w="2338" w:type="dxa"/>
          </w:tcPr>
          <w:p w14:paraId="75518C5B" w14:textId="08818CD8" w:rsidR="005F5E6B" w:rsidRDefault="005F5E6B" w:rsidP="005F5E6B">
            <w:pPr>
              <w:cnfStyle w:val="100000000000" w:firstRow="1" w:lastRow="0" w:firstColumn="0" w:lastColumn="0" w:oddVBand="0" w:evenVBand="0" w:oddHBand="0" w:evenHBand="0" w:firstRowFirstColumn="0" w:firstRowLastColumn="0" w:lastRowFirstColumn="0" w:lastRowLastColumn="0"/>
            </w:pPr>
            <w:r>
              <w:t>ANC/EPI (routine)</w:t>
            </w:r>
          </w:p>
        </w:tc>
        <w:tc>
          <w:tcPr>
            <w:tcW w:w="2338" w:type="dxa"/>
          </w:tcPr>
          <w:p w14:paraId="54827046" w14:textId="1F117AEE" w:rsidR="005F5E6B" w:rsidRDefault="005F5E6B" w:rsidP="005F5E6B">
            <w:pPr>
              <w:cnfStyle w:val="100000000000" w:firstRow="1" w:lastRow="0" w:firstColumn="0" w:lastColumn="0" w:oddVBand="0" w:evenVBand="0" w:oddHBand="0" w:evenHBand="0" w:firstRowFirstColumn="0" w:firstRowLastColumn="0" w:lastRowFirstColumn="0" w:lastRowLastColumn="0"/>
            </w:pPr>
            <w:r>
              <w:t>Annual school/community</w:t>
            </w:r>
          </w:p>
        </w:tc>
      </w:tr>
      <w:tr w:rsidR="005F5E6B" w14:paraId="15F709CE"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33C1538" w14:textId="7C696D20" w:rsidR="005F5E6B" w:rsidRDefault="005F5E6B" w:rsidP="005F5E6B">
            <w:r>
              <w:t>“Status Quo”</w:t>
            </w:r>
          </w:p>
        </w:tc>
        <w:tc>
          <w:tcPr>
            <w:tcW w:w="2337" w:type="dxa"/>
          </w:tcPr>
          <w:p w14:paraId="5306D13F" w14:textId="031EBCA9"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xml:space="preserve"> at population / 1.8</w:t>
            </w:r>
          </w:p>
        </w:tc>
        <w:tc>
          <w:tcPr>
            <w:tcW w:w="2338" w:type="dxa"/>
          </w:tcPr>
          <w:p w14:paraId="479637CD" w14:textId="02B95EBF"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t>, varying from 5-7% of the population</w:t>
            </w:r>
          </w:p>
        </w:tc>
        <w:tc>
          <w:tcPr>
            <w:tcW w:w="2338" w:type="dxa"/>
          </w:tcPr>
          <w:p w14:paraId="68E78C1C" w14:textId="3D7BDA2D" w:rsidR="005F5E6B" w:rsidRDefault="005F5E6B"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684D29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413FF270" w14:textId="3AF00F9F" w:rsidR="005F5E6B" w:rsidRDefault="005F5E6B" w:rsidP="005F5E6B">
            <w:r>
              <w:t>“Full-scale continuous”</w:t>
            </w:r>
          </w:p>
        </w:tc>
        <w:tc>
          <w:tcPr>
            <w:tcW w:w="2337" w:type="dxa"/>
          </w:tcPr>
          <w:p w14:paraId="4D447AEB" w14:textId="0D45DA5A" w:rsidR="005F5E6B" w:rsidRDefault="005F5E6B" w:rsidP="005F5E6B">
            <w:pPr>
              <w:cnfStyle w:val="000000000000" w:firstRow="0" w:lastRow="0" w:firstColumn="0" w:lastColumn="0" w:oddVBand="0" w:evenVBand="0" w:oddHBand="0" w:evenHBand="0" w:firstRowFirstColumn="0" w:firstRowLastColumn="0" w:lastRowFirstColumn="0" w:lastRowLastColumn="0"/>
            </w:pPr>
            <w:r>
              <w:t>In 2020, to establish high coverage at population / 1.8</w:t>
            </w:r>
          </w:p>
        </w:tc>
        <w:tc>
          <w:tcPr>
            <w:tcW w:w="2338" w:type="dxa"/>
          </w:tcPr>
          <w:p w14:paraId="572C671B" w14:textId="38D2448B" w:rsidR="005F5E6B" w:rsidRDefault="005F5E6B" w:rsidP="005F5E6B">
            <w:pPr>
              <w:cnfStyle w:val="000000000000" w:firstRow="0" w:lastRow="0" w:firstColumn="0" w:lastColumn="0" w:oddVBand="0" w:evenVBand="0" w:oddHBand="0" w:evenHBand="0" w:firstRowFirstColumn="0" w:firstRowLastColumn="0" w:lastRowFirstColumn="0" w:lastRowLastColumn="0"/>
            </w:pPr>
            <w:r>
              <w:t>2021-203</w:t>
            </w:r>
            <w:r w:rsidR="0079431F">
              <w:t>5</w:t>
            </w:r>
            <w:r w:rsidR="00395348">
              <w:t xml:space="preserve"> at </w:t>
            </w:r>
            <w:r w:rsidR="0046730E">
              <w:t>6</w:t>
            </w:r>
            <w:r w:rsidR="00395348">
              <w:t>% of the population</w:t>
            </w:r>
          </w:p>
        </w:tc>
        <w:tc>
          <w:tcPr>
            <w:tcW w:w="2338" w:type="dxa"/>
          </w:tcPr>
          <w:p w14:paraId="5D7C5990" w14:textId="19E09D85" w:rsidR="005F5E6B" w:rsidRDefault="00395348" w:rsidP="005F5E6B">
            <w:pPr>
              <w:cnfStyle w:val="000000000000" w:firstRow="0" w:lastRow="0" w:firstColumn="0" w:lastColumn="0" w:oddVBand="0" w:evenVBand="0" w:oddHBand="0" w:evenHBand="0" w:firstRowFirstColumn="0" w:firstRowLastColumn="0" w:lastRowFirstColumn="0" w:lastRowLastColumn="0"/>
            </w:pPr>
            <w:r>
              <w:t xml:space="preserve">2022-2032 varying from </w:t>
            </w:r>
            <w:r w:rsidR="0046730E">
              <w:t>1</w:t>
            </w:r>
            <w:r>
              <w:t>-20% of the population</w:t>
            </w:r>
          </w:p>
        </w:tc>
      </w:tr>
      <w:tr w:rsidR="005F5E6B" w14:paraId="33611AD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308FA633" w14:textId="10A2DA30" w:rsidR="005F5E6B" w:rsidRDefault="005F5E6B" w:rsidP="005F5E6B">
            <w:r>
              <w:t>“Mass plus continuous”</w:t>
            </w:r>
          </w:p>
        </w:tc>
        <w:tc>
          <w:tcPr>
            <w:tcW w:w="2337" w:type="dxa"/>
          </w:tcPr>
          <w:p w14:paraId="11E7C6FA" w14:textId="5BB7FB0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xml:space="preserve">, </w:t>
            </w:r>
            <w:proofErr w:type="gramStart"/>
            <w:r w:rsidR="0079431F">
              <w:t xml:space="preserve">2034 </w:t>
            </w:r>
            <w:r>
              <w:t xml:space="preserve"> at</w:t>
            </w:r>
            <w:proofErr w:type="gramEnd"/>
            <w:r>
              <w:t xml:space="preserve"> population / 1.8</w:t>
            </w:r>
          </w:p>
        </w:tc>
        <w:tc>
          <w:tcPr>
            <w:tcW w:w="2338" w:type="dxa"/>
          </w:tcPr>
          <w:p w14:paraId="03C90D23" w14:textId="07987B6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5309A08D" w14:textId="479F39CA" w:rsidR="005F5E6B" w:rsidRDefault="0046730E" w:rsidP="005F5E6B">
            <w:pPr>
              <w:cnfStyle w:val="000000000000" w:firstRow="0" w:lastRow="0" w:firstColumn="0" w:lastColumn="0" w:oddVBand="0" w:evenVBand="0" w:oddHBand="0" w:evenHBand="0" w:firstRowFirstColumn="0" w:firstRowLastColumn="0" w:lastRowFirstColumn="0" w:lastRowLastColumn="0"/>
            </w:pPr>
            <w:r>
              <w:t>Only in years between campaigns, varying from 1-20% of the population</w:t>
            </w:r>
          </w:p>
        </w:tc>
      </w:tr>
      <w:tr w:rsidR="005F5E6B" w14:paraId="59CEFA1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F4F66E0" w14:textId="000E9397" w:rsidR="005F5E6B" w:rsidRDefault="005F5E6B" w:rsidP="005F5E6B">
            <w:r>
              <w:t>“Varying 3-year mass”</w:t>
            </w:r>
          </w:p>
        </w:tc>
        <w:tc>
          <w:tcPr>
            <w:tcW w:w="2337" w:type="dxa"/>
          </w:tcPr>
          <w:p w14:paraId="142A5EC4" w14:textId="3C25ECC5"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varying from population / 1.0-2.0</w:t>
            </w:r>
          </w:p>
        </w:tc>
        <w:tc>
          <w:tcPr>
            <w:tcW w:w="2338" w:type="dxa"/>
          </w:tcPr>
          <w:p w14:paraId="3882524E" w14:textId="756A5144"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7A9C50A6" w14:textId="41B7B338"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B3B348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745D6C6B" w14:textId="335DB71E" w:rsidR="005F5E6B" w:rsidRDefault="005F5E6B" w:rsidP="005F5E6B">
            <w:r>
              <w:t>“Varying 2-year mass”</w:t>
            </w:r>
          </w:p>
        </w:tc>
        <w:tc>
          <w:tcPr>
            <w:tcW w:w="2337" w:type="dxa"/>
          </w:tcPr>
          <w:p w14:paraId="3F152ED2" w14:textId="78CDD83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2024, 2026, 2028, 2030</w:t>
            </w:r>
            <w:r w:rsidR="0079431F">
              <w:t>, 2032, 2034</w:t>
            </w:r>
            <w:r>
              <w:t xml:space="preserve"> varying from population / 1.0-2.0</w:t>
            </w:r>
          </w:p>
        </w:tc>
        <w:tc>
          <w:tcPr>
            <w:tcW w:w="2338" w:type="dxa"/>
          </w:tcPr>
          <w:p w14:paraId="2AB20223" w14:textId="01029F0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0A08B603" w14:textId="4059933C"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bl>
    <w:p w14:paraId="51985F52" w14:textId="77777777" w:rsidR="005F5E6B" w:rsidRDefault="005F5E6B" w:rsidP="005F5E6B"/>
    <w:p w14:paraId="33197319" w14:textId="3B2AE3DC" w:rsidR="00D62F4E" w:rsidRDefault="00D62F4E" w:rsidP="00F5042A">
      <w:r>
        <w:t xml:space="preserve">For each year, the stock and flow model used </w:t>
      </w:r>
      <w:r w:rsidR="00147DAC">
        <w:t>a country-specific</w:t>
      </w:r>
      <w:r>
        <w:t xml:space="preserve"> estimated median lifespan </w:t>
      </w:r>
      <w:r w:rsidR="00000393">
        <w:t xml:space="preserve">from </w:t>
      </w:r>
      <w:proofErr w:type="spellStart"/>
      <w:r w:rsidR="00000393">
        <w:t>Bertozzi</w:t>
      </w:r>
      <w:proofErr w:type="spellEnd"/>
      <w:r w:rsidR="00000393">
        <w:t>-Villa et al</w:t>
      </w:r>
      <w:r>
        <w:t xml:space="preserve"> </w:t>
      </w:r>
      <w:sdt>
        <w:sdtPr>
          <w:alias w:val="SmartCite Citation"/>
          <w:tag w:val="b86d2c70-0ef7-4b43-8730-6047a7d3222f:aac1743a-83be-49f4-9a4d-e8449fbf492c+"/>
          <w:id w:val="2107843258"/>
          <w:placeholder>
            <w:docPart w:val="DefaultPlaceholder_-1854013440"/>
          </w:placeholder>
        </w:sdtPr>
        <w:sdtEndPr/>
        <w:sdtContent>
          <w:r w:rsidR="003A5E85" w:rsidRPr="003A5E85">
            <w:rPr>
              <w:rFonts w:ascii="Calibri" w:eastAsia="Times New Roman" w:hAnsi="Calibri" w:cs="Calibri"/>
              <w:color w:val="000000"/>
            </w:rPr>
            <w:t>[2]</w:t>
          </w:r>
        </w:sdtContent>
      </w:sdt>
      <w:r w:rsidR="00F5042A">
        <w:t xml:space="preserve"> </w:t>
      </w:r>
      <w:r>
        <w:t xml:space="preserve">to decay each crop of distributed nets annually. </w:t>
      </w:r>
      <w:r w:rsidR="00F5042A">
        <w:t xml:space="preserve">The net decay functions rely on smooth-compact loss function developed by Nakul </w:t>
      </w:r>
      <w:proofErr w:type="spellStart"/>
      <w:r w:rsidR="00F5042A">
        <w:t>Chitnis</w:t>
      </w:r>
      <w:proofErr w:type="spellEnd"/>
      <w:r w:rsidR="00F5042A">
        <w:t xml:space="preserve"> and described in Koenker et al and Bhatt et al </w:t>
      </w:r>
      <w:sdt>
        <w:sdtPr>
          <w:alias w:val="SmartCite Citation"/>
          <w:tag w:val="b86d2c70-0ef7-4b43-8730-6047a7d3222f:f40a9613-e313-4dfe-a03c-0af2ff86e5dd,b86d2c70-0ef7-4b43-8730-6047a7d3222f:e5d0a5c6-4886-48a1-ba8e-01b45e0a1ac8+"/>
          <w:id w:val="-1937206623"/>
          <w:placeholder>
            <w:docPart w:val="81DD8E4172020F46B4E2E493622B3DD3"/>
          </w:placeholder>
        </w:sdtPr>
        <w:sdtEndPr/>
        <w:sdtContent>
          <w:r w:rsidR="003A5E85" w:rsidRPr="003A5E85">
            <w:rPr>
              <w:rFonts w:ascii="Calibri" w:eastAsia="Times New Roman" w:hAnsi="Calibri" w:cs="Calibri"/>
              <w:color w:val="000000"/>
            </w:rPr>
            <w:t>[3,4]</w:t>
          </w:r>
        </w:sdtContent>
      </w:sdt>
      <w:r w:rsidR="00F5042A">
        <w:t>, and are shown in</w:t>
      </w:r>
      <w:r w:rsidR="00692B5D">
        <w:t xml:space="preserve"> </w:t>
      </w:r>
      <w:r w:rsidR="0079431F">
        <w:fldChar w:fldCharType="begin"/>
      </w:r>
      <w:r w:rsidR="0079431F">
        <w:instrText xml:space="preserve"> REF _Ref88582641 </w:instrText>
      </w:r>
      <w:r w:rsidR="0079431F">
        <w:fldChar w:fldCharType="separate"/>
      </w:r>
      <w:r w:rsidR="00692B5D">
        <w:t xml:space="preserve">Figure </w:t>
      </w:r>
      <w:r w:rsidR="00692B5D">
        <w:rPr>
          <w:noProof/>
        </w:rPr>
        <w:t>1</w:t>
      </w:r>
      <w:r w:rsidR="0079431F">
        <w:rPr>
          <w:noProof/>
        </w:rPr>
        <w:fldChar w:fldCharType="end"/>
      </w:r>
      <w:r w:rsidR="00F5042A">
        <w:t>.</w:t>
      </w:r>
    </w:p>
    <w:p w14:paraId="6CCB1DD3" w14:textId="77777777" w:rsidR="00F5042A" w:rsidRDefault="00F5042A" w:rsidP="00F5042A"/>
    <w:p w14:paraId="1BC239E5" w14:textId="7E0A5044" w:rsidR="00147DAC" w:rsidRDefault="00147DAC" w:rsidP="00147DAC">
      <w:pPr>
        <w:pStyle w:val="Caption"/>
        <w:keepNext/>
      </w:pPr>
      <w:bookmarkStart w:id="2" w:name="_Ref88582641"/>
      <w:r>
        <w:lastRenderedPageBreak/>
        <w:t xml:space="preserve">Figure </w:t>
      </w:r>
      <w:r w:rsidR="0079431F">
        <w:fldChar w:fldCharType="begin"/>
      </w:r>
      <w:r w:rsidR="0079431F">
        <w:instrText xml:space="preserve"> SEQ Figure \* ARABIC </w:instrText>
      </w:r>
      <w:r w:rsidR="0079431F">
        <w:fldChar w:fldCharType="separate"/>
      </w:r>
      <w:r>
        <w:rPr>
          <w:noProof/>
        </w:rPr>
        <w:t>1</w:t>
      </w:r>
      <w:r w:rsidR="0079431F">
        <w:rPr>
          <w:noProof/>
        </w:rPr>
        <w:fldChar w:fldCharType="end"/>
      </w:r>
      <w:bookmarkEnd w:id="2"/>
      <w:r>
        <w:t xml:space="preserve">: A) ITN retention times B) Smooth-compact loss function with Tanzania as an example C) Access-NPC relationship 2020 from </w:t>
      </w:r>
      <w:proofErr w:type="spellStart"/>
      <w:r>
        <w:t>Bertozzi</w:t>
      </w:r>
      <w:proofErr w:type="spellEnd"/>
      <w:r>
        <w:t xml:space="preserve">-Villa et al </w:t>
      </w:r>
      <w:proofErr w:type="gramStart"/>
      <w:r>
        <w:t>D)nonparametric</w:t>
      </w:r>
      <w:proofErr w:type="gramEnd"/>
      <w:r>
        <w:t xml:space="preserve"> conditional quartile function for ITN access as a </w:t>
      </w:r>
      <w:proofErr w:type="spellStart"/>
      <w:r>
        <w:t>bunfction</w:t>
      </w:r>
      <w:proofErr w:type="spellEnd"/>
      <w:r>
        <w:t xml:space="preserve"> of NPC</w:t>
      </w:r>
    </w:p>
    <w:tbl>
      <w:tblPr>
        <w:tblStyle w:val="TableGrid"/>
        <w:tblW w:w="0" w:type="auto"/>
        <w:tblLook w:val="04A0" w:firstRow="1" w:lastRow="0" w:firstColumn="1" w:lastColumn="0" w:noHBand="0" w:noVBand="1"/>
      </w:tblPr>
      <w:tblGrid>
        <w:gridCol w:w="4609"/>
        <w:gridCol w:w="4741"/>
      </w:tblGrid>
      <w:tr w:rsidR="00147DAC" w14:paraId="72BACB5D" w14:textId="77777777" w:rsidTr="00147DAC">
        <w:tc>
          <w:tcPr>
            <w:tcW w:w="4554" w:type="dxa"/>
            <w:vAlign w:val="center"/>
          </w:tcPr>
          <w:p w14:paraId="6602CC7A" w14:textId="3FED577F" w:rsidR="00147DAC" w:rsidRDefault="00147DAC" w:rsidP="00147DAC">
            <w:pPr>
              <w:jc w:val="center"/>
            </w:pPr>
            <w:r>
              <w:rPr>
                <w:noProof/>
              </w:rPr>
              <w:drawing>
                <wp:inline distT="0" distB="0" distL="0" distR="0" wp14:anchorId="0F426FB7" wp14:editId="6406AD72">
                  <wp:extent cx="2860895" cy="2184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63557" cy="2186215"/>
                          </a:xfrm>
                          <a:prstGeom prst="rect">
                            <a:avLst/>
                          </a:prstGeom>
                        </pic:spPr>
                      </pic:pic>
                    </a:graphicData>
                  </a:graphic>
                </wp:inline>
              </w:drawing>
            </w:r>
          </w:p>
        </w:tc>
        <w:tc>
          <w:tcPr>
            <w:tcW w:w="4796" w:type="dxa"/>
            <w:vAlign w:val="center"/>
          </w:tcPr>
          <w:p w14:paraId="146B4821" w14:textId="71FF64EB" w:rsidR="00147DAC" w:rsidRDefault="00147DAC" w:rsidP="00147DAC">
            <w:pPr>
              <w:jc w:val="center"/>
            </w:pPr>
            <w:r>
              <w:rPr>
                <w:noProof/>
              </w:rPr>
              <w:drawing>
                <wp:inline distT="0" distB="0" distL="0" distR="0" wp14:anchorId="6DCF8161" wp14:editId="72170375">
                  <wp:extent cx="2946903" cy="2143116"/>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8865" cy="2151816"/>
                          </a:xfrm>
                          <a:prstGeom prst="rect">
                            <a:avLst/>
                          </a:prstGeom>
                        </pic:spPr>
                      </pic:pic>
                    </a:graphicData>
                  </a:graphic>
                </wp:inline>
              </w:drawing>
            </w:r>
          </w:p>
        </w:tc>
      </w:tr>
      <w:tr w:rsidR="00147DAC" w14:paraId="151A30FE" w14:textId="77777777" w:rsidTr="00147DAC">
        <w:tc>
          <w:tcPr>
            <w:tcW w:w="4554" w:type="dxa"/>
            <w:vAlign w:val="center"/>
          </w:tcPr>
          <w:p w14:paraId="0318A387" w14:textId="42E3854F" w:rsidR="00147DAC" w:rsidRDefault="00147DAC" w:rsidP="00147DAC">
            <w:pPr>
              <w:jc w:val="center"/>
            </w:pPr>
            <w:r>
              <w:rPr>
                <w:noProof/>
              </w:rPr>
              <w:drawing>
                <wp:inline distT="0" distB="0" distL="0" distR="0" wp14:anchorId="2D7E0C08" wp14:editId="093EBADC">
                  <wp:extent cx="2675143" cy="2417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b="29149"/>
                          <a:stretch/>
                        </pic:blipFill>
                        <pic:spPr bwMode="auto">
                          <a:xfrm>
                            <a:off x="0" y="0"/>
                            <a:ext cx="2685651" cy="2426770"/>
                          </a:xfrm>
                          <a:prstGeom prst="rect">
                            <a:avLst/>
                          </a:prstGeom>
                          <a:ln>
                            <a:noFill/>
                          </a:ln>
                          <a:extLst>
                            <a:ext uri="{53640926-AAD7-44D8-BBD7-CCE9431645EC}">
                              <a14:shadowObscured xmlns:a14="http://schemas.microsoft.com/office/drawing/2010/main"/>
                            </a:ext>
                          </a:extLst>
                        </pic:spPr>
                      </pic:pic>
                    </a:graphicData>
                  </a:graphic>
                </wp:inline>
              </w:drawing>
            </w:r>
          </w:p>
        </w:tc>
        <w:tc>
          <w:tcPr>
            <w:tcW w:w="4796" w:type="dxa"/>
            <w:vAlign w:val="center"/>
          </w:tcPr>
          <w:p w14:paraId="532BA211" w14:textId="77777777" w:rsidR="00147DAC" w:rsidRDefault="00147DAC" w:rsidP="00147DAC">
            <w:pPr>
              <w:jc w:val="center"/>
              <w:rPr>
                <w:sz w:val="11"/>
                <w:szCs w:val="11"/>
              </w:rPr>
            </w:pPr>
            <w:r>
              <w:rPr>
                <w:noProof/>
                <w:sz w:val="11"/>
                <w:szCs w:val="11"/>
              </w:rPr>
              <w:drawing>
                <wp:inline distT="0" distB="0" distL="0" distR="0" wp14:anchorId="3DDDB330" wp14:editId="0DBD65D6">
                  <wp:extent cx="2799298" cy="23987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11540" b="2770"/>
                          <a:stretch/>
                        </pic:blipFill>
                        <pic:spPr bwMode="auto">
                          <a:xfrm>
                            <a:off x="0" y="0"/>
                            <a:ext cx="2809052" cy="2407061"/>
                          </a:xfrm>
                          <a:prstGeom prst="rect">
                            <a:avLst/>
                          </a:prstGeom>
                          <a:ln>
                            <a:noFill/>
                          </a:ln>
                          <a:extLst>
                            <a:ext uri="{53640926-AAD7-44D8-BBD7-CCE9431645EC}">
                              <a14:shadowObscured xmlns:a14="http://schemas.microsoft.com/office/drawing/2010/main"/>
                            </a:ext>
                          </a:extLst>
                        </pic:spPr>
                      </pic:pic>
                    </a:graphicData>
                  </a:graphic>
                </wp:inline>
              </w:drawing>
            </w:r>
          </w:p>
          <w:p w14:paraId="63462584" w14:textId="27CBDEB6" w:rsidR="00147DAC" w:rsidRDefault="00147DAC" w:rsidP="00147DAC">
            <w:pPr>
              <w:jc w:val="center"/>
            </w:pPr>
            <w:r w:rsidRPr="00147DAC">
              <w:rPr>
                <w:sz w:val="11"/>
                <w:szCs w:val="11"/>
              </w:rPr>
              <w:t>Points are regions</w:t>
            </w:r>
          </w:p>
        </w:tc>
      </w:tr>
    </w:tbl>
    <w:p w14:paraId="2A50ED1A" w14:textId="77777777" w:rsidR="00D62F4E" w:rsidRDefault="00D62F4E" w:rsidP="00D62F4E"/>
    <w:p w14:paraId="0A9A154C" w14:textId="300EB6E0" w:rsidR="00D62F4E" w:rsidRDefault="00D62F4E" w:rsidP="00D62F4E">
      <w:r>
        <w:t xml:space="preserve">The total net crop (consisting of all surviving nets from various channels to date) was summed for each year and country. This was then divided by the population projected to calculate nets-per-capita (NPC) in each year and council. </w:t>
      </w:r>
    </w:p>
    <w:p w14:paraId="47F4DBCC" w14:textId="0DC26148" w:rsidR="00D62F4E" w:rsidRDefault="00D62F4E" w:rsidP="00D62F4E">
      <w:r>
        <w:t>To estimate ITN access from NPC, a nonparametric conditional quartile function for ITN access as a function of NPC was estimated from 124 demographic health survey data and malaria indicator surveys (MIS). A grid of 100 points was produced and used to predict ITN access</w:t>
      </w:r>
      <w:r w:rsidR="00692B5D">
        <w:t xml:space="preserve"> from NPC (</w:t>
      </w:r>
      <w:r w:rsidR="0079431F">
        <w:fldChar w:fldCharType="begin"/>
      </w:r>
      <w:r w:rsidR="0079431F">
        <w:instrText xml:space="preserve"> REF _Ref88582641 </w:instrText>
      </w:r>
      <w:r w:rsidR="0079431F">
        <w:fldChar w:fldCharType="separate"/>
      </w:r>
      <w:r w:rsidR="00692B5D">
        <w:t xml:space="preserve">Figure </w:t>
      </w:r>
      <w:r w:rsidR="00692B5D">
        <w:rPr>
          <w:noProof/>
        </w:rPr>
        <w:t>1</w:t>
      </w:r>
      <w:r w:rsidR="0079431F">
        <w:rPr>
          <w:noProof/>
        </w:rPr>
        <w:fldChar w:fldCharType="end"/>
      </w:r>
      <w:r w:rsidR="00692B5D">
        <w:t>)</w:t>
      </w:r>
      <w:r>
        <w:t>. Confidence intervals for both estimated median lifespan and the function of ITN access vs NPC were used to generate an overall confidence interval around the estimate of ITN access.</w:t>
      </w:r>
    </w:p>
    <w:p w14:paraId="18ADAC96" w14:textId="162EDFF7" w:rsidR="00D62F4E" w:rsidRDefault="00D62F4E" w:rsidP="00D62F4E">
      <w:r>
        <w:t>To further understand the relative sizes of ITN distributions through various channels, total ITNs delivered per channel were divided by the population and expressed as “nets issued as a percentage of the population”</w:t>
      </w:r>
      <w:r w:rsidR="00F5042A">
        <w:t xml:space="preserve"> (NPP)</w:t>
      </w:r>
      <w:r>
        <w:t xml:space="preserve">. </w:t>
      </w:r>
    </w:p>
    <w:p w14:paraId="7CBAF2DC" w14:textId="77777777" w:rsidR="00D62F4E" w:rsidRDefault="00D62F4E" w:rsidP="00D62F4E">
      <w:pPr>
        <w:rPr>
          <w:b/>
          <w:bCs/>
        </w:rPr>
      </w:pPr>
    </w:p>
    <w:p w14:paraId="061022AC" w14:textId="77777777" w:rsidR="00000393" w:rsidRPr="00000393" w:rsidRDefault="00000393" w:rsidP="00D62F4E">
      <w:pPr>
        <w:rPr>
          <w:b/>
          <w:bCs/>
        </w:rPr>
      </w:pPr>
      <w:r w:rsidRPr="00000393">
        <w:rPr>
          <w:b/>
          <w:bCs/>
        </w:rPr>
        <w:t>Scenarios</w:t>
      </w:r>
    </w:p>
    <w:p w14:paraId="4C187933" w14:textId="124D994A" w:rsidR="00D62F4E" w:rsidRPr="00B25CE0" w:rsidRDefault="00D62F4E" w:rsidP="00D62F4E">
      <w:r w:rsidRPr="00B25CE0">
        <w:t>To inform</w:t>
      </w:r>
      <w:r>
        <w:t xml:space="preserve"> recommendations for quantification of ITNs for the annual SNP, the above process was used to model ITN distributions under </w:t>
      </w:r>
      <w:r w:rsidR="00692B5D">
        <w:t>five</w:t>
      </w:r>
      <w:r>
        <w:t xml:space="preserve"> </w:t>
      </w:r>
      <w:r w:rsidR="00692B5D">
        <w:t>typical ITN distribution</w:t>
      </w:r>
      <w:r>
        <w:t xml:space="preserve"> scenarios, varying quantification approaches within each scenario:</w:t>
      </w:r>
    </w:p>
    <w:p w14:paraId="202DAE99" w14:textId="56C12DB4" w:rsidR="003E71C8" w:rsidRDefault="009A2FEE" w:rsidP="00D62F4E">
      <w:pPr>
        <w:pStyle w:val="ListParagraph"/>
        <w:numPr>
          <w:ilvl w:val="0"/>
          <w:numId w:val="4"/>
        </w:numPr>
      </w:pPr>
      <w:r>
        <w:t xml:space="preserve">“Status Quo”: </w:t>
      </w:r>
      <w:r w:rsidR="003E71C8">
        <w:t>Mass campaigns every three years with routine distribution of ITNs to pregnant women and infants through antenatal clinics (ANC) and immunization visits (EPI). Quantification of the mass campaigns was fixed at population / 1.8 while quantification of routine distribution varied from population x 5%-7%.</w:t>
      </w:r>
    </w:p>
    <w:p w14:paraId="4FF9C8D4" w14:textId="57546247" w:rsidR="003E71C8" w:rsidRDefault="009A2FEE" w:rsidP="003E71C8">
      <w:pPr>
        <w:pStyle w:val="ListParagraph"/>
        <w:numPr>
          <w:ilvl w:val="0"/>
          <w:numId w:val="4"/>
        </w:numPr>
      </w:pPr>
      <w:r>
        <w:t xml:space="preserve">“Full-scale continuous”: </w:t>
      </w:r>
      <w:r w:rsidR="003E71C8">
        <w:t xml:space="preserve">Full-scale annual school distribution of ITNs with routine distribution of ANC and EPI ITNs, fixing the routine distribution at population x </w:t>
      </w:r>
      <w:r w:rsidR="00395348">
        <w:t>5</w:t>
      </w:r>
      <w:r w:rsidR="003E71C8">
        <w:t>% and varying the quantification of school distributions from population x 2-20%</w:t>
      </w:r>
    </w:p>
    <w:p w14:paraId="1608B516" w14:textId="70AB50D6" w:rsidR="00D62F4E" w:rsidRDefault="009A2FEE" w:rsidP="00D62F4E">
      <w:pPr>
        <w:pStyle w:val="ListParagraph"/>
        <w:numPr>
          <w:ilvl w:val="0"/>
          <w:numId w:val="4"/>
        </w:numPr>
      </w:pPr>
      <w:r>
        <w:t xml:space="preserve">“Mass plus continuous”: </w:t>
      </w:r>
      <w:r w:rsidR="00D62F4E">
        <w:t xml:space="preserve">Mass campaign every three years with </w:t>
      </w:r>
      <w:r w:rsidR="00F5042A">
        <w:t>routine</w:t>
      </w:r>
      <w:r w:rsidR="00D62F4E">
        <w:t xml:space="preserve"> distribution of </w:t>
      </w:r>
      <w:r w:rsidR="00F5042A">
        <w:t>ANC and EPI</w:t>
      </w:r>
      <w:r w:rsidR="00D62F4E">
        <w:t xml:space="preserve"> ITNs and with annual </w:t>
      </w:r>
      <w:r w:rsidR="00F5042A">
        <w:t>school distribution in a limited number of classes, or limited community distribution</w:t>
      </w:r>
      <w:r w:rsidR="00D62F4E">
        <w:t xml:space="preserve"> in the years between campaigns</w:t>
      </w:r>
      <w:r w:rsidR="003D6AC3">
        <w:t xml:space="preserve">. Quantification of the mass campaigns was fixed at population / 1.8 and routine distribution at population x </w:t>
      </w:r>
      <w:r w:rsidR="003E71C8">
        <w:t>6</w:t>
      </w:r>
      <w:r w:rsidR="003D6AC3">
        <w:t xml:space="preserve">%, varying the annual school/community distribution between population x </w:t>
      </w:r>
      <w:r w:rsidR="003E71C8">
        <w:t>7-25</w:t>
      </w:r>
      <w:r w:rsidR="003D6AC3">
        <w:t>%.</w:t>
      </w:r>
    </w:p>
    <w:p w14:paraId="19102406" w14:textId="72249E94" w:rsidR="003E71C8" w:rsidRDefault="009A2FEE" w:rsidP="003E71C8">
      <w:pPr>
        <w:pStyle w:val="ListParagraph"/>
        <w:numPr>
          <w:ilvl w:val="0"/>
          <w:numId w:val="4"/>
        </w:numPr>
      </w:pPr>
      <w:r>
        <w:t xml:space="preserve">“Varying 3-year mass”: </w:t>
      </w:r>
      <w:r w:rsidR="003E71C8">
        <w:t xml:space="preserve">Mass campaigns every three years with routine distribution of ITNs to pregnant women and infants through antenatal clinics (ANC) and immunization visits (EPI). </w:t>
      </w:r>
      <w:r w:rsidR="002A2CA7">
        <w:t>Quantification of routine distribution was fixed at 6%, and q</w:t>
      </w:r>
      <w:r w:rsidR="003E71C8">
        <w:t>uantification of the mass campaigns was varied from population / 1</w:t>
      </w:r>
      <w:r w:rsidR="002A2CA7">
        <w:t>.0</w:t>
      </w:r>
      <w:r w:rsidR="003E71C8">
        <w:t xml:space="preserve"> to population / 2</w:t>
      </w:r>
      <w:r w:rsidR="002A2CA7">
        <w:t>.0</w:t>
      </w:r>
      <w:r w:rsidR="003E71C8">
        <w:t xml:space="preserve"> in increments of 0.1.</w:t>
      </w:r>
    </w:p>
    <w:p w14:paraId="71DBD1E5" w14:textId="130EA955" w:rsidR="003E71C8" w:rsidRPr="00B00ACF" w:rsidRDefault="009A2FEE" w:rsidP="00D62F4E">
      <w:pPr>
        <w:pStyle w:val="ListParagraph"/>
        <w:numPr>
          <w:ilvl w:val="0"/>
          <w:numId w:val="4"/>
        </w:numPr>
      </w:pPr>
      <w:r>
        <w:t xml:space="preserve">“Varying 2-year mass”: </w:t>
      </w:r>
      <w:r w:rsidR="002A2CA7">
        <w:t>Mass campaigns every two years with routine distribution of ITNs to pregnant women and infants through antenatal clinics (ANC) and immunization visits (EPI). Quantification of routine distribution was fixed at 6%, and quantification of the mass campaigns was varied from population / 1.0 to population / 2.0 in increments of 0.1.</w:t>
      </w:r>
    </w:p>
    <w:p w14:paraId="1632BADF" w14:textId="49D8DFAC" w:rsidR="00D62F4E" w:rsidRDefault="003D6AC3" w:rsidP="00B37C01">
      <w:r>
        <w:t xml:space="preserve">All scenarios </w:t>
      </w:r>
      <w:r w:rsidR="00B37C01">
        <w:t>with mass campaigns began with a mass campaign in</w:t>
      </w:r>
      <w:r>
        <w:t xml:space="preserve"> </w:t>
      </w:r>
      <w:r w:rsidR="00B37C01">
        <w:t>2022</w:t>
      </w:r>
      <w:r>
        <w:t xml:space="preserve"> and ended in 203</w:t>
      </w:r>
      <w:r w:rsidR="001B191F">
        <w:t>5</w:t>
      </w:r>
      <w:r>
        <w:t xml:space="preserve">. </w:t>
      </w:r>
      <w:r w:rsidR="00B37C01">
        <w:t>The “full scale continuous” scenario assumed a mass campaign (quantified with population / 1.8) in 2020</w:t>
      </w:r>
      <w:r w:rsidR="00692B5D">
        <w:t xml:space="preserve"> to scale up coverage prior to switching over to a fully continuous ITN strategy</w:t>
      </w:r>
      <w:r w:rsidR="00B37C01">
        <w:t xml:space="preserve">. </w:t>
      </w:r>
    </w:p>
    <w:p w14:paraId="3337CD69" w14:textId="77777777" w:rsidR="00D62F4E" w:rsidRDefault="00D62F4E" w:rsidP="00D62F4E">
      <w:pPr>
        <w:pStyle w:val="Heading1"/>
      </w:pPr>
      <w:r>
        <w:t>Results</w:t>
      </w:r>
    </w:p>
    <w:p w14:paraId="243D4463" w14:textId="71305B5F" w:rsidR="00D62F4E" w:rsidRDefault="00D62F4E" w:rsidP="00D62F4E">
      <w:pPr>
        <w:pStyle w:val="ListParagraph"/>
        <w:numPr>
          <w:ilvl w:val="0"/>
          <w:numId w:val="1"/>
        </w:numPr>
      </w:pPr>
      <w:r>
        <w:t>The complete set of graphs is included as Supplemental File 1.</w:t>
      </w:r>
    </w:p>
    <w:p w14:paraId="672E3216" w14:textId="59C4BFCD" w:rsidR="00D62F4E" w:rsidRDefault="00D62F4E" w:rsidP="00D62F4E">
      <w:pPr>
        <w:pStyle w:val="ListParagraph"/>
        <w:numPr>
          <w:ilvl w:val="0"/>
          <w:numId w:val="1"/>
        </w:numPr>
      </w:pPr>
      <w:r>
        <w:t>ANC-EPI variation not producing big differences</w:t>
      </w:r>
    </w:p>
    <w:p w14:paraId="6BFEF576" w14:textId="0D0168B9" w:rsidR="00D62F4E" w:rsidRDefault="00D62F4E" w:rsidP="00D62F4E">
      <w:pPr>
        <w:pStyle w:val="ListParagraph"/>
        <w:numPr>
          <w:ilvl w:val="0"/>
          <w:numId w:val="1"/>
        </w:numPr>
      </w:pPr>
      <w:r>
        <w:t>Decay rates drive the quantification rates for each country</w:t>
      </w:r>
    </w:p>
    <w:p w14:paraId="0A1B3F7A" w14:textId="6230A95D" w:rsidR="00D62F4E" w:rsidRDefault="00D62F4E" w:rsidP="00D62F4E">
      <w:pPr>
        <w:pStyle w:val="ListParagraph"/>
        <w:numPr>
          <w:ilvl w:val="0"/>
          <w:numId w:val="1"/>
        </w:numPr>
      </w:pPr>
      <w:proofErr w:type="spellStart"/>
      <w:r>
        <w:t>Twoway</w:t>
      </w:r>
      <w:proofErr w:type="spellEnd"/>
      <w:r>
        <w:t xml:space="preserve"> quant factor NPP vs projected access – to illustrate what is needed more clearly?</w:t>
      </w:r>
      <w:r w:rsidR="001B191F">
        <w:t xml:space="preserve"> Faceted by strategy</w:t>
      </w:r>
    </w:p>
    <w:p w14:paraId="7FDE4D57" w14:textId="77777777" w:rsidR="001B191F" w:rsidRDefault="001B191F" w:rsidP="00D62F4E">
      <w:pPr>
        <w:pStyle w:val="ListParagraph"/>
        <w:numPr>
          <w:ilvl w:val="0"/>
          <w:numId w:val="1"/>
        </w:numPr>
      </w:pPr>
    </w:p>
    <w:p w14:paraId="11EA344E" w14:textId="7687DE8D" w:rsidR="00D62F4E" w:rsidRDefault="00D62F4E" w:rsidP="00D62F4E">
      <w:pPr>
        <w:pStyle w:val="ListParagraph"/>
        <w:numPr>
          <w:ilvl w:val="0"/>
          <w:numId w:val="1"/>
        </w:numPr>
      </w:pPr>
      <w:r>
        <w:t>Or vs median lifespans…?</w:t>
      </w:r>
    </w:p>
    <w:p w14:paraId="5571CEEB" w14:textId="22E9BFAC" w:rsidR="00D62F4E" w:rsidRDefault="00D62F4E" w:rsidP="00D62F4E">
      <w:pPr>
        <w:pStyle w:val="ListParagraph"/>
        <w:numPr>
          <w:ilvl w:val="0"/>
          <w:numId w:val="1"/>
        </w:numPr>
      </w:pPr>
      <w:r>
        <w:t>ANC-EPI alone (7%) produces low access</w:t>
      </w:r>
    </w:p>
    <w:p w14:paraId="7C6AF96E" w14:textId="3EE090A4" w:rsidR="00D62F4E" w:rsidRDefault="00D62F4E" w:rsidP="00D62F4E">
      <w:pPr>
        <w:pStyle w:val="ListParagraph"/>
        <w:numPr>
          <w:ilvl w:val="0"/>
          <w:numId w:val="1"/>
        </w:numPr>
      </w:pPr>
      <w:r>
        <w:t>Approach 80% access when Cameroon at 15%; TZA requires 22%; Liberia at 25% is still only 60%</w:t>
      </w:r>
    </w:p>
    <w:p w14:paraId="4819A78A" w14:textId="6564EC33" w:rsidR="00D62F4E" w:rsidRDefault="00D62F4E" w:rsidP="00D62F4E">
      <w:pPr>
        <w:pStyle w:val="ListParagraph"/>
        <w:numPr>
          <w:ilvl w:val="0"/>
          <w:numId w:val="1"/>
        </w:numPr>
      </w:pPr>
      <w:r>
        <w:lastRenderedPageBreak/>
        <w:t>X% of countries won’t reach 80% even at 25%....</w:t>
      </w:r>
    </w:p>
    <w:p w14:paraId="6BC64740" w14:textId="195C070B" w:rsidR="00D62F4E" w:rsidRDefault="00D62F4E" w:rsidP="00D62F4E">
      <w:pPr>
        <w:pStyle w:val="ListParagraph"/>
        <w:numPr>
          <w:ilvl w:val="0"/>
          <w:numId w:val="1"/>
        </w:numPr>
      </w:pPr>
      <w:r>
        <w:t>Ghana needs X and is only doing Y</w:t>
      </w:r>
    </w:p>
    <w:p w14:paraId="7A86E358" w14:textId="7C6F133C" w:rsidR="00D62F4E" w:rsidRDefault="00D62F4E" w:rsidP="00D62F4E">
      <w:pPr>
        <w:pStyle w:val="ListParagraph"/>
        <w:numPr>
          <w:ilvl w:val="0"/>
          <w:numId w:val="1"/>
        </w:numPr>
      </w:pPr>
      <w:r>
        <w:t>What is the lowest access we are willing to tolerate between campaigns, or at any time…?</w:t>
      </w:r>
    </w:p>
    <w:p w14:paraId="4F7259E9" w14:textId="49513906" w:rsidR="00D62F4E" w:rsidRDefault="00D62F4E" w:rsidP="00D62F4E">
      <w:pPr>
        <w:pStyle w:val="ListParagraph"/>
        <w:numPr>
          <w:ilvl w:val="0"/>
          <w:numId w:val="1"/>
        </w:numPr>
      </w:pPr>
      <w:r>
        <w:t>2-year campaigns….?????</w:t>
      </w:r>
    </w:p>
    <w:p w14:paraId="4C056A4E" w14:textId="1FC6EA5D" w:rsidR="00260757" w:rsidRDefault="00260757" w:rsidP="00D62F4E">
      <w:pPr>
        <w:pStyle w:val="ListParagraph"/>
        <w:numPr>
          <w:ilvl w:val="0"/>
          <w:numId w:val="1"/>
        </w:numPr>
      </w:pPr>
      <w:r>
        <w:t>Graph of current scenario to start, pop/1.8 with ANC at varying levels due to implementation (??)</w:t>
      </w:r>
    </w:p>
    <w:p w14:paraId="2D19A45D" w14:textId="33F9396E" w:rsidR="00260757" w:rsidRDefault="00260757" w:rsidP="00D62F4E">
      <w:pPr>
        <w:pStyle w:val="ListParagraph"/>
        <w:numPr>
          <w:ilvl w:val="0"/>
          <w:numId w:val="1"/>
        </w:numPr>
      </w:pPr>
      <w:r>
        <w:t>Then map of each country at its optimum and what quant factor that requires?</w:t>
      </w:r>
    </w:p>
    <w:p w14:paraId="15B7C960" w14:textId="77777777" w:rsidR="00D62F4E" w:rsidRDefault="00D62F4E" w:rsidP="00D62F4E">
      <w:pPr>
        <w:pStyle w:val="ListParagraph"/>
        <w:numPr>
          <w:ilvl w:val="1"/>
          <w:numId w:val="1"/>
        </w:numPr>
      </w:pPr>
      <w:r>
        <w:t>Graphs of three scenarios at varying levels of pop*x%</w:t>
      </w:r>
    </w:p>
    <w:p w14:paraId="46B53666" w14:textId="77777777" w:rsidR="00D62F4E" w:rsidRDefault="00D62F4E" w:rsidP="00D62F4E">
      <w:pPr>
        <w:pStyle w:val="ListParagraph"/>
        <w:numPr>
          <w:ilvl w:val="0"/>
          <w:numId w:val="1"/>
        </w:numPr>
      </w:pPr>
      <w:r>
        <w:t xml:space="preserve">Comparability of projected estimates vs observed regional level survey data </w:t>
      </w:r>
    </w:p>
    <w:p w14:paraId="30F4CEAF" w14:textId="77777777" w:rsidR="00D62F4E" w:rsidRDefault="00D62F4E" w:rsidP="00D62F4E"/>
    <w:p w14:paraId="1EE02D8F" w14:textId="77777777" w:rsidR="00D62F4E" w:rsidRDefault="00D62F4E" w:rsidP="00D62F4E">
      <w:pPr>
        <w:pStyle w:val="Heading1"/>
      </w:pPr>
      <w:r>
        <w:t>Discussion</w:t>
      </w:r>
    </w:p>
    <w:p w14:paraId="2C02A0C4" w14:textId="77777777" w:rsidR="00D62F4E" w:rsidRDefault="00D62F4E" w:rsidP="00D62F4E">
      <w:pPr>
        <w:pStyle w:val="ListParagraph"/>
        <w:numPr>
          <w:ilvl w:val="0"/>
          <w:numId w:val="1"/>
        </w:numPr>
      </w:pPr>
      <w:r>
        <w:t>Based on projections into the future at varying levels of population*x%, recommendations for continuous distribution quantification and universal coverage quantification in Tanzania</w:t>
      </w:r>
    </w:p>
    <w:p w14:paraId="7BDE3FB7" w14:textId="77777777" w:rsidR="00D62F4E" w:rsidRDefault="00D62F4E" w:rsidP="00D62F4E">
      <w:pPr>
        <w:pStyle w:val="ListParagraph"/>
        <w:numPr>
          <w:ilvl w:val="0"/>
          <w:numId w:val="1"/>
        </w:numPr>
      </w:pPr>
      <w:r>
        <w:t xml:space="preserve">Based on projections across multiple countries using varying ITN retention times from </w:t>
      </w:r>
      <w:proofErr w:type="spellStart"/>
      <w:r>
        <w:t>Bertozzi</w:t>
      </w:r>
      <w:proofErr w:type="spellEnd"/>
      <w:r>
        <w:t>-Villa, overall recommendations for CD and campaign quantification for other countries</w:t>
      </w:r>
    </w:p>
    <w:p w14:paraId="183F3862" w14:textId="77777777" w:rsidR="00D62F4E" w:rsidRDefault="00D62F4E" w:rsidP="00D62F4E">
      <w:pPr>
        <w:pStyle w:val="ListParagraph"/>
        <w:numPr>
          <w:ilvl w:val="0"/>
          <w:numId w:val="1"/>
        </w:numPr>
      </w:pPr>
      <w:r>
        <w:t xml:space="preserve">Limitation of the methods </w:t>
      </w:r>
    </w:p>
    <w:p w14:paraId="4C62C677" w14:textId="77777777" w:rsidR="00D62F4E" w:rsidRDefault="00D62F4E" w:rsidP="00D62F4E">
      <w:pPr>
        <w:pStyle w:val="ListParagraph"/>
        <w:numPr>
          <w:ilvl w:val="1"/>
          <w:numId w:val="1"/>
        </w:numPr>
      </w:pPr>
      <w:r>
        <w:t>Parameter assumptions may vary by council – population, decay rates (</w:t>
      </w:r>
      <w:proofErr w:type="gramStart"/>
      <w:r>
        <w:t>behaviors;</w:t>
      </w:r>
      <w:proofErr w:type="gramEnd"/>
      <w:r>
        <w:t xml:space="preserve"> nets)</w:t>
      </w:r>
    </w:p>
    <w:p w14:paraId="0464AC49" w14:textId="77777777" w:rsidR="00D62F4E" w:rsidRDefault="00D62F4E" w:rsidP="00D62F4E">
      <w:pPr>
        <w:pStyle w:val="ListParagraph"/>
        <w:numPr>
          <w:ilvl w:val="1"/>
          <w:numId w:val="1"/>
        </w:numPr>
      </w:pPr>
      <w:r>
        <w:t>Missing data / how missing data was dealt with (proportional distribution among councils within a region)</w:t>
      </w:r>
    </w:p>
    <w:p w14:paraId="253212F6" w14:textId="77777777" w:rsidR="00D62F4E" w:rsidRDefault="00D62F4E" w:rsidP="00D62F4E">
      <w:pPr>
        <w:pStyle w:val="ListParagraph"/>
        <w:numPr>
          <w:ilvl w:val="1"/>
          <w:numId w:val="1"/>
        </w:numPr>
      </w:pPr>
      <w:r>
        <w:t>Uncertainty of population estimates/projections</w:t>
      </w:r>
    </w:p>
    <w:p w14:paraId="0D0E21D1" w14:textId="77777777" w:rsidR="00D62F4E" w:rsidRDefault="00D62F4E" w:rsidP="00D62F4E">
      <w:pPr>
        <w:pStyle w:val="Heading1"/>
      </w:pPr>
      <w:r>
        <w:t>Conclusion</w:t>
      </w:r>
    </w:p>
    <w:p w14:paraId="4E75904C" w14:textId="77777777" w:rsidR="00D62F4E" w:rsidRDefault="00D62F4E" w:rsidP="00D62F4E">
      <w:pPr>
        <w:pStyle w:val="Heading1"/>
      </w:pPr>
      <w:r>
        <w:t>References</w:t>
      </w:r>
    </w:p>
    <w:p w14:paraId="0F2DA4D4" w14:textId="77777777" w:rsidR="00D62F4E" w:rsidRDefault="00D62F4E" w:rsidP="00D62F4E"/>
    <w:p w14:paraId="65191E19" w14:textId="77777777" w:rsidR="00D62F4E" w:rsidRDefault="00D62F4E" w:rsidP="00D62F4E">
      <w:pPr>
        <w:pStyle w:val="Heading1"/>
      </w:pPr>
      <w:r>
        <w:t>Declarations</w:t>
      </w:r>
    </w:p>
    <w:p w14:paraId="0FA4910F" w14:textId="77777777" w:rsidR="00D62F4E" w:rsidRDefault="00D62F4E" w:rsidP="00D62F4E">
      <w:pPr>
        <w:pStyle w:val="Heading2"/>
        <w:rPr>
          <w:rFonts w:eastAsia="Times New Roman"/>
        </w:rPr>
      </w:pPr>
      <w:r w:rsidRPr="006210A3">
        <w:rPr>
          <w:rFonts w:eastAsia="Times New Roman"/>
        </w:rPr>
        <w:t>Ethics approval and consent to participate</w:t>
      </w:r>
    </w:p>
    <w:p w14:paraId="375D961C" w14:textId="77777777" w:rsidR="00D62F4E" w:rsidRPr="00CB0669" w:rsidRDefault="00D62F4E" w:rsidP="00D62F4E">
      <w:commentRangeStart w:id="3"/>
      <w:r>
        <w:t>Not applicable</w:t>
      </w:r>
      <w:commentRangeEnd w:id="3"/>
      <w:r>
        <w:rPr>
          <w:rStyle w:val="CommentReference"/>
        </w:rPr>
        <w:commentReference w:id="3"/>
      </w:r>
    </w:p>
    <w:p w14:paraId="1C5489B7" w14:textId="77777777" w:rsidR="00D62F4E" w:rsidRDefault="00D62F4E" w:rsidP="00D62F4E">
      <w:pPr>
        <w:pStyle w:val="Heading2"/>
        <w:rPr>
          <w:rFonts w:eastAsia="Times New Roman"/>
        </w:rPr>
      </w:pPr>
      <w:r w:rsidRPr="006210A3">
        <w:rPr>
          <w:rFonts w:eastAsia="Times New Roman"/>
        </w:rPr>
        <w:t>Consent for publication</w:t>
      </w:r>
    </w:p>
    <w:p w14:paraId="7233E747" w14:textId="77777777" w:rsidR="00D62F4E" w:rsidRPr="00F95742" w:rsidRDefault="00D62F4E" w:rsidP="00D62F4E">
      <w:commentRangeStart w:id="4"/>
      <w:r>
        <w:t>Not applicable</w:t>
      </w:r>
      <w:commentRangeEnd w:id="4"/>
      <w:r>
        <w:rPr>
          <w:rStyle w:val="CommentReference"/>
        </w:rPr>
        <w:commentReference w:id="4"/>
      </w:r>
    </w:p>
    <w:p w14:paraId="4C3C78AB" w14:textId="77777777" w:rsidR="00D62F4E" w:rsidRPr="006210A3" w:rsidRDefault="00D62F4E" w:rsidP="00D62F4E">
      <w:pPr>
        <w:pStyle w:val="Heading2"/>
        <w:rPr>
          <w:rFonts w:eastAsia="Times New Roman"/>
        </w:rPr>
      </w:pPr>
      <w:r w:rsidRPr="006210A3">
        <w:rPr>
          <w:rFonts w:eastAsia="Times New Roman"/>
        </w:rPr>
        <w:lastRenderedPageBreak/>
        <w:t xml:space="preserve">Availability </w:t>
      </w:r>
      <w:commentRangeStart w:id="5"/>
      <w:r w:rsidRPr="006210A3">
        <w:rPr>
          <w:rFonts w:eastAsia="Times New Roman"/>
        </w:rPr>
        <w:t xml:space="preserve">of </w:t>
      </w:r>
      <w:commentRangeEnd w:id="5"/>
      <w:r>
        <w:rPr>
          <w:rStyle w:val="CommentReference"/>
          <w:rFonts w:asciiTheme="minorHAnsi" w:eastAsiaTheme="minorHAnsi" w:hAnsiTheme="minorHAnsi" w:cstheme="minorBidi"/>
          <w:color w:val="auto"/>
        </w:rPr>
        <w:commentReference w:id="5"/>
      </w:r>
      <w:r w:rsidRPr="006210A3">
        <w:rPr>
          <w:rFonts w:eastAsia="Times New Roman"/>
        </w:rPr>
        <w:t>data and materials</w:t>
      </w:r>
    </w:p>
    <w:p w14:paraId="46EE04EC" w14:textId="77777777" w:rsidR="00D62F4E" w:rsidRPr="006210A3" w:rsidRDefault="00D62F4E" w:rsidP="00D62F4E">
      <w:pPr>
        <w:pStyle w:val="Heading2"/>
        <w:rPr>
          <w:rFonts w:eastAsia="Times New Roman"/>
        </w:rPr>
      </w:pPr>
      <w:r w:rsidRPr="006210A3">
        <w:rPr>
          <w:rFonts w:eastAsia="Times New Roman"/>
        </w:rPr>
        <w:t xml:space="preserve">Competing </w:t>
      </w:r>
      <w:commentRangeStart w:id="6"/>
      <w:r w:rsidRPr="006210A3">
        <w:rPr>
          <w:rFonts w:eastAsia="Times New Roman"/>
        </w:rPr>
        <w:t>interests</w:t>
      </w:r>
      <w:commentRangeEnd w:id="6"/>
      <w:r>
        <w:rPr>
          <w:rStyle w:val="CommentReference"/>
          <w:rFonts w:asciiTheme="minorHAnsi" w:eastAsiaTheme="minorHAnsi" w:hAnsiTheme="minorHAnsi" w:cstheme="minorBidi"/>
          <w:color w:val="auto"/>
        </w:rPr>
        <w:commentReference w:id="6"/>
      </w:r>
    </w:p>
    <w:p w14:paraId="343FB28B" w14:textId="77777777" w:rsidR="00D62F4E" w:rsidRPr="006210A3" w:rsidRDefault="00D62F4E" w:rsidP="00D62F4E">
      <w:pPr>
        <w:pStyle w:val="Heading2"/>
        <w:rPr>
          <w:rFonts w:eastAsia="Times New Roman"/>
        </w:rPr>
      </w:pPr>
      <w:commentRangeStart w:id="7"/>
      <w:r w:rsidRPr="006210A3">
        <w:rPr>
          <w:rFonts w:eastAsia="Times New Roman"/>
        </w:rPr>
        <w:t>Funding</w:t>
      </w:r>
      <w:commentRangeEnd w:id="7"/>
      <w:r>
        <w:rPr>
          <w:rStyle w:val="CommentReference"/>
          <w:rFonts w:asciiTheme="minorHAnsi" w:eastAsiaTheme="minorHAnsi" w:hAnsiTheme="minorHAnsi" w:cstheme="minorBidi"/>
          <w:color w:val="auto"/>
        </w:rPr>
        <w:commentReference w:id="7"/>
      </w:r>
    </w:p>
    <w:p w14:paraId="0AB14C0D"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8"/>
      <w:r w:rsidRPr="006210A3">
        <w:rPr>
          <w:rFonts w:eastAsia="Times New Roman"/>
        </w:rPr>
        <w:t>contributions</w:t>
      </w:r>
      <w:commentRangeEnd w:id="8"/>
      <w:r>
        <w:rPr>
          <w:rStyle w:val="CommentReference"/>
          <w:rFonts w:asciiTheme="minorHAnsi" w:eastAsiaTheme="minorHAnsi" w:hAnsiTheme="minorHAnsi" w:cstheme="minorBidi"/>
          <w:color w:val="auto"/>
        </w:rPr>
        <w:commentReference w:id="8"/>
      </w:r>
    </w:p>
    <w:p w14:paraId="4EBF421F" w14:textId="77777777" w:rsidR="00D62F4E" w:rsidRPr="006210A3" w:rsidRDefault="00D62F4E" w:rsidP="00D62F4E">
      <w:pPr>
        <w:pStyle w:val="Heading2"/>
        <w:rPr>
          <w:rFonts w:eastAsia="Times New Roman"/>
        </w:rPr>
      </w:pPr>
      <w:commentRangeStart w:id="9"/>
      <w:r w:rsidRPr="006210A3">
        <w:rPr>
          <w:rFonts w:eastAsia="Times New Roman"/>
        </w:rPr>
        <w:t>Acknowledgements</w:t>
      </w:r>
      <w:commentRangeEnd w:id="9"/>
      <w:r>
        <w:rPr>
          <w:rStyle w:val="CommentReference"/>
          <w:rFonts w:asciiTheme="minorHAnsi" w:eastAsiaTheme="minorHAnsi" w:hAnsiTheme="minorHAnsi" w:cstheme="minorBidi"/>
          <w:color w:val="auto"/>
        </w:rPr>
        <w:commentReference w:id="9"/>
      </w:r>
    </w:p>
    <w:p w14:paraId="1A589055"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10"/>
      <w:r w:rsidRPr="006210A3">
        <w:rPr>
          <w:rFonts w:eastAsia="Times New Roman"/>
        </w:rPr>
        <w:t xml:space="preserve">information </w:t>
      </w:r>
      <w:commentRangeEnd w:id="10"/>
      <w:r>
        <w:rPr>
          <w:rStyle w:val="CommentReference"/>
          <w:rFonts w:asciiTheme="minorHAnsi" w:eastAsiaTheme="minorHAnsi" w:hAnsiTheme="minorHAnsi" w:cstheme="minorBidi"/>
          <w:color w:val="auto"/>
        </w:rPr>
        <w:commentReference w:id="10"/>
      </w:r>
      <w:r w:rsidRPr="006210A3">
        <w:rPr>
          <w:rFonts w:eastAsia="Times New Roman"/>
        </w:rPr>
        <w:t>(optional)</w:t>
      </w:r>
    </w:p>
    <w:p w14:paraId="52A5C406" w14:textId="77777777" w:rsidR="00D62F4E" w:rsidRDefault="00D62F4E" w:rsidP="00D62F4E"/>
    <w:p w14:paraId="3C5E0E65" w14:textId="19F6F101" w:rsidR="00D62F4E" w:rsidRDefault="00D62F4E" w:rsidP="00D62F4E">
      <w:pPr>
        <w:pStyle w:val="Heading1"/>
      </w:pPr>
      <w:r>
        <w:t>Supplementary information</w:t>
      </w:r>
    </w:p>
    <w:p w14:paraId="3188698A" w14:textId="7C0CA4D8" w:rsidR="009F1C16" w:rsidRDefault="009F1C16" w:rsidP="009F1C16">
      <w:pPr>
        <w:pStyle w:val="Heading1"/>
      </w:pPr>
      <w:r>
        <w:t>References</w:t>
      </w:r>
    </w:p>
    <w:sdt>
      <w:sdtPr>
        <w:alias w:val="SmartCite Bibliography"/>
        <w:tag w:val="Malaria Journal"/>
        <w:id w:val="-537587046"/>
        <w:placeholder>
          <w:docPart w:val="47A259522156844E85413D2378F5A6CA"/>
        </w:placeholder>
      </w:sdtPr>
      <w:sdtEndPr/>
      <w:sdtContent>
        <w:p w14:paraId="64273CD3" w14:textId="77777777" w:rsidR="003A5E85" w:rsidRPr="003A5E85" w:rsidRDefault="003A5E85">
          <w:pPr>
            <w:divId w:val="1901939383"/>
            <w:rPr>
              <w:rFonts w:ascii="Calibri" w:eastAsia="Times New Roman" w:hAnsi="Calibri" w:cs="Calibri"/>
              <w:color w:val="000000"/>
            </w:rPr>
          </w:pPr>
        </w:p>
        <w:p w14:paraId="505558B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1. Milliner J. Net Mapping Project [Internet]. 2021. Available from: https://allianceformalariaprevention.com/working-groups/net-mapping/</w:t>
          </w:r>
        </w:p>
        <w:p w14:paraId="753992E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2. </w:t>
          </w:r>
          <w:proofErr w:type="spellStart"/>
          <w:r w:rsidRPr="003A5E85">
            <w:rPr>
              <w:rFonts w:ascii="Calibri" w:hAnsi="Calibri" w:cs="Calibri"/>
              <w:color w:val="000000"/>
            </w:rPr>
            <w:t>Bertozzi</w:t>
          </w:r>
          <w:proofErr w:type="spellEnd"/>
          <w:r w:rsidRPr="003A5E85">
            <w:rPr>
              <w:rFonts w:ascii="Calibri" w:hAnsi="Calibri" w:cs="Calibri"/>
              <w:color w:val="000000"/>
            </w:rPr>
            <w:t xml:space="preserve">-Villa A, Bever CA, Koenker H, Weiss DJ, Vargas-Ruiz C, Nandi AK, et al. Maps and metrics of insecticide-treated net access, use, and nets-per-capita in Africa from 2000-2020. Nat </w:t>
          </w:r>
          <w:proofErr w:type="spellStart"/>
          <w:r w:rsidRPr="003A5E85">
            <w:rPr>
              <w:rFonts w:ascii="Calibri" w:hAnsi="Calibri" w:cs="Calibri"/>
              <w:color w:val="000000"/>
            </w:rPr>
            <w:t>Commun</w:t>
          </w:r>
          <w:proofErr w:type="spellEnd"/>
          <w:r w:rsidRPr="003A5E85">
            <w:rPr>
              <w:rFonts w:ascii="Calibri" w:hAnsi="Calibri" w:cs="Calibri"/>
              <w:color w:val="000000"/>
            </w:rPr>
            <w:t xml:space="preserve">. </w:t>
          </w:r>
          <w:proofErr w:type="gramStart"/>
          <w:r w:rsidRPr="003A5E85">
            <w:rPr>
              <w:rFonts w:ascii="Calibri" w:hAnsi="Calibri" w:cs="Calibri"/>
              <w:color w:val="000000"/>
            </w:rPr>
            <w:t>2021;12:3589</w:t>
          </w:r>
          <w:proofErr w:type="gramEnd"/>
          <w:r w:rsidRPr="003A5E85">
            <w:rPr>
              <w:rFonts w:ascii="Calibri" w:hAnsi="Calibri" w:cs="Calibri"/>
              <w:color w:val="000000"/>
            </w:rPr>
            <w:t xml:space="preserve">. </w:t>
          </w:r>
        </w:p>
        <w:p w14:paraId="3CC5EF74"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3. Bhatt S, Weiss DJ, Mappin B, Dalrymple U, Cameron E. </w:t>
          </w:r>
          <w:proofErr w:type="gramStart"/>
          <w:r w:rsidRPr="003A5E85">
            <w:rPr>
              <w:rFonts w:ascii="Calibri" w:hAnsi="Calibri" w:cs="Calibri"/>
              <w:color w:val="000000"/>
            </w:rPr>
            <w:t>Coverage</w:t>
          </w:r>
          <w:proofErr w:type="gramEnd"/>
          <w:r w:rsidRPr="003A5E85">
            <w:rPr>
              <w:rFonts w:ascii="Calibri" w:hAnsi="Calibri" w:cs="Calibri"/>
              <w:color w:val="000000"/>
            </w:rPr>
            <w:t xml:space="preserve"> and system efficiencies of insecticide-treated nets in Africa from 2000 to 2017. </w:t>
          </w:r>
          <w:proofErr w:type="spellStart"/>
          <w:r w:rsidRPr="003A5E85">
            <w:rPr>
              <w:rFonts w:ascii="Calibri" w:hAnsi="Calibri" w:cs="Calibri"/>
              <w:color w:val="000000"/>
            </w:rPr>
            <w:t>eLife</w:t>
          </w:r>
          <w:proofErr w:type="spellEnd"/>
          <w:r w:rsidRPr="003A5E85">
            <w:rPr>
              <w:rFonts w:ascii="Calibri" w:hAnsi="Calibri" w:cs="Calibri"/>
              <w:color w:val="000000"/>
            </w:rPr>
            <w:t xml:space="preserve">. </w:t>
          </w:r>
          <w:proofErr w:type="gramStart"/>
          <w:r w:rsidRPr="003A5E85">
            <w:rPr>
              <w:rFonts w:ascii="Calibri" w:hAnsi="Calibri" w:cs="Calibri"/>
              <w:color w:val="000000"/>
            </w:rPr>
            <w:t>2015;</w:t>
          </w:r>
          <w:proofErr w:type="gramEnd"/>
          <w:r w:rsidRPr="003A5E85">
            <w:rPr>
              <w:rFonts w:ascii="Calibri" w:hAnsi="Calibri" w:cs="Calibri"/>
              <w:color w:val="000000"/>
            </w:rPr>
            <w:t xml:space="preserve"> </w:t>
          </w:r>
        </w:p>
        <w:p w14:paraId="108003E5"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4. Koenker HM, </w:t>
          </w:r>
          <w:proofErr w:type="spellStart"/>
          <w:r w:rsidRPr="003A5E85">
            <w:rPr>
              <w:rFonts w:ascii="Calibri" w:hAnsi="Calibri" w:cs="Calibri"/>
              <w:color w:val="000000"/>
            </w:rPr>
            <w:t>Yukich</w:t>
          </w:r>
          <w:proofErr w:type="spellEnd"/>
          <w:r w:rsidRPr="003A5E85">
            <w:rPr>
              <w:rFonts w:ascii="Calibri" w:hAnsi="Calibri" w:cs="Calibri"/>
              <w:color w:val="000000"/>
            </w:rPr>
            <w:t xml:space="preserve"> JO, </w:t>
          </w:r>
          <w:proofErr w:type="spellStart"/>
          <w:r w:rsidRPr="003A5E85">
            <w:rPr>
              <w:rFonts w:ascii="Calibri" w:hAnsi="Calibri" w:cs="Calibri"/>
              <w:color w:val="000000"/>
            </w:rPr>
            <w:t>Mkindi</w:t>
          </w:r>
          <w:proofErr w:type="spellEnd"/>
          <w:r w:rsidRPr="003A5E85">
            <w:rPr>
              <w:rFonts w:ascii="Calibri" w:hAnsi="Calibri" w:cs="Calibri"/>
              <w:color w:val="000000"/>
            </w:rPr>
            <w:t xml:space="preserve"> A, </w:t>
          </w:r>
          <w:proofErr w:type="spellStart"/>
          <w:r w:rsidRPr="003A5E85">
            <w:rPr>
              <w:rFonts w:ascii="Calibri" w:hAnsi="Calibri" w:cs="Calibri"/>
              <w:color w:val="000000"/>
            </w:rPr>
            <w:t>Mandike</w:t>
          </w:r>
          <w:proofErr w:type="spellEnd"/>
          <w:r w:rsidRPr="003A5E85">
            <w:rPr>
              <w:rFonts w:ascii="Calibri" w:hAnsi="Calibri" w:cs="Calibri"/>
              <w:color w:val="000000"/>
            </w:rPr>
            <w:t xml:space="preserve"> R, Brown N, Kilian A, et al. </w:t>
          </w:r>
          <w:proofErr w:type="spellStart"/>
          <w:r w:rsidRPr="003A5E85">
            <w:rPr>
              <w:rFonts w:ascii="Calibri" w:hAnsi="Calibri" w:cs="Calibri"/>
              <w:color w:val="000000"/>
            </w:rPr>
            <w:t>Analysing</w:t>
          </w:r>
          <w:proofErr w:type="spellEnd"/>
          <w:r w:rsidRPr="003A5E85">
            <w:rPr>
              <w:rFonts w:ascii="Calibri" w:hAnsi="Calibri" w:cs="Calibri"/>
              <w:color w:val="000000"/>
            </w:rPr>
            <w:t xml:space="preserve"> and recommending options for maintaining universal coverage with long-lasting insecticidal nets: the case of Tanzania in 2011. Malar J [Internet]. </w:t>
          </w:r>
          <w:proofErr w:type="gramStart"/>
          <w:r w:rsidRPr="003A5E85">
            <w:rPr>
              <w:rFonts w:ascii="Calibri" w:hAnsi="Calibri" w:cs="Calibri"/>
              <w:color w:val="000000"/>
            </w:rPr>
            <w:t>2013;12:150</w:t>
          </w:r>
          <w:proofErr w:type="gramEnd"/>
          <w:r w:rsidRPr="003A5E85">
            <w:rPr>
              <w:rFonts w:ascii="Calibri" w:hAnsi="Calibri" w:cs="Calibri"/>
              <w:color w:val="000000"/>
            </w:rPr>
            <w:t>. Available from: http://malariajournal.biomedcentral.com/articles/10.1186/1475-2875-12-150</w:t>
          </w:r>
        </w:p>
        <w:p w14:paraId="4569DC8D" w14:textId="1A221800" w:rsidR="00D62F4E" w:rsidRPr="00F544EF" w:rsidRDefault="003A5E85" w:rsidP="00D62F4E">
          <w:r w:rsidRPr="003A5E85">
            <w:rPr>
              <w:rFonts w:ascii="Calibri" w:eastAsia="Times New Roman" w:hAnsi="Calibri" w:cs="Calibri"/>
              <w:color w:val="000000"/>
            </w:rPr>
            <w:t> </w:t>
          </w:r>
        </w:p>
      </w:sdtContent>
    </w:sdt>
    <w:p w14:paraId="0F05901F" w14:textId="77777777" w:rsidR="00000393" w:rsidRDefault="00000393"/>
    <w:sectPr w:rsidR="000003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Koenker | Tropical Health" w:date="2021-05-25T14:27:00Z" w:initials="HK|TH">
    <w:p w14:paraId="2C36F431" w14:textId="77777777" w:rsidR="00D62F4E" w:rsidRDefault="00D62F4E" w:rsidP="00D62F4E">
      <w:pPr>
        <w:pStyle w:val="CommentText"/>
      </w:pPr>
      <w:r>
        <w:rPr>
          <w:rStyle w:val="CommentReference"/>
        </w:rPr>
        <w:annotationRef/>
      </w:r>
      <w:r>
        <w:t>Please add relevant authors here</w:t>
      </w:r>
    </w:p>
  </w:comment>
  <w:comment w:id="3" w:author="Hannah Koenker | Tropical Health" w:date="2021-05-25T14:36:00Z" w:initials="HK|TH">
    <w:p w14:paraId="1D8D7A45" w14:textId="77777777" w:rsidR="00D62F4E" w:rsidRDefault="00D62F4E" w:rsidP="00D62F4E">
      <w:pPr>
        <w:pStyle w:val="CommentText"/>
      </w:pPr>
      <w:r>
        <w:rPr>
          <w:rStyle w:val="CommentReference"/>
        </w:rPr>
        <w:annotationRef/>
      </w:r>
      <w:r>
        <w:t>As a secondary analysis involving program data and public survey data, this paper does not involve any human subjects.</w:t>
      </w:r>
    </w:p>
  </w:comment>
  <w:comment w:id="4" w:author="Hannah Koenker | Tropical Health" w:date="2021-05-25T14:38:00Z" w:initials="HK|TH">
    <w:p w14:paraId="579870B2" w14:textId="77777777" w:rsidR="00D62F4E" w:rsidRDefault="00D62F4E" w:rsidP="00D62F4E">
      <w:pPr>
        <w:pStyle w:val="CommentText"/>
      </w:pPr>
      <w:r>
        <w:rPr>
          <w:rStyle w:val="CommentReference"/>
        </w:rPr>
        <w:annotationRef/>
      </w:r>
      <w:r>
        <w:t>Does not involve data from individuals.</w:t>
      </w:r>
    </w:p>
  </w:comment>
  <w:comment w:id="5" w:author="Hannah Koenker | Tropical Health" w:date="2021-05-25T14:39:00Z" w:initials="HK|TH">
    <w:p w14:paraId="0E284F62" w14:textId="77777777" w:rsidR="00D62F4E" w:rsidRDefault="00D62F4E" w:rsidP="00D62F4E">
      <w:pPr>
        <w:rPr>
          <w:rFonts w:ascii="Segoe UI" w:eastAsia="Times New Roman" w:hAnsi="Segoe UI" w:cs="Segoe UI"/>
          <w:color w:val="333333"/>
          <w:sz w:val="27"/>
          <w:szCs w:val="27"/>
          <w:shd w:val="clear" w:color="auto" w:fill="FFFFFF"/>
        </w:rPr>
      </w:pPr>
      <w:r>
        <w:rPr>
          <w:rStyle w:val="CommentReference"/>
        </w:rPr>
        <w:annotationRef/>
      </w:r>
      <w:r w:rsidRPr="00601516">
        <w:rPr>
          <w:rFonts w:ascii="Segoe UI" w:eastAsia="Times New Roman" w:hAnsi="Segoe UI" w:cs="Segoe UI"/>
          <w:color w:val="333333"/>
          <w:sz w:val="27"/>
          <w:szCs w:val="27"/>
          <w:shd w:val="clear" w:color="auto" w:fill="FFFFFF"/>
        </w:rPr>
        <w:t>data availability should still be stated in the manuscript along with any conditions for access.</w:t>
      </w:r>
    </w:p>
    <w:p w14:paraId="3B7A1999" w14:textId="77777777" w:rsidR="00D62F4E" w:rsidRPr="00601516" w:rsidRDefault="00D62F4E" w:rsidP="00D62F4E">
      <w:pPr>
        <w:rPr>
          <w:rFonts w:ascii="Times New Roman" w:eastAsia="Times New Roman" w:hAnsi="Times New Roman" w:cs="Times New Roman"/>
        </w:rPr>
      </w:pPr>
      <w:r>
        <w:rPr>
          <w:rFonts w:ascii="Segoe UI" w:eastAsia="Times New Roman" w:hAnsi="Segoe UI" w:cs="Segoe UI"/>
          <w:color w:val="333333"/>
          <w:sz w:val="27"/>
          <w:szCs w:val="27"/>
          <w:shd w:val="clear" w:color="auto" w:fill="FFFFFF"/>
        </w:rPr>
        <w:t xml:space="preserve">There are some suggested </w:t>
      </w:r>
      <w:proofErr w:type="gramStart"/>
      <w:r>
        <w:rPr>
          <w:rFonts w:ascii="Segoe UI" w:eastAsia="Times New Roman" w:hAnsi="Segoe UI" w:cs="Segoe UI"/>
          <w:color w:val="333333"/>
          <w:sz w:val="27"/>
          <w:szCs w:val="27"/>
          <w:shd w:val="clear" w:color="auto" w:fill="FFFFFF"/>
        </w:rPr>
        <w:t>phrasing</w:t>
      </w:r>
      <w:proofErr w:type="gramEnd"/>
      <w:r>
        <w:rPr>
          <w:rFonts w:ascii="Segoe UI" w:eastAsia="Times New Roman" w:hAnsi="Segoe UI" w:cs="Segoe UI"/>
          <w:color w:val="333333"/>
          <w:sz w:val="27"/>
          <w:szCs w:val="27"/>
          <w:shd w:val="clear" w:color="auto" w:fill="FFFFFF"/>
        </w:rPr>
        <w:t xml:space="preserve"> for various cases (data is / isn’t available).</w:t>
      </w:r>
    </w:p>
  </w:comment>
  <w:comment w:id="6" w:author="Hannah Koenker | Tropical Health" w:date="2021-05-25T14:40:00Z" w:initials="HK|TH">
    <w:p w14:paraId="5634E8DC" w14:textId="77777777" w:rsidR="00D62F4E" w:rsidRPr="00A24768" w:rsidRDefault="00D62F4E" w:rsidP="00D62F4E">
      <w:pPr>
        <w:rPr>
          <w:rFonts w:ascii="Times New Roman" w:eastAsia="Times New Roman" w:hAnsi="Times New Roman" w:cs="Times New Roman"/>
        </w:rPr>
      </w:pPr>
      <w:r>
        <w:rPr>
          <w:rStyle w:val="CommentReference"/>
        </w:rPr>
        <w:annotationRef/>
      </w:r>
      <w:r w:rsidRPr="00A24768">
        <w:rPr>
          <w:rFonts w:ascii="Segoe UI" w:eastAsia="Times New Roman" w:hAnsi="Segoe UI" w:cs="Segoe UI"/>
          <w:color w:val="333333"/>
          <w:sz w:val="27"/>
          <w:szCs w:val="27"/>
          <w:shd w:val="clear" w:color="auto" w:fill="FFFFFF"/>
        </w:rPr>
        <w:t>The authors declare that they have no competing interests</w:t>
      </w:r>
    </w:p>
    <w:p w14:paraId="46D61770" w14:textId="77777777" w:rsidR="00D62F4E" w:rsidRDefault="00D62F4E" w:rsidP="00D62F4E">
      <w:pPr>
        <w:pStyle w:val="CommentText"/>
      </w:pPr>
    </w:p>
  </w:comment>
  <w:comment w:id="7" w:author="Hannah Koenker | Tropical Health" w:date="2021-05-25T14:41:00Z" w:initials="HK|TH">
    <w:p w14:paraId="1E4E0386" w14:textId="77777777" w:rsidR="00D62F4E" w:rsidRDefault="00D62F4E" w:rsidP="00D62F4E">
      <w:pPr>
        <w:pStyle w:val="CommentText"/>
      </w:pPr>
      <w:r>
        <w:rPr>
          <w:rStyle w:val="CommentReference"/>
        </w:rPr>
        <w:annotationRef/>
      </w:r>
      <w:r>
        <w:t xml:space="preserve">Declarations of funding, </w:t>
      </w:r>
      <w:proofErr w:type="gramStart"/>
      <w:r>
        <w:t>e.g.</w:t>
      </w:r>
      <w:proofErr w:type="gramEnd"/>
      <w:r>
        <w:t xml:space="preserve"> USAID contract #XYZYZ</w:t>
      </w:r>
    </w:p>
  </w:comment>
  <w:comment w:id="8" w:author="Hannah Koenker | Tropical Health" w:date="2021-05-25T14:41:00Z" w:initials="HK|TH">
    <w:p w14:paraId="31E9EB5F" w14:textId="77777777" w:rsidR="00D62F4E" w:rsidRPr="004267C4" w:rsidRDefault="00D62F4E" w:rsidP="00D62F4E">
      <w:pPr>
        <w:rPr>
          <w:rFonts w:ascii="Times New Roman" w:eastAsia="Times New Roman" w:hAnsi="Times New Roman" w:cs="Times New Roman"/>
        </w:rPr>
      </w:pPr>
      <w:r>
        <w:rPr>
          <w:rStyle w:val="CommentReference"/>
        </w:rPr>
        <w:annotationRef/>
      </w:r>
      <w:r w:rsidRPr="004267C4">
        <w:rPr>
          <w:rFonts w:ascii="Segoe UI" w:eastAsia="Times New Roman" w:hAnsi="Segoe UI" w:cs="Segoe UI"/>
          <w:color w:val="333333"/>
          <w:sz w:val="27"/>
          <w:szCs w:val="27"/>
          <w:shd w:val="clear" w:color="auto" w:fill="FFFFFF"/>
        </w:rPr>
        <w:t>The individual contributions of authors to the manuscript should be specified in this section.</w:t>
      </w:r>
    </w:p>
    <w:p w14:paraId="75F75E1F" w14:textId="77777777" w:rsidR="00D62F4E" w:rsidRDefault="00D62F4E" w:rsidP="00D62F4E">
      <w:pPr>
        <w:pStyle w:val="CommentText"/>
      </w:pPr>
    </w:p>
  </w:comment>
  <w:comment w:id="9" w:author="Hannah Koenker | Tropical Health" w:date="2021-05-25T14:41:00Z" w:initials="HK|TH">
    <w:p w14:paraId="2DE2B776" w14:textId="77777777" w:rsidR="00D62F4E" w:rsidRPr="00FA7086" w:rsidRDefault="00D62F4E" w:rsidP="00D62F4E">
      <w:pPr>
        <w:rPr>
          <w:rFonts w:ascii="Times New Roman" w:eastAsia="Times New Roman" w:hAnsi="Times New Roman" w:cs="Times New Roman"/>
        </w:rPr>
      </w:pPr>
      <w:r>
        <w:rPr>
          <w:rStyle w:val="CommentReference"/>
        </w:rPr>
        <w:annotationRef/>
      </w:r>
      <w:r w:rsidRPr="00FA7086">
        <w:rPr>
          <w:rFonts w:ascii="Segoe UI" w:eastAsia="Times New Roman" w:hAnsi="Segoe UI" w:cs="Segoe UI"/>
          <w:color w:val="333333"/>
          <w:sz w:val="27"/>
          <w:szCs w:val="27"/>
          <w:shd w:val="clear" w:color="auto" w:fill="FFFFFF"/>
        </w:rPr>
        <w:t>Please acknowledge anyone who contributed towards the article who does not meet the criteria for authorship</w:t>
      </w:r>
    </w:p>
    <w:p w14:paraId="6DA4E86E" w14:textId="77777777" w:rsidR="00D62F4E" w:rsidRDefault="00D62F4E" w:rsidP="00D62F4E">
      <w:pPr>
        <w:pStyle w:val="CommentText"/>
      </w:pPr>
    </w:p>
  </w:comment>
  <w:comment w:id="10" w:author="Hannah Koenker | Tropical Health" w:date="2021-05-25T14:41:00Z" w:initials="HK|TH">
    <w:p w14:paraId="6A75B780" w14:textId="77777777" w:rsidR="00D62F4E" w:rsidRDefault="00D62F4E" w:rsidP="00D62F4E">
      <w:pPr>
        <w:pStyle w:val="CommentText"/>
      </w:pPr>
      <w:r>
        <w:rPr>
          <w:rStyle w:val="CommentReference"/>
        </w:rPr>
        <w:annotationRef/>
      </w:r>
      <w:proofErr w:type="gramStart"/>
      <w:r>
        <w:t>Usually</w:t>
      </w:r>
      <w:proofErr w:type="gramEnd"/>
      <w:r>
        <w:t xml:space="preserve"> affiliations go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6F431" w15:done="0"/>
  <w15:commentEx w15:paraId="1D8D7A45" w15:done="0"/>
  <w15:commentEx w15:paraId="579870B2" w15:done="0"/>
  <w15:commentEx w15:paraId="3B7A1999" w15:done="0"/>
  <w15:commentEx w15:paraId="46D61770" w15:done="0"/>
  <w15:commentEx w15:paraId="1E4E0386" w15:done="0"/>
  <w15:commentEx w15:paraId="75F75E1F" w15:done="0"/>
  <w15:commentEx w15:paraId="6DA4E86E" w15:done="0"/>
  <w15:commentEx w15:paraId="6A75B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87D4" w16cex:dateUtc="2021-05-25T18:27:00Z"/>
  <w16cex:commentExtensible w16cex:durableId="24578A08" w16cex:dateUtc="2021-05-25T18:36:00Z"/>
  <w16cex:commentExtensible w16cex:durableId="24578A68" w16cex:dateUtc="2021-05-25T18:38:00Z"/>
  <w16cex:commentExtensible w16cex:durableId="24578A9E" w16cex:dateUtc="2021-05-25T18:39:00Z"/>
  <w16cex:commentExtensible w16cex:durableId="24578AF6" w16cex:dateUtc="2021-05-25T18:40:00Z"/>
  <w16cex:commentExtensible w16cex:durableId="24578B03" w16cex:dateUtc="2021-05-25T18:41:00Z"/>
  <w16cex:commentExtensible w16cex:durableId="24578B15" w16cex:dateUtc="2021-05-25T18:41:00Z"/>
  <w16cex:commentExtensible w16cex:durableId="24578B22" w16cex:dateUtc="2021-05-25T18:41:00Z"/>
  <w16cex:commentExtensible w16cex:durableId="24578B33" w16cex:dateUtc="2021-05-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6F431" w16cid:durableId="245787D4"/>
  <w16cid:commentId w16cid:paraId="1D8D7A45" w16cid:durableId="24578A08"/>
  <w16cid:commentId w16cid:paraId="579870B2" w16cid:durableId="24578A68"/>
  <w16cid:commentId w16cid:paraId="3B7A1999" w16cid:durableId="24578A9E"/>
  <w16cid:commentId w16cid:paraId="46D61770" w16cid:durableId="24578AF6"/>
  <w16cid:commentId w16cid:paraId="1E4E0386" w16cid:durableId="24578B03"/>
  <w16cid:commentId w16cid:paraId="75F75E1F" w16cid:durableId="24578B15"/>
  <w16cid:commentId w16cid:paraId="6DA4E86E" w16cid:durableId="24578B22"/>
  <w16cid:commentId w16cid:paraId="6A75B780" w16cid:durableId="24578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7F74"/>
    <w:multiLevelType w:val="hybridMultilevel"/>
    <w:tmpl w:val="76DA0900"/>
    <w:lvl w:ilvl="0" w:tplc="32404B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F4F74"/>
    <w:multiLevelType w:val="hybridMultilevel"/>
    <w:tmpl w:val="C4F43ADA"/>
    <w:lvl w:ilvl="0" w:tplc="5282C23A">
      <w:start w:val="2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64DE3"/>
    <w:multiLevelType w:val="hybridMultilevel"/>
    <w:tmpl w:val="7CCE91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9589F"/>
    <w:multiLevelType w:val="hybridMultilevel"/>
    <w:tmpl w:val="365CF5DA"/>
    <w:lvl w:ilvl="0" w:tplc="03C28036">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oenker | Tropical Health">
    <w15:presenceInfo w15:providerId="AD" w15:userId="S::hannah@trophealth.com::54ed52ef-dfc0-4efe-aca5-14dac8019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E"/>
    <w:rsid w:val="00000393"/>
    <w:rsid w:val="00147DAC"/>
    <w:rsid w:val="001B191F"/>
    <w:rsid w:val="00260757"/>
    <w:rsid w:val="00265A72"/>
    <w:rsid w:val="002A2CA7"/>
    <w:rsid w:val="00395348"/>
    <w:rsid w:val="003A5E85"/>
    <w:rsid w:val="003D6AC3"/>
    <w:rsid w:val="003E71C8"/>
    <w:rsid w:val="0046730E"/>
    <w:rsid w:val="00482450"/>
    <w:rsid w:val="005F5E6B"/>
    <w:rsid w:val="00692B5D"/>
    <w:rsid w:val="006E1D65"/>
    <w:rsid w:val="0079431F"/>
    <w:rsid w:val="0084102F"/>
    <w:rsid w:val="009A2FEE"/>
    <w:rsid w:val="009F1C16"/>
    <w:rsid w:val="00AA437E"/>
    <w:rsid w:val="00AE3F66"/>
    <w:rsid w:val="00B37C01"/>
    <w:rsid w:val="00BB017D"/>
    <w:rsid w:val="00D02B5E"/>
    <w:rsid w:val="00D62F4E"/>
    <w:rsid w:val="00D76D83"/>
    <w:rsid w:val="00F50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E0FB97"/>
  <w15:docId w15:val="{C015141A-3A05-1742-88D8-2360F0BF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50"/>
    <w:pPr>
      <w:spacing w:after="120"/>
    </w:pPr>
  </w:style>
  <w:style w:type="paragraph" w:styleId="Heading1">
    <w:name w:val="heading 1"/>
    <w:basedOn w:val="Normal"/>
    <w:next w:val="Normal"/>
    <w:link w:val="Heading1Char"/>
    <w:uiPriority w:val="9"/>
    <w:qFormat/>
    <w:rsid w:val="00D62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F4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2F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2F4E"/>
    <w:pPr>
      <w:ind w:left="720"/>
      <w:contextualSpacing/>
    </w:pPr>
  </w:style>
  <w:style w:type="character" w:styleId="CommentReference">
    <w:name w:val="annotation reference"/>
    <w:basedOn w:val="DefaultParagraphFont"/>
    <w:uiPriority w:val="99"/>
    <w:semiHidden/>
    <w:unhideWhenUsed/>
    <w:rsid w:val="00D62F4E"/>
    <w:rPr>
      <w:sz w:val="16"/>
      <w:szCs w:val="16"/>
    </w:rPr>
  </w:style>
  <w:style w:type="paragraph" w:styleId="CommentText">
    <w:name w:val="annotation text"/>
    <w:basedOn w:val="Normal"/>
    <w:link w:val="CommentTextChar"/>
    <w:uiPriority w:val="99"/>
    <w:semiHidden/>
    <w:unhideWhenUsed/>
    <w:rsid w:val="00D62F4E"/>
    <w:rPr>
      <w:sz w:val="20"/>
      <w:szCs w:val="20"/>
    </w:rPr>
  </w:style>
  <w:style w:type="character" w:customStyle="1" w:styleId="CommentTextChar">
    <w:name w:val="Comment Text Char"/>
    <w:basedOn w:val="DefaultParagraphFont"/>
    <w:link w:val="CommentText"/>
    <w:uiPriority w:val="99"/>
    <w:semiHidden/>
    <w:rsid w:val="00D62F4E"/>
    <w:rPr>
      <w:sz w:val="20"/>
      <w:szCs w:val="20"/>
    </w:rPr>
  </w:style>
  <w:style w:type="paragraph" w:customStyle="1" w:styleId="csl-entry">
    <w:name w:val="csl-entry"/>
    <w:basedOn w:val="Normal"/>
    <w:rsid w:val="00D62F4E"/>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D62F4E"/>
    <w:pPr>
      <w:spacing w:after="200"/>
    </w:pPr>
    <w:rPr>
      <w:i/>
      <w:iCs/>
      <w:color w:val="44546A" w:themeColor="text2"/>
      <w:sz w:val="18"/>
      <w:szCs w:val="18"/>
    </w:rPr>
  </w:style>
  <w:style w:type="table" w:styleId="TableGrid">
    <w:name w:val="Table Grid"/>
    <w:basedOn w:val="TableNormal"/>
    <w:uiPriority w:val="39"/>
    <w:rsid w:val="00D62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042A"/>
    <w:rPr>
      <w:color w:val="808080"/>
    </w:rPr>
  </w:style>
  <w:style w:type="table" w:styleId="GridTable1Light-Accent2">
    <w:name w:val="Grid Table 1 Light Accent 2"/>
    <w:basedOn w:val="TableNormal"/>
    <w:uiPriority w:val="46"/>
    <w:rsid w:val="005F5E6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76">
      <w:bodyDiv w:val="1"/>
      <w:marLeft w:val="0"/>
      <w:marRight w:val="0"/>
      <w:marTop w:val="0"/>
      <w:marBottom w:val="0"/>
      <w:divBdr>
        <w:top w:val="none" w:sz="0" w:space="0" w:color="auto"/>
        <w:left w:val="none" w:sz="0" w:space="0" w:color="auto"/>
        <w:bottom w:val="none" w:sz="0" w:space="0" w:color="auto"/>
        <w:right w:val="none" w:sz="0" w:space="0" w:color="auto"/>
      </w:divBdr>
    </w:div>
    <w:div w:id="14700804">
      <w:bodyDiv w:val="1"/>
      <w:marLeft w:val="0"/>
      <w:marRight w:val="0"/>
      <w:marTop w:val="0"/>
      <w:marBottom w:val="0"/>
      <w:divBdr>
        <w:top w:val="none" w:sz="0" w:space="0" w:color="auto"/>
        <w:left w:val="none" w:sz="0" w:space="0" w:color="auto"/>
        <w:bottom w:val="none" w:sz="0" w:space="0" w:color="auto"/>
        <w:right w:val="none" w:sz="0" w:space="0" w:color="auto"/>
      </w:divBdr>
    </w:div>
    <w:div w:id="65036769">
      <w:bodyDiv w:val="1"/>
      <w:marLeft w:val="0"/>
      <w:marRight w:val="0"/>
      <w:marTop w:val="0"/>
      <w:marBottom w:val="0"/>
      <w:divBdr>
        <w:top w:val="none" w:sz="0" w:space="0" w:color="auto"/>
        <w:left w:val="none" w:sz="0" w:space="0" w:color="auto"/>
        <w:bottom w:val="none" w:sz="0" w:space="0" w:color="auto"/>
        <w:right w:val="none" w:sz="0" w:space="0" w:color="auto"/>
      </w:divBdr>
    </w:div>
    <w:div w:id="118182931">
      <w:bodyDiv w:val="1"/>
      <w:marLeft w:val="0"/>
      <w:marRight w:val="0"/>
      <w:marTop w:val="0"/>
      <w:marBottom w:val="0"/>
      <w:divBdr>
        <w:top w:val="none" w:sz="0" w:space="0" w:color="auto"/>
        <w:left w:val="none" w:sz="0" w:space="0" w:color="auto"/>
        <w:bottom w:val="none" w:sz="0" w:space="0" w:color="auto"/>
        <w:right w:val="none" w:sz="0" w:space="0" w:color="auto"/>
      </w:divBdr>
    </w:div>
    <w:div w:id="209532610">
      <w:bodyDiv w:val="1"/>
      <w:marLeft w:val="0"/>
      <w:marRight w:val="0"/>
      <w:marTop w:val="0"/>
      <w:marBottom w:val="0"/>
      <w:divBdr>
        <w:top w:val="none" w:sz="0" w:space="0" w:color="auto"/>
        <w:left w:val="none" w:sz="0" w:space="0" w:color="auto"/>
        <w:bottom w:val="none" w:sz="0" w:space="0" w:color="auto"/>
        <w:right w:val="none" w:sz="0" w:space="0" w:color="auto"/>
      </w:divBdr>
    </w:div>
    <w:div w:id="268391535">
      <w:bodyDiv w:val="1"/>
      <w:marLeft w:val="0"/>
      <w:marRight w:val="0"/>
      <w:marTop w:val="0"/>
      <w:marBottom w:val="0"/>
      <w:divBdr>
        <w:top w:val="none" w:sz="0" w:space="0" w:color="auto"/>
        <w:left w:val="none" w:sz="0" w:space="0" w:color="auto"/>
        <w:bottom w:val="none" w:sz="0" w:space="0" w:color="auto"/>
        <w:right w:val="none" w:sz="0" w:space="0" w:color="auto"/>
      </w:divBdr>
    </w:div>
    <w:div w:id="283729621">
      <w:bodyDiv w:val="1"/>
      <w:marLeft w:val="0"/>
      <w:marRight w:val="0"/>
      <w:marTop w:val="0"/>
      <w:marBottom w:val="0"/>
      <w:divBdr>
        <w:top w:val="none" w:sz="0" w:space="0" w:color="auto"/>
        <w:left w:val="none" w:sz="0" w:space="0" w:color="auto"/>
        <w:bottom w:val="none" w:sz="0" w:space="0" w:color="auto"/>
        <w:right w:val="none" w:sz="0" w:space="0" w:color="auto"/>
      </w:divBdr>
    </w:div>
    <w:div w:id="431556385">
      <w:bodyDiv w:val="1"/>
      <w:marLeft w:val="0"/>
      <w:marRight w:val="0"/>
      <w:marTop w:val="0"/>
      <w:marBottom w:val="0"/>
      <w:divBdr>
        <w:top w:val="none" w:sz="0" w:space="0" w:color="auto"/>
        <w:left w:val="none" w:sz="0" w:space="0" w:color="auto"/>
        <w:bottom w:val="none" w:sz="0" w:space="0" w:color="auto"/>
        <w:right w:val="none" w:sz="0" w:space="0" w:color="auto"/>
      </w:divBdr>
    </w:div>
    <w:div w:id="479462036">
      <w:bodyDiv w:val="1"/>
      <w:marLeft w:val="0"/>
      <w:marRight w:val="0"/>
      <w:marTop w:val="0"/>
      <w:marBottom w:val="0"/>
      <w:divBdr>
        <w:top w:val="none" w:sz="0" w:space="0" w:color="auto"/>
        <w:left w:val="none" w:sz="0" w:space="0" w:color="auto"/>
        <w:bottom w:val="none" w:sz="0" w:space="0" w:color="auto"/>
        <w:right w:val="none" w:sz="0" w:space="0" w:color="auto"/>
      </w:divBdr>
    </w:div>
    <w:div w:id="577591905">
      <w:bodyDiv w:val="1"/>
      <w:marLeft w:val="0"/>
      <w:marRight w:val="0"/>
      <w:marTop w:val="0"/>
      <w:marBottom w:val="0"/>
      <w:divBdr>
        <w:top w:val="none" w:sz="0" w:space="0" w:color="auto"/>
        <w:left w:val="none" w:sz="0" w:space="0" w:color="auto"/>
        <w:bottom w:val="none" w:sz="0" w:space="0" w:color="auto"/>
        <w:right w:val="none" w:sz="0" w:space="0" w:color="auto"/>
      </w:divBdr>
    </w:div>
    <w:div w:id="619992453">
      <w:bodyDiv w:val="1"/>
      <w:marLeft w:val="0"/>
      <w:marRight w:val="0"/>
      <w:marTop w:val="0"/>
      <w:marBottom w:val="0"/>
      <w:divBdr>
        <w:top w:val="none" w:sz="0" w:space="0" w:color="auto"/>
        <w:left w:val="none" w:sz="0" w:space="0" w:color="auto"/>
        <w:bottom w:val="none" w:sz="0" w:space="0" w:color="auto"/>
        <w:right w:val="none" w:sz="0" w:space="0" w:color="auto"/>
      </w:divBdr>
    </w:div>
    <w:div w:id="781074236">
      <w:bodyDiv w:val="1"/>
      <w:marLeft w:val="0"/>
      <w:marRight w:val="0"/>
      <w:marTop w:val="0"/>
      <w:marBottom w:val="0"/>
      <w:divBdr>
        <w:top w:val="none" w:sz="0" w:space="0" w:color="auto"/>
        <w:left w:val="none" w:sz="0" w:space="0" w:color="auto"/>
        <w:bottom w:val="none" w:sz="0" w:space="0" w:color="auto"/>
        <w:right w:val="none" w:sz="0" w:space="0" w:color="auto"/>
      </w:divBdr>
    </w:div>
    <w:div w:id="867067210">
      <w:bodyDiv w:val="1"/>
      <w:marLeft w:val="0"/>
      <w:marRight w:val="0"/>
      <w:marTop w:val="0"/>
      <w:marBottom w:val="0"/>
      <w:divBdr>
        <w:top w:val="none" w:sz="0" w:space="0" w:color="auto"/>
        <w:left w:val="none" w:sz="0" w:space="0" w:color="auto"/>
        <w:bottom w:val="none" w:sz="0" w:space="0" w:color="auto"/>
        <w:right w:val="none" w:sz="0" w:space="0" w:color="auto"/>
      </w:divBdr>
    </w:div>
    <w:div w:id="888765425">
      <w:bodyDiv w:val="1"/>
      <w:marLeft w:val="0"/>
      <w:marRight w:val="0"/>
      <w:marTop w:val="0"/>
      <w:marBottom w:val="0"/>
      <w:divBdr>
        <w:top w:val="none" w:sz="0" w:space="0" w:color="auto"/>
        <w:left w:val="none" w:sz="0" w:space="0" w:color="auto"/>
        <w:bottom w:val="none" w:sz="0" w:space="0" w:color="auto"/>
        <w:right w:val="none" w:sz="0" w:space="0" w:color="auto"/>
      </w:divBdr>
    </w:div>
    <w:div w:id="1070076195">
      <w:bodyDiv w:val="1"/>
      <w:marLeft w:val="0"/>
      <w:marRight w:val="0"/>
      <w:marTop w:val="0"/>
      <w:marBottom w:val="0"/>
      <w:divBdr>
        <w:top w:val="none" w:sz="0" w:space="0" w:color="auto"/>
        <w:left w:val="none" w:sz="0" w:space="0" w:color="auto"/>
        <w:bottom w:val="none" w:sz="0" w:space="0" w:color="auto"/>
        <w:right w:val="none" w:sz="0" w:space="0" w:color="auto"/>
      </w:divBdr>
    </w:div>
    <w:div w:id="1082337504">
      <w:bodyDiv w:val="1"/>
      <w:marLeft w:val="0"/>
      <w:marRight w:val="0"/>
      <w:marTop w:val="0"/>
      <w:marBottom w:val="0"/>
      <w:divBdr>
        <w:top w:val="none" w:sz="0" w:space="0" w:color="auto"/>
        <w:left w:val="none" w:sz="0" w:space="0" w:color="auto"/>
        <w:bottom w:val="none" w:sz="0" w:space="0" w:color="auto"/>
        <w:right w:val="none" w:sz="0" w:space="0" w:color="auto"/>
      </w:divBdr>
    </w:div>
    <w:div w:id="1087967617">
      <w:bodyDiv w:val="1"/>
      <w:marLeft w:val="0"/>
      <w:marRight w:val="0"/>
      <w:marTop w:val="0"/>
      <w:marBottom w:val="0"/>
      <w:divBdr>
        <w:top w:val="none" w:sz="0" w:space="0" w:color="auto"/>
        <w:left w:val="none" w:sz="0" w:space="0" w:color="auto"/>
        <w:bottom w:val="none" w:sz="0" w:space="0" w:color="auto"/>
        <w:right w:val="none" w:sz="0" w:space="0" w:color="auto"/>
      </w:divBdr>
    </w:div>
    <w:div w:id="1178273783">
      <w:bodyDiv w:val="1"/>
      <w:marLeft w:val="0"/>
      <w:marRight w:val="0"/>
      <w:marTop w:val="0"/>
      <w:marBottom w:val="0"/>
      <w:divBdr>
        <w:top w:val="none" w:sz="0" w:space="0" w:color="auto"/>
        <w:left w:val="none" w:sz="0" w:space="0" w:color="auto"/>
        <w:bottom w:val="none" w:sz="0" w:space="0" w:color="auto"/>
        <w:right w:val="none" w:sz="0" w:space="0" w:color="auto"/>
      </w:divBdr>
    </w:div>
    <w:div w:id="1324435263">
      <w:bodyDiv w:val="1"/>
      <w:marLeft w:val="0"/>
      <w:marRight w:val="0"/>
      <w:marTop w:val="0"/>
      <w:marBottom w:val="0"/>
      <w:divBdr>
        <w:top w:val="none" w:sz="0" w:space="0" w:color="auto"/>
        <w:left w:val="none" w:sz="0" w:space="0" w:color="auto"/>
        <w:bottom w:val="none" w:sz="0" w:space="0" w:color="auto"/>
        <w:right w:val="none" w:sz="0" w:space="0" w:color="auto"/>
      </w:divBdr>
    </w:div>
    <w:div w:id="1507751379">
      <w:bodyDiv w:val="1"/>
      <w:marLeft w:val="0"/>
      <w:marRight w:val="0"/>
      <w:marTop w:val="0"/>
      <w:marBottom w:val="0"/>
      <w:divBdr>
        <w:top w:val="none" w:sz="0" w:space="0" w:color="auto"/>
        <w:left w:val="none" w:sz="0" w:space="0" w:color="auto"/>
        <w:bottom w:val="none" w:sz="0" w:space="0" w:color="auto"/>
        <w:right w:val="none" w:sz="0" w:space="0" w:color="auto"/>
      </w:divBdr>
    </w:div>
    <w:div w:id="1901939383">
      <w:bodyDiv w:val="1"/>
      <w:marLeft w:val="0"/>
      <w:marRight w:val="0"/>
      <w:marTop w:val="0"/>
      <w:marBottom w:val="0"/>
      <w:divBdr>
        <w:top w:val="none" w:sz="0" w:space="0" w:color="auto"/>
        <w:left w:val="none" w:sz="0" w:space="0" w:color="auto"/>
        <w:bottom w:val="none" w:sz="0" w:space="0" w:color="auto"/>
        <w:right w:val="none" w:sz="0" w:space="0" w:color="auto"/>
      </w:divBdr>
    </w:div>
    <w:div w:id="1974091136">
      <w:bodyDiv w:val="1"/>
      <w:marLeft w:val="0"/>
      <w:marRight w:val="0"/>
      <w:marTop w:val="0"/>
      <w:marBottom w:val="0"/>
      <w:divBdr>
        <w:top w:val="none" w:sz="0" w:space="0" w:color="auto"/>
        <w:left w:val="none" w:sz="0" w:space="0" w:color="auto"/>
        <w:bottom w:val="none" w:sz="0" w:space="0" w:color="auto"/>
        <w:right w:val="none" w:sz="0" w:space="0" w:color="auto"/>
      </w:divBdr>
    </w:div>
    <w:div w:id="206591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259522156844E85413D2378F5A6CA"/>
        <w:category>
          <w:name w:val="General"/>
          <w:gallery w:val="placeholder"/>
        </w:category>
        <w:types>
          <w:type w:val="bbPlcHdr"/>
        </w:types>
        <w:behaviors>
          <w:behavior w:val="content"/>
        </w:behaviors>
        <w:guid w:val="{A46554D7-BF34-6344-836C-745799DF7FA4}"/>
      </w:docPartPr>
      <w:docPartBody>
        <w:p w:rsidR="00C34AFE" w:rsidRDefault="00A024F2" w:rsidP="00A024F2">
          <w:pPr>
            <w:pStyle w:val="47A259522156844E85413D2378F5A6CA"/>
          </w:pPr>
          <w:r w:rsidRPr="001F7367">
            <w:rPr>
              <w:rStyle w:val="PlaceholderText"/>
              <w:rPrChange w:id="0" w:author="Unknown" w:date="2021-09-10T10:16:00Z">
                <w:rPr/>
              </w:rPrChange>
            </w:rPr>
            <w:t>Click or tap here to enter text.</w:t>
          </w:r>
        </w:p>
      </w:docPartBody>
    </w:docPart>
    <w:docPart>
      <w:docPartPr>
        <w:name w:val="81DD8E4172020F46B4E2E493622B3DD3"/>
        <w:category>
          <w:name w:val="General"/>
          <w:gallery w:val="placeholder"/>
        </w:category>
        <w:types>
          <w:type w:val="bbPlcHdr"/>
        </w:types>
        <w:behaviors>
          <w:behavior w:val="content"/>
        </w:behaviors>
        <w:guid w:val="{7C06E9A2-BFC3-2E4E-96AC-E4DF5414DC06}"/>
      </w:docPartPr>
      <w:docPartBody>
        <w:p w:rsidR="00F16009" w:rsidRDefault="00664472" w:rsidP="00664472">
          <w:pPr>
            <w:pStyle w:val="81DD8E4172020F46B4E2E493622B3DD3"/>
          </w:pPr>
          <w:r w:rsidRPr="00D76F1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68EFD3C-2A6C-D645-A1B3-03EAF95593D3}"/>
      </w:docPartPr>
      <w:docPartBody>
        <w:p w:rsidR="00F16009" w:rsidRDefault="00664472">
          <w:r w:rsidRPr="004D3A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F2"/>
    <w:rsid w:val="00503E84"/>
    <w:rsid w:val="00664472"/>
    <w:rsid w:val="00751910"/>
    <w:rsid w:val="007B3425"/>
    <w:rsid w:val="00A024F2"/>
    <w:rsid w:val="00C34AFE"/>
    <w:rsid w:val="00F16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472"/>
    <w:rPr>
      <w:color w:val="808080"/>
    </w:rPr>
  </w:style>
  <w:style w:type="paragraph" w:customStyle="1" w:styleId="47A259522156844E85413D2378F5A6CA">
    <w:name w:val="47A259522156844E85413D2378F5A6CA"/>
    <w:rsid w:val="00A024F2"/>
  </w:style>
  <w:style w:type="paragraph" w:customStyle="1" w:styleId="81DD8E4172020F46B4E2E493622B3DD3">
    <w:name w:val="81DD8E4172020F46B4E2E493622B3DD3"/>
    <w:rsid w:val="0066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1E78AC-C2C9-9641-9555-CC0603D1DE5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3A58-E8A3-F744-8846-D0AFAFA4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Koenker | Tropical Health</dc:creator>
  <cp:keywords/>
  <dc:description/>
  <cp:lastModifiedBy>Hannah Koenker | Tropical Health</cp:lastModifiedBy>
  <cp:revision>15</cp:revision>
  <dcterms:created xsi:type="dcterms:W3CDTF">2021-11-23T20:18:00Z</dcterms:created>
  <dcterms:modified xsi:type="dcterms:W3CDTF">2021-12-03T20:55:00Z</dcterms:modified>
</cp:coreProperties>
</file>