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C3DB6"/>
    <w:p w14:paraId="6B5855D7"/>
    <w:p w14:paraId="36E21A6F"/>
    <w:p w14:paraId="1B1CDB95"/>
    <w:p w14:paraId="3D20B301"/>
    <w:p w14:paraId="2A7FF8F8">
      <w:pPr>
        <w:pStyle w:val="33"/>
      </w:pPr>
      <w:r>
        <w:drawing>
          <wp:inline distT="0" distB="0" distL="0" distR="0">
            <wp:extent cx="2240915" cy="738505"/>
            <wp:effectExtent l="0" t="0" r="6985" b="4445"/>
            <wp:docPr id="240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79"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75853" cy="750416"/>
                    </a:xfrm>
                    <a:prstGeom prst="rect">
                      <a:avLst/>
                    </a:prstGeom>
                    <a:noFill/>
                    <a:ln>
                      <a:noFill/>
                    </a:ln>
                  </pic:spPr>
                </pic:pic>
              </a:graphicData>
            </a:graphic>
          </wp:inline>
        </w:drawing>
      </w:r>
    </w:p>
    <w:p w14:paraId="0A7F0023">
      <w:pPr>
        <w:pStyle w:val="33"/>
      </w:pPr>
    </w:p>
    <w:p w14:paraId="4535017A">
      <w:pPr>
        <w:pStyle w:val="33"/>
      </w:pPr>
    </w:p>
    <w:p w14:paraId="1D867918">
      <w:pPr>
        <w:pStyle w:val="33"/>
      </w:pPr>
      <w:r>
        <w:rPr>
          <w:rFonts w:hint="eastAsia"/>
        </w:rPr>
        <w:t>非商品性采购管理制度</w:t>
      </w:r>
    </w:p>
    <w:p w14:paraId="4F326B5E">
      <w:pPr>
        <w:pStyle w:val="33"/>
        <w:jc w:val="both"/>
      </w:pPr>
    </w:p>
    <w:p w14:paraId="4AE0440B"/>
    <w:p w14:paraId="189F27ED"/>
    <w:p w14:paraId="66C49E8A"/>
    <w:tbl>
      <w:tblPr>
        <w:tblStyle w:val="13"/>
        <w:tblW w:w="5000" w:type="pct"/>
        <w:jc w:val="center"/>
        <w:tblLayout w:type="autofit"/>
        <w:tblCellMar>
          <w:top w:w="0" w:type="dxa"/>
          <w:left w:w="108" w:type="dxa"/>
          <w:bottom w:w="0" w:type="dxa"/>
          <w:right w:w="108" w:type="dxa"/>
        </w:tblCellMar>
      </w:tblPr>
      <w:tblGrid>
        <w:gridCol w:w="1994"/>
        <w:gridCol w:w="2990"/>
        <w:gridCol w:w="1994"/>
        <w:gridCol w:w="2990"/>
      </w:tblGrid>
      <w:tr w14:paraId="0B9A343C">
        <w:tblPrEx>
          <w:tblCellMar>
            <w:top w:w="0" w:type="dxa"/>
            <w:left w:w="108" w:type="dxa"/>
            <w:bottom w:w="0" w:type="dxa"/>
            <w:right w:w="108" w:type="dxa"/>
          </w:tblCellMar>
        </w:tblPrEx>
        <w:trPr>
          <w:trHeight w:val="567" w:hRule="atLeast"/>
          <w:jc w:val="center"/>
        </w:trPr>
        <w:tc>
          <w:tcPr>
            <w:tcW w:w="1000" w:type="pct"/>
            <w:tcBorders>
              <w:top w:val="nil"/>
              <w:left w:val="nil"/>
              <w:bottom w:val="nil"/>
              <w:right w:val="nil"/>
            </w:tcBorders>
            <w:vAlign w:val="center"/>
          </w:tcPr>
          <w:p w14:paraId="2002F6BE">
            <w:pPr>
              <w:pStyle w:val="22"/>
              <w:ind w:firstLine="26"/>
              <w:rPr>
                <w:sz w:val="32"/>
                <w:szCs w:val="32"/>
              </w:rPr>
            </w:pPr>
            <w:r>
              <w:rPr>
                <w:rFonts w:hint="eastAsia"/>
                <w:sz w:val="32"/>
                <w:szCs w:val="32"/>
              </w:rPr>
              <w:t>拟制</w:t>
            </w:r>
          </w:p>
        </w:tc>
        <w:tc>
          <w:tcPr>
            <w:tcW w:w="1500" w:type="pct"/>
            <w:tcBorders>
              <w:top w:val="nil"/>
              <w:left w:val="nil"/>
              <w:bottom w:val="single" w:color="auto" w:sz="6" w:space="0"/>
              <w:right w:val="nil"/>
            </w:tcBorders>
            <w:vAlign w:val="center"/>
          </w:tcPr>
          <w:p w14:paraId="2CC08C00">
            <w:pPr>
              <w:pStyle w:val="22"/>
              <w:ind w:firstLine="825" w:firstLineChars="258"/>
              <w:jc w:val="both"/>
              <w:rPr>
                <w:sz w:val="32"/>
                <w:szCs w:val="32"/>
              </w:rPr>
            </w:pPr>
          </w:p>
        </w:tc>
        <w:tc>
          <w:tcPr>
            <w:tcW w:w="1000" w:type="pct"/>
            <w:tcBorders>
              <w:top w:val="nil"/>
              <w:left w:val="nil"/>
              <w:bottom w:val="nil"/>
              <w:right w:val="nil"/>
            </w:tcBorders>
            <w:vAlign w:val="center"/>
          </w:tcPr>
          <w:p w14:paraId="71C79F95">
            <w:pPr>
              <w:pStyle w:val="22"/>
              <w:ind w:firstLine="26"/>
              <w:rPr>
                <w:sz w:val="32"/>
                <w:szCs w:val="32"/>
              </w:rPr>
            </w:pPr>
            <w:r>
              <w:rPr>
                <w:rFonts w:hint="eastAsia"/>
                <w:sz w:val="32"/>
                <w:szCs w:val="32"/>
              </w:rPr>
              <w:t>日期</w:t>
            </w:r>
          </w:p>
        </w:tc>
        <w:tc>
          <w:tcPr>
            <w:tcW w:w="1500" w:type="pct"/>
            <w:tcBorders>
              <w:top w:val="nil"/>
              <w:left w:val="nil"/>
              <w:bottom w:val="single" w:color="auto" w:sz="6" w:space="0"/>
              <w:right w:val="nil"/>
            </w:tcBorders>
            <w:vAlign w:val="center"/>
          </w:tcPr>
          <w:p w14:paraId="12421131">
            <w:pPr>
              <w:pStyle w:val="22"/>
              <w:ind w:firstLine="26"/>
              <w:rPr>
                <w:sz w:val="32"/>
                <w:szCs w:val="32"/>
              </w:rPr>
            </w:pPr>
            <w:r>
              <w:rPr>
                <w:rFonts w:hint="eastAsia"/>
                <w:sz w:val="32"/>
                <w:szCs w:val="32"/>
              </w:rPr>
              <w:t>20</w:t>
            </w:r>
            <w:r>
              <w:rPr>
                <w:sz w:val="32"/>
                <w:szCs w:val="32"/>
              </w:rPr>
              <w:t>25</w:t>
            </w:r>
            <w:r>
              <w:rPr>
                <w:rFonts w:hint="eastAsia"/>
                <w:sz w:val="32"/>
                <w:szCs w:val="32"/>
              </w:rPr>
              <w:t>年</w:t>
            </w:r>
            <w:r>
              <w:rPr>
                <w:sz w:val="32"/>
                <w:szCs w:val="32"/>
              </w:rPr>
              <w:t>11</w:t>
            </w:r>
            <w:r>
              <w:rPr>
                <w:rFonts w:hint="eastAsia"/>
                <w:sz w:val="32"/>
                <w:szCs w:val="32"/>
              </w:rPr>
              <w:t>月</w:t>
            </w:r>
            <w:r>
              <w:rPr>
                <w:sz w:val="32"/>
                <w:szCs w:val="32"/>
              </w:rPr>
              <w:t>10</w:t>
            </w:r>
            <w:r>
              <w:rPr>
                <w:rFonts w:hint="eastAsia"/>
                <w:sz w:val="32"/>
                <w:szCs w:val="32"/>
              </w:rPr>
              <w:t>日</w:t>
            </w:r>
          </w:p>
        </w:tc>
      </w:tr>
      <w:tr w14:paraId="12263A63">
        <w:tblPrEx>
          <w:tblCellMar>
            <w:top w:w="0" w:type="dxa"/>
            <w:left w:w="108" w:type="dxa"/>
            <w:bottom w:w="0" w:type="dxa"/>
            <w:right w:w="108" w:type="dxa"/>
          </w:tblCellMar>
        </w:tblPrEx>
        <w:trPr>
          <w:trHeight w:val="567" w:hRule="atLeast"/>
          <w:jc w:val="center"/>
        </w:trPr>
        <w:tc>
          <w:tcPr>
            <w:tcW w:w="1000" w:type="pct"/>
            <w:tcBorders>
              <w:top w:val="nil"/>
              <w:left w:val="nil"/>
              <w:bottom w:val="nil"/>
              <w:right w:val="nil"/>
            </w:tcBorders>
            <w:vAlign w:val="center"/>
          </w:tcPr>
          <w:p w14:paraId="35D29473">
            <w:pPr>
              <w:pStyle w:val="22"/>
              <w:ind w:firstLine="26"/>
              <w:rPr>
                <w:sz w:val="32"/>
                <w:szCs w:val="32"/>
              </w:rPr>
            </w:pPr>
          </w:p>
          <w:p w14:paraId="1448A6EE">
            <w:pPr>
              <w:pStyle w:val="22"/>
              <w:ind w:firstLine="26"/>
              <w:rPr>
                <w:sz w:val="32"/>
                <w:szCs w:val="32"/>
              </w:rPr>
            </w:pPr>
          </w:p>
          <w:p w14:paraId="6A95D186">
            <w:pPr>
              <w:pStyle w:val="22"/>
              <w:ind w:firstLine="26"/>
              <w:rPr>
                <w:sz w:val="32"/>
                <w:szCs w:val="32"/>
              </w:rPr>
            </w:pPr>
            <w:r>
              <w:rPr>
                <w:rFonts w:hint="eastAsia"/>
                <w:sz w:val="32"/>
                <w:szCs w:val="32"/>
              </w:rPr>
              <w:t>审核</w:t>
            </w:r>
          </w:p>
        </w:tc>
        <w:tc>
          <w:tcPr>
            <w:tcW w:w="1500" w:type="pct"/>
            <w:tcBorders>
              <w:top w:val="single" w:color="auto" w:sz="6" w:space="0"/>
              <w:left w:val="nil"/>
              <w:bottom w:val="single" w:color="auto" w:sz="6" w:space="0"/>
              <w:right w:val="nil"/>
            </w:tcBorders>
            <w:vAlign w:val="center"/>
          </w:tcPr>
          <w:p w14:paraId="159EBB9C">
            <w:pPr>
              <w:pStyle w:val="22"/>
              <w:ind w:firstLine="26"/>
              <w:jc w:val="both"/>
              <w:rPr>
                <w:sz w:val="32"/>
                <w:szCs w:val="32"/>
              </w:rPr>
            </w:pPr>
            <w:r>
              <w:rPr>
                <w:rFonts w:hint="eastAsia"/>
                <w:sz w:val="32"/>
                <w:szCs w:val="32"/>
              </w:rPr>
              <w:t xml:space="preserve">     </w:t>
            </w:r>
          </w:p>
          <w:p w14:paraId="1093E20A">
            <w:pPr>
              <w:pStyle w:val="22"/>
              <w:ind w:firstLine="825" w:firstLineChars="258"/>
              <w:jc w:val="both"/>
              <w:rPr>
                <w:sz w:val="32"/>
                <w:szCs w:val="32"/>
              </w:rPr>
            </w:pPr>
          </w:p>
        </w:tc>
        <w:tc>
          <w:tcPr>
            <w:tcW w:w="1000" w:type="pct"/>
            <w:tcBorders>
              <w:top w:val="nil"/>
              <w:left w:val="nil"/>
              <w:bottom w:val="nil"/>
              <w:right w:val="nil"/>
            </w:tcBorders>
            <w:vAlign w:val="center"/>
          </w:tcPr>
          <w:p w14:paraId="145363BD">
            <w:pPr>
              <w:pStyle w:val="22"/>
              <w:ind w:firstLine="26"/>
              <w:rPr>
                <w:sz w:val="32"/>
                <w:szCs w:val="32"/>
              </w:rPr>
            </w:pPr>
          </w:p>
          <w:p w14:paraId="5E2615C9">
            <w:pPr>
              <w:pStyle w:val="22"/>
              <w:ind w:firstLine="26"/>
              <w:rPr>
                <w:sz w:val="32"/>
                <w:szCs w:val="32"/>
              </w:rPr>
            </w:pPr>
            <w:r>
              <w:rPr>
                <w:rFonts w:hint="eastAsia"/>
                <w:sz w:val="32"/>
                <w:szCs w:val="32"/>
              </w:rPr>
              <w:t>日期</w:t>
            </w:r>
          </w:p>
        </w:tc>
        <w:tc>
          <w:tcPr>
            <w:tcW w:w="1500" w:type="pct"/>
            <w:tcBorders>
              <w:top w:val="single" w:color="auto" w:sz="6" w:space="0"/>
              <w:left w:val="nil"/>
              <w:bottom w:val="single" w:color="auto" w:sz="6" w:space="0"/>
              <w:right w:val="nil"/>
            </w:tcBorders>
            <w:vAlign w:val="center"/>
          </w:tcPr>
          <w:p w14:paraId="1D2EEE32">
            <w:pPr>
              <w:pStyle w:val="22"/>
              <w:ind w:firstLine="26"/>
              <w:rPr>
                <w:sz w:val="32"/>
                <w:szCs w:val="32"/>
              </w:rPr>
            </w:pPr>
          </w:p>
          <w:p w14:paraId="761EAED6">
            <w:pPr>
              <w:pStyle w:val="22"/>
              <w:ind w:firstLine="26"/>
              <w:rPr>
                <w:sz w:val="32"/>
                <w:szCs w:val="32"/>
              </w:rPr>
            </w:pPr>
          </w:p>
        </w:tc>
      </w:tr>
      <w:tr w14:paraId="465BFFA2">
        <w:tblPrEx>
          <w:tblCellMar>
            <w:top w:w="0" w:type="dxa"/>
            <w:left w:w="108" w:type="dxa"/>
            <w:bottom w:w="0" w:type="dxa"/>
            <w:right w:w="108" w:type="dxa"/>
          </w:tblCellMar>
        </w:tblPrEx>
        <w:trPr>
          <w:trHeight w:val="567" w:hRule="atLeast"/>
          <w:jc w:val="center"/>
        </w:trPr>
        <w:tc>
          <w:tcPr>
            <w:tcW w:w="1000" w:type="pct"/>
            <w:tcBorders>
              <w:top w:val="nil"/>
              <w:left w:val="nil"/>
              <w:bottom w:val="nil"/>
              <w:right w:val="nil"/>
            </w:tcBorders>
            <w:vAlign w:val="center"/>
          </w:tcPr>
          <w:p w14:paraId="5F9A9824">
            <w:pPr>
              <w:pStyle w:val="22"/>
              <w:ind w:firstLine="26"/>
              <w:rPr>
                <w:sz w:val="32"/>
                <w:szCs w:val="32"/>
              </w:rPr>
            </w:pPr>
          </w:p>
          <w:p w14:paraId="782E6100">
            <w:pPr>
              <w:pStyle w:val="22"/>
              <w:ind w:firstLine="26"/>
              <w:rPr>
                <w:sz w:val="32"/>
                <w:szCs w:val="32"/>
              </w:rPr>
            </w:pPr>
          </w:p>
          <w:p w14:paraId="48CB956A">
            <w:pPr>
              <w:pStyle w:val="22"/>
              <w:ind w:firstLine="26"/>
              <w:rPr>
                <w:sz w:val="32"/>
                <w:szCs w:val="32"/>
              </w:rPr>
            </w:pPr>
            <w:r>
              <w:rPr>
                <w:rFonts w:hint="eastAsia"/>
                <w:sz w:val="32"/>
                <w:szCs w:val="32"/>
              </w:rPr>
              <w:t>批准</w:t>
            </w:r>
          </w:p>
        </w:tc>
        <w:tc>
          <w:tcPr>
            <w:tcW w:w="1500" w:type="pct"/>
            <w:tcBorders>
              <w:top w:val="single" w:color="auto" w:sz="6" w:space="0"/>
              <w:left w:val="nil"/>
              <w:bottom w:val="single" w:color="auto" w:sz="6" w:space="0"/>
              <w:right w:val="nil"/>
            </w:tcBorders>
            <w:vAlign w:val="center"/>
          </w:tcPr>
          <w:p w14:paraId="0936926E">
            <w:pPr>
              <w:pStyle w:val="22"/>
              <w:ind w:firstLine="26"/>
              <w:jc w:val="both"/>
              <w:rPr>
                <w:sz w:val="32"/>
                <w:szCs w:val="32"/>
              </w:rPr>
            </w:pPr>
            <w:r>
              <w:rPr>
                <w:rFonts w:hint="eastAsia"/>
                <w:sz w:val="32"/>
                <w:szCs w:val="32"/>
              </w:rPr>
              <w:t xml:space="preserve">    </w:t>
            </w:r>
          </w:p>
          <w:p w14:paraId="452FD268">
            <w:pPr>
              <w:pStyle w:val="22"/>
              <w:ind w:firstLine="825" w:firstLineChars="258"/>
              <w:jc w:val="both"/>
              <w:rPr>
                <w:sz w:val="32"/>
                <w:szCs w:val="32"/>
              </w:rPr>
            </w:pPr>
          </w:p>
        </w:tc>
        <w:tc>
          <w:tcPr>
            <w:tcW w:w="1000" w:type="pct"/>
            <w:tcBorders>
              <w:top w:val="nil"/>
              <w:left w:val="nil"/>
              <w:bottom w:val="nil"/>
              <w:right w:val="nil"/>
            </w:tcBorders>
            <w:vAlign w:val="center"/>
          </w:tcPr>
          <w:p w14:paraId="56A7C3E2">
            <w:pPr>
              <w:pStyle w:val="22"/>
              <w:ind w:firstLine="26"/>
              <w:rPr>
                <w:sz w:val="32"/>
                <w:szCs w:val="32"/>
              </w:rPr>
            </w:pPr>
          </w:p>
          <w:p w14:paraId="7D12A8B6">
            <w:pPr>
              <w:pStyle w:val="22"/>
              <w:ind w:firstLine="26"/>
              <w:rPr>
                <w:sz w:val="32"/>
                <w:szCs w:val="32"/>
              </w:rPr>
            </w:pPr>
            <w:r>
              <w:rPr>
                <w:rFonts w:hint="eastAsia"/>
                <w:sz w:val="32"/>
                <w:szCs w:val="32"/>
              </w:rPr>
              <w:t>日期</w:t>
            </w:r>
          </w:p>
        </w:tc>
        <w:tc>
          <w:tcPr>
            <w:tcW w:w="1500" w:type="pct"/>
            <w:tcBorders>
              <w:top w:val="single" w:color="auto" w:sz="6" w:space="0"/>
              <w:left w:val="nil"/>
              <w:bottom w:val="single" w:color="auto" w:sz="6" w:space="0"/>
              <w:right w:val="nil"/>
            </w:tcBorders>
            <w:vAlign w:val="center"/>
          </w:tcPr>
          <w:p w14:paraId="69E37B0F">
            <w:pPr>
              <w:pStyle w:val="22"/>
              <w:ind w:firstLine="26"/>
              <w:rPr>
                <w:sz w:val="32"/>
                <w:szCs w:val="32"/>
              </w:rPr>
            </w:pPr>
          </w:p>
          <w:p w14:paraId="4FDF58BC">
            <w:pPr>
              <w:pStyle w:val="22"/>
              <w:ind w:firstLine="26"/>
              <w:rPr>
                <w:sz w:val="32"/>
                <w:szCs w:val="32"/>
              </w:rPr>
            </w:pPr>
          </w:p>
        </w:tc>
      </w:tr>
    </w:tbl>
    <w:p w14:paraId="526AD3CD">
      <w:pPr>
        <w:rPr>
          <w:sz w:val="32"/>
          <w:szCs w:val="32"/>
        </w:rPr>
      </w:pPr>
    </w:p>
    <w:p w14:paraId="674C332A">
      <w:pPr>
        <w:rPr>
          <w:sz w:val="32"/>
          <w:szCs w:val="32"/>
        </w:rPr>
      </w:pPr>
    </w:p>
    <w:p w14:paraId="3096CD74">
      <w:pPr>
        <w:rPr>
          <w:sz w:val="32"/>
          <w:szCs w:val="32"/>
        </w:rPr>
      </w:pPr>
    </w:p>
    <w:p w14:paraId="7153CE56">
      <w:pPr>
        <w:rPr>
          <w:sz w:val="32"/>
          <w:szCs w:val="32"/>
        </w:rPr>
      </w:pPr>
    </w:p>
    <w:p w14:paraId="531C2C9F"/>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3351"/>
        <w:gridCol w:w="582"/>
        <w:gridCol w:w="850"/>
        <w:gridCol w:w="3544"/>
      </w:tblGrid>
      <w:tr w14:paraId="4C7C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7AE8BFA0">
            <w:pPr>
              <w:rPr>
                <w:rFonts w:ascii="宋体" w:hAnsi="宋体" w:eastAsia="宋体"/>
                <w:highlight w:val="yellow"/>
              </w:rPr>
            </w:pPr>
            <w:r>
              <w:rPr>
                <w:rFonts w:hint="eastAsia" w:ascii="宋体" w:hAnsi="宋体" w:eastAsia="宋体"/>
              </w:rPr>
              <w:t>文件名称</w:t>
            </w:r>
          </w:p>
        </w:tc>
        <w:tc>
          <w:tcPr>
            <w:tcW w:w="8327" w:type="dxa"/>
            <w:gridSpan w:val="4"/>
          </w:tcPr>
          <w:p w14:paraId="4E0C6498">
            <w:pPr>
              <w:rPr>
                <w:rFonts w:ascii="宋体" w:hAnsi="宋体" w:eastAsia="宋体"/>
              </w:rPr>
            </w:pPr>
            <w:r>
              <w:rPr>
                <w:rFonts w:hint="eastAsia" w:ascii="宋体" w:hAnsi="宋体" w:eastAsia="宋体"/>
              </w:rPr>
              <w:t>非商品性采购管理制度</w:t>
            </w:r>
          </w:p>
        </w:tc>
      </w:tr>
      <w:tr w14:paraId="665D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4CCAF739">
            <w:pPr>
              <w:rPr>
                <w:rFonts w:ascii="宋体" w:hAnsi="宋体" w:eastAsia="宋体"/>
              </w:rPr>
            </w:pPr>
            <w:r>
              <w:rPr>
                <w:rFonts w:hint="eastAsia" w:ascii="宋体" w:hAnsi="宋体" w:eastAsia="宋体"/>
              </w:rPr>
              <w:t>版本</w:t>
            </w:r>
          </w:p>
        </w:tc>
        <w:tc>
          <w:tcPr>
            <w:tcW w:w="3351" w:type="dxa"/>
          </w:tcPr>
          <w:p w14:paraId="217B11E9">
            <w:pPr>
              <w:rPr>
                <w:rFonts w:ascii="宋体" w:hAnsi="宋体" w:eastAsia="宋体"/>
              </w:rPr>
            </w:pPr>
          </w:p>
        </w:tc>
        <w:tc>
          <w:tcPr>
            <w:tcW w:w="1432" w:type="dxa"/>
            <w:gridSpan w:val="2"/>
          </w:tcPr>
          <w:p w14:paraId="096AE712">
            <w:pPr>
              <w:rPr>
                <w:rFonts w:ascii="宋体" w:hAnsi="宋体" w:eastAsia="宋体"/>
              </w:rPr>
            </w:pPr>
            <w:r>
              <w:rPr>
                <w:rFonts w:hint="eastAsia" w:ascii="宋体" w:hAnsi="宋体" w:eastAsia="宋体"/>
              </w:rPr>
              <w:t>生效日期</w:t>
            </w:r>
          </w:p>
        </w:tc>
        <w:tc>
          <w:tcPr>
            <w:tcW w:w="3544" w:type="dxa"/>
          </w:tcPr>
          <w:p w14:paraId="652F65B1">
            <w:pPr>
              <w:rPr>
                <w:rFonts w:ascii="宋体" w:hAnsi="宋体" w:eastAsia="宋体"/>
              </w:rPr>
            </w:pPr>
          </w:p>
        </w:tc>
      </w:tr>
      <w:tr w14:paraId="78B8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20B146D7">
            <w:pPr>
              <w:rPr>
                <w:rFonts w:ascii="宋体" w:hAnsi="宋体" w:eastAsia="宋体"/>
              </w:rPr>
            </w:pPr>
            <w:r>
              <w:rPr>
                <w:rFonts w:hint="eastAsia" w:ascii="宋体" w:hAnsi="宋体" w:eastAsia="宋体"/>
              </w:rPr>
              <w:t>文件编码</w:t>
            </w:r>
          </w:p>
        </w:tc>
        <w:tc>
          <w:tcPr>
            <w:tcW w:w="3351" w:type="dxa"/>
          </w:tcPr>
          <w:p w14:paraId="4BF768A4">
            <w:pPr>
              <w:rPr>
                <w:rFonts w:ascii="宋体" w:hAnsi="宋体" w:eastAsia="宋体"/>
              </w:rPr>
            </w:pPr>
          </w:p>
        </w:tc>
        <w:tc>
          <w:tcPr>
            <w:tcW w:w="1432" w:type="dxa"/>
            <w:gridSpan w:val="2"/>
          </w:tcPr>
          <w:p w14:paraId="6D7640CE">
            <w:pPr>
              <w:rPr>
                <w:rFonts w:ascii="宋体" w:hAnsi="宋体" w:eastAsia="宋体"/>
              </w:rPr>
            </w:pPr>
            <w:r>
              <w:rPr>
                <w:rFonts w:hint="eastAsia" w:ascii="宋体" w:hAnsi="宋体" w:eastAsia="宋体"/>
              </w:rPr>
              <w:t>失效日期</w:t>
            </w:r>
          </w:p>
        </w:tc>
        <w:tc>
          <w:tcPr>
            <w:tcW w:w="3544" w:type="dxa"/>
          </w:tcPr>
          <w:p w14:paraId="6CA107E2">
            <w:pPr>
              <w:rPr>
                <w:rFonts w:ascii="宋体" w:hAnsi="宋体" w:eastAsia="宋体"/>
              </w:rPr>
            </w:pPr>
          </w:p>
        </w:tc>
      </w:tr>
      <w:tr w14:paraId="4603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53BE3D53">
            <w:pPr>
              <w:rPr>
                <w:rFonts w:ascii="宋体" w:hAnsi="宋体" w:eastAsia="宋体"/>
              </w:rPr>
            </w:pPr>
            <w:r>
              <w:rPr>
                <w:rFonts w:hint="eastAsia" w:ascii="宋体" w:hAnsi="宋体" w:eastAsia="宋体"/>
              </w:rPr>
              <w:t>拟制人</w:t>
            </w:r>
          </w:p>
        </w:tc>
        <w:tc>
          <w:tcPr>
            <w:tcW w:w="3351" w:type="dxa"/>
          </w:tcPr>
          <w:p w14:paraId="44438BDE">
            <w:pPr>
              <w:rPr>
                <w:rFonts w:ascii="宋体" w:hAnsi="宋体" w:eastAsia="宋体"/>
              </w:rPr>
            </w:pPr>
          </w:p>
        </w:tc>
        <w:tc>
          <w:tcPr>
            <w:tcW w:w="582" w:type="dxa"/>
            <w:vMerge w:val="restart"/>
            <w:textDirection w:val="tbRlV"/>
          </w:tcPr>
          <w:p w14:paraId="6E59A102">
            <w:pPr>
              <w:ind w:left="113" w:right="113"/>
              <w:rPr>
                <w:rFonts w:ascii="宋体" w:hAnsi="宋体" w:eastAsia="宋体"/>
              </w:rPr>
            </w:pPr>
            <w:r>
              <w:rPr>
                <w:rFonts w:hint="eastAsia" w:ascii="宋体" w:hAnsi="宋体" w:eastAsia="宋体"/>
              </w:rPr>
              <w:t>流程架构</w:t>
            </w:r>
          </w:p>
        </w:tc>
        <w:tc>
          <w:tcPr>
            <w:tcW w:w="850" w:type="dxa"/>
          </w:tcPr>
          <w:p w14:paraId="7F82B000">
            <w:pPr>
              <w:rPr>
                <w:rFonts w:ascii="宋体" w:hAnsi="宋体" w:eastAsia="宋体"/>
              </w:rPr>
            </w:pPr>
            <w:r>
              <w:rPr>
                <w:rFonts w:hint="eastAsia" w:ascii="宋体" w:hAnsi="宋体" w:eastAsia="宋体"/>
              </w:rPr>
              <w:t>L1</w:t>
            </w:r>
          </w:p>
        </w:tc>
        <w:tc>
          <w:tcPr>
            <w:tcW w:w="3544" w:type="dxa"/>
          </w:tcPr>
          <w:p w14:paraId="53A6EDF4">
            <w:pPr>
              <w:rPr>
                <w:rFonts w:ascii="宋体" w:hAnsi="宋体" w:eastAsia="宋体"/>
              </w:rPr>
            </w:pPr>
          </w:p>
        </w:tc>
      </w:tr>
      <w:tr w14:paraId="5800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11CC00DB">
            <w:pPr>
              <w:rPr>
                <w:rFonts w:ascii="宋体" w:hAnsi="宋体" w:eastAsia="宋体"/>
              </w:rPr>
            </w:pPr>
            <w:r>
              <w:rPr>
                <w:rFonts w:hint="eastAsia" w:ascii="宋体" w:hAnsi="宋体" w:eastAsia="宋体"/>
              </w:rPr>
              <w:t>审核人</w:t>
            </w:r>
          </w:p>
        </w:tc>
        <w:tc>
          <w:tcPr>
            <w:tcW w:w="3351" w:type="dxa"/>
          </w:tcPr>
          <w:p w14:paraId="5A49906C">
            <w:pPr>
              <w:rPr>
                <w:rFonts w:ascii="宋体" w:hAnsi="宋体" w:eastAsia="宋体"/>
              </w:rPr>
            </w:pPr>
          </w:p>
        </w:tc>
        <w:tc>
          <w:tcPr>
            <w:tcW w:w="582" w:type="dxa"/>
            <w:vMerge w:val="continue"/>
          </w:tcPr>
          <w:p w14:paraId="53366848">
            <w:pPr>
              <w:rPr>
                <w:rFonts w:ascii="宋体" w:hAnsi="宋体" w:eastAsia="宋体"/>
              </w:rPr>
            </w:pPr>
          </w:p>
        </w:tc>
        <w:tc>
          <w:tcPr>
            <w:tcW w:w="850" w:type="dxa"/>
          </w:tcPr>
          <w:p w14:paraId="694B8552">
            <w:pPr>
              <w:rPr>
                <w:rFonts w:ascii="宋体" w:hAnsi="宋体" w:eastAsia="宋体"/>
              </w:rPr>
            </w:pPr>
            <w:r>
              <w:rPr>
                <w:rFonts w:hint="eastAsia" w:ascii="宋体" w:hAnsi="宋体" w:eastAsia="宋体"/>
              </w:rPr>
              <w:t>L2</w:t>
            </w:r>
          </w:p>
        </w:tc>
        <w:tc>
          <w:tcPr>
            <w:tcW w:w="3544" w:type="dxa"/>
          </w:tcPr>
          <w:p w14:paraId="11467B99">
            <w:pPr>
              <w:rPr>
                <w:rFonts w:ascii="宋体" w:hAnsi="宋体" w:eastAsia="宋体"/>
              </w:rPr>
            </w:pPr>
          </w:p>
        </w:tc>
      </w:tr>
      <w:tr w14:paraId="60EA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22F4741E">
            <w:pPr>
              <w:rPr>
                <w:rFonts w:ascii="宋体" w:hAnsi="宋体" w:eastAsia="宋体"/>
              </w:rPr>
            </w:pPr>
            <w:r>
              <w:rPr>
                <w:rFonts w:hint="eastAsia" w:ascii="宋体" w:hAnsi="宋体" w:eastAsia="宋体"/>
              </w:rPr>
              <w:t>批准人</w:t>
            </w:r>
          </w:p>
        </w:tc>
        <w:tc>
          <w:tcPr>
            <w:tcW w:w="3351" w:type="dxa"/>
          </w:tcPr>
          <w:p w14:paraId="17176D9B">
            <w:pPr>
              <w:rPr>
                <w:rFonts w:ascii="宋体" w:hAnsi="宋体" w:eastAsia="宋体"/>
              </w:rPr>
            </w:pPr>
          </w:p>
        </w:tc>
        <w:tc>
          <w:tcPr>
            <w:tcW w:w="582" w:type="dxa"/>
            <w:vMerge w:val="continue"/>
          </w:tcPr>
          <w:p w14:paraId="78D48A74">
            <w:pPr>
              <w:rPr>
                <w:rFonts w:ascii="宋体" w:hAnsi="宋体" w:eastAsia="宋体"/>
              </w:rPr>
            </w:pPr>
          </w:p>
        </w:tc>
        <w:tc>
          <w:tcPr>
            <w:tcW w:w="850" w:type="dxa"/>
          </w:tcPr>
          <w:p w14:paraId="0CD0785C">
            <w:pPr>
              <w:rPr>
                <w:rFonts w:ascii="宋体" w:hAnsi="宋体" w:eastAsia="宋体"/>
              </w:rPr>
            </w:pPr>
            <w:r>
              <w:rPr>
                <w:rFonts w:hint="eastAsia" w:ascii="宋体" w:hAnsi="宋体" w:eastAsia="宋体"/>
              </w:rPr>
              <w:t>L3</w:t>
            </w:r>
          </w:p>
        </w:tc>
        <w:tc>
          <w:tcPr>
            <w:tcW w:w="3544" w:type="dxa"/>
          </w:tcPr>
          <w:p w14:paraId="34A60A69">
            <w:pPr>
              <w:rPr>
                <w:rFonts w:ascii="宋体" w:hAnsi="宋体" w:eastAsia="宋体"/>
              </w:rPr>
            </w:pPr>
          </w:p>
        </w:tc>
      </w:tr>
      <w:tr w14:paraId="2876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10C0DAC5">
            <w:pPr>
              <w:rPr>
                <w:rFonts w:ascii="宋体" w:hAnsi="宋体" w:eastAsia="宋体"/>
              </w:rPr>
            </w:pPr>
            <w:r>
              <w:rPr>
                <w:rFonts w:hint="eastAsia" w:ascii="宋体" w:hAnsi="宋体" w:eastAsia="宋体"/>
              </w:rPr>
              <w:t>流程Owner</w:t>
            </w:r>
          </w:p>
        </w:tc>
        <w:tc>
          <w:tcPr>
            <w:tcW w:w="3351" w:type="dxa"/>
          </w:tcPr>
          <w:p w14:paraId="519577B4">
            <w:pPr>
              <w:rPr>
                <w:rFonts w:ascii="宋体" w:hAnsi="宋体" w:eastAsia="宋体"/>
              </w:rPr>
            </w:pPr>
          </w:p>
        </w:tc>
        <w:tc>
          <w:tcPr>
            <w:tcW w:w="582" w:type="dxa"/>
            <w:vMerge w:val="continue"/>
          </w:tcPr>
          <w:p w14:paraId="6E1E20CF">
            <w:pPr>
              <w:rPr>
                <w:rFonts w:ascii="宋体" w:hAnsi="宋体" w:eastAsia="宋体"/>
              </w:rPr>
            </w:pPr>
          </w:p>
        </w:tc>
        <w:tc>
          <w:tcPr>
            <w:tcW w:w="850" w:type="dxa"/>
          </w:tcPr>
          <w:p w14:paraId="14DD9F09">
            <w:pPr>
              <w:rPr>
                <w:rFonts w:ascii="宋体" w:hAnsi="宋体" w:eastAsia="宋体"/>
              </w:rPr>
            </w:pPr>
            <w:r>
              <w:rPr>
                <w:rFonts w:hint="eastAsia" w:ascii="宋体" w:hAnsi="宋体" w:eastAsia="宋体"/>
              </w:rPr>
              <w:t>L4</w:t>
            </w:r>
          </w:p>
        </w:tc>
        <w:tc>
          <w:tcPr>
            <w:tcW w:w="3544" w:type="dxa"/>
          </w:tcPr>
          <w:p w14:paraId="152ADD3C">
            <w:pPr>
              <w:rPr>
                <w:rFonts w:ascii="宋体" w:hAnsi="宋体" w:eastAsia="宋体"/>
              </w:rPr>
            </w:pPr>
          </w:p>
        </w:tc>
      </w:tr>
      <w:tr w14:paraId="0A55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53D52128">
            <w:pPr>
              <w:rPr>
                <w:rFonts w:ascii="宋体" w:hAnsi="宋体" w:eastAsia="宋体"/>
              </w:rPr>
            </w:pPr>
            <w:r>
              <w:rPr>
                <w:rFonts w:hint="eastAsia" w:ascii="宋体" w:hAnsi="宋体" w:eastAsia="宋体"/>
              </w:rPr>
              <w:t>适用范围</w:t>
            </w:r>
          </w:p>
        </w:tc>
        <w:tc>
          <w:tcPr>
            <w:tcW w:w="8327" w:type="dxa"/>
            <w:gridSpan w:val="4"/>
          </w:tcPr>
          <w:p w14:paraId="3265E6D4">
            <w:pPr>
              <w:rPr>
                <w:rFonts w:ascii="宋体" w:hAnsi="宋体" w:eastAsia="宋体"/>
              </w:rPr>
            </w:pPr>
          </w:p>
        </w:tc>
      </w:tr>
    </w:tbl>
    <w:p w14:paraId="329E9DB4">
      <w:pPr>
        <w:spacing w:line="360" w:lineRule="auto"/>
        <w:rPr>
          <w:rFonts w:ascii="宋体" w:hAnsi="宋体" w:eastAsia="宋体"/>
          <w:b/>
          <w:sz w:val="24"/>
          <w:szCs w:val="24"/>
        </w:rPr>
      </w:pPr>
      <w:r>
        <w:rPr>
          <w:rFonts w:hint="eastAsia" w:ascii="宋体" w:hAnsi="宋体" w:eastAsia="宋体"/>
          <w:b/>
          <w:sz w:val="24"/>
          <w:szCs w:val="24"/>
        </w:rPr>
        <w:t>1.目的</w:t>
      </w:r>
    </w:p>
    <w:p w14:paraId="15D9D32C">
      <w:pPr>
        <w:spacing w:line="360" w:lineRule="auto"/>
        <w:ind w:left="210" w:leftChars="100"/>
        <w:rPr>
          <w:rFonts w:ascii="宋体" w:hAnsi="宋体" w:eastAsia="宋体"/>
        </w:rPr>
      </w:pPr>
      <w:r>
        <w:rPr>
          <w:rFonts w:hint="eastAsia" w:ascii="宋体" w:hAnsi="宋体" w:eastAsia="宋体"/>
        </w:rPr>
        <w:t>为规范集团非商品性采购行为，明确采购流程、职责与权限，提高采购效率，提升工作效率，精准、高效服务于各需求部门，控制采购成本，防范采购风险，确保集团运营所需的非商品性物料及服务的及时、合规、高效获取，特制定本制度。</w:t>
      </w:r>
    </w:p>
    <w:p w14:paraId="58F932A8">
      <w:pPr>
        <w:spacing w:line="360" w:lineRule="auto"/>
        <w:rPr>
          <w:rFonts w:ascii="宋体" w:hAnsi="宋体" w:eastAsia="宋体"/>
          <w:b/>
          <w:sz w:val="24"/>
          <w:szCs w:val="24"/>
        </w:rPr>
      </w:pPr>
      <w:r>
        <w:rPr>
          <w:rFonts w:hint="eastAsia" w:ascii="宋体" w:hAnsi="宋体" w:eastAsia="宋体"/>
          <w:b/>
          <w:sz w:val="24"/>
          <w:szCs w:val="24"/>
        </w:rPr>
        <w:t>2.概述</w:t>
      </w:r>
    </w:p>
    <w:p w14:paraId="1EBB892E">
      <w:pPr>
        <w:spacing w:line="360" w:lineRule="auto"/>
        <w:ind w:left="210" w:leftChars="100"/>
        <w:rPr>
          <w:rFonts w:ascii="宋体" w:hAnsi="宋体" w:eastAsia="宋体"/>
        </w:rPr>
      </w:pPr>
      <w:r>
        <w:rPr>
          <w:rFonts w:hint="eastAsia" w:ascii="宋体" w:hAnsi="宋体" w:eastAsia="宋体"/>
        </w:rPr>
        <w:t>本制度涵盖了非商品性采购的全部管理流程，严格遵循“需求/计划、订单/合同、验收/入库、结算”三分离的管控原则。内容包括但不限于：采购组织与职责、采购基本原则、采购需求与计划、寻源与供应商选择、采购执行（订单/合同）、验收交付、付款结算、供应商管理以及采购审计与合规。</w:t>
      </w:r>
    </w:p>
    <w:p w14:paraId="21F2EB68">
      <w:pPr>
        <w:spacing w:line="360" w:lineRule="auto"/>
        <w:rPr>
          <w:rFonts w:ascii="宋体" w:hAnsi="宋体" w:eastAsia="宋体"/>
          <w:b/>
          <w:sz w:val="24"/>
          <w:szCs w:val="24"/>
        </w:rPr>
      </w:pPr>
      <w:r>
        <w:rPr>
          <w:rFonts w:hint="eastAsia" w:ascii="宋体" w:hAnsi="宋体" w:eastAsia="宋体"/>
          <w:b/>
          <w:sz w:val="24"/>
          <w:szCs w:val="24"/>
        </w:rPr>
        <w:t>3.术语</w:t>
      </w:r>
    </w:p>
    <w:tbl>
      <w:tblPr>
        <w:tblStyle w:val="14"/>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7512"/>
      </w:tblGrid>
      <w:tr w14:paraId="05A3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5" w:type="dxa"/>
          </w:tcPr>
          <w:p w14:paraId="7F3DB4C4">
            <w:pPr>
              <w:spacing w:line="360" w:lineRule="auto"/>
              <w:rPr>
                <w:rFonts w:ascii="宋体" w:hAnsi="宋体" w:eastAsia="宋体"/>
              </w:rPr>
            </w:pPr>
            <w:r>
              <w:rPr>
                <w:rFonts w:hint="eastAsia" w:ascii="宋体" w:hAnsi="宋体" w:eastAsia="宋体"/>
              </w:rPr>
              <w:t>名称</w:t>
            </w:r>
          </w:p>
        </w:tc>
        <w:tc>
          <w:tcPr>
            <w:tcW w:w="7512" w:type="dxa"/>
          </w:tcPr>
          <w:p w14:paraId="7D4CC80C">
            <w:pPr>
              <w:spacing w:line="360" w:lineRule="auto"/>
              <w:ind w:firstLine="210" w:firstLineChars="100"/>
              <w:rPr>
                <w:rFonts w:ascii="宋体" w:hAnsi="宋体" w:eastAsia="宋体"/>
              </w:rPr>
            </w:pPr>
            <w:r>
              <w:rPr>
                <w:rFonts w:hint="eastAsia" w:ascii="宋体" w:hAnsi="宋体" w:eastAsia="宋体"/>
              </w:rPr>
              <w:t>定义</w:t>
            </w:r>
          </w:p>
        </w:tc>
      </w:tr>
      <w:tr w14:paraId="3C25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6B0646B2">
            <w:pPr>
              <w:spacing w:line="360" w:lineRule="auto"/>
              <w:rPr>
                <w:rFonts w:asciiTheme="minorEastAsia" w:hAnsiTheme="minorEastAsia"/>
              </w:rPr>
            </w:pPr>
            <w:r>
              <w:rPr>
                <w:rFonts w:cs="Google Sans Text" w:asciiTheme="minorEastAsia" w:hAnsiTheme="minorEastAsia"/>
                <w:color w:val="1B1C1D"/>
              </w:rPr>
              <w:t>非</w:t>
            </w:r>
            <w:r>
              <w:rPr>
                <w:rFonts w:hint="eastAsia" w:cs="Google Sans Text" w:asciiTheme="minorEastAsia" w:hAnsiTheme="minorEastAsia"/>
                <w:color w:val="1B1C1D"/>
              </w:rPr>
              <w:t>商品</w:t>
            </w:r>
            <w:r>
              <w:rPr>
                <w:rFonts w:cs="Google Sans Text" w:asciiTheme="minorEastAsia" w:hAnsiTheme="minorEastAsia"/>
                <w:color w:val="1B1C1D"/>
              </w:rPr>
              <w:t>性采购</w:t>
            </w:r>
          </w:p>
        </w:tc>
        <w:tc>
          <w:tcPr>
            <w:tcW w:w="7512" w:type="dxa"/>
          </w:tcPr>
          <w:p w14:paraId="6AD302F6">
            <w:pPr>
              <w:spacing w:line="360" w:lineRule="auto"/>
              <w:rPr>
                <w:rFonts w:asciiTheme="minorEastAsia" w:hAnsiTheme="minorEastAsia"/>
              </w:rPr>
            </w:pPr>
            <w:r>
              <w:rPr>
                <w:rFonts w:asciiTheme="minorEastAsia" w:hAnsiTheme="minorEastAsia"/>
                <w:color w:val="000000" w:themeColor="text1"/>
                <w14:textFill>
                  <w14:solidFill>
                    <w14:schemeClr w14:val="tx1"/>
                  </w14:solidFill>
                </w14:textFill>
              </w:rPr>
              <w:t>非商品性物料指除商品物料以外的所有物料（有形或无形）。</w:t>
            </w:r>
          </w:p>
        </w:tc>
      </w:tr>
      <w:tr w14:paraId="7D29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8F3D8DA">
            <w:pPr>
              <w:spacing w:line="360" w:lineRule="auto"/>
              <w:rPr>
                <w:rFonts w:asciiTheme="minorEastAsia" w:hAnsiTheme="minorEastAsia"/>
              </w:rPr>
            </w:pPr>
            <w:r>
              <w:rPr>
                <w:rFonts w:cs="Google Sans Text" w:asciiTheme="minorEastAsia" w:hAnsiTheme="minorEastAsia"/>
                <w:color w:val="1B1C1D"/>
              </w:rPr>
              <w:t>非商品性性采购分类</w:t>
            </w:r>
            <w:r>
              <w:rPr>
                <w:rFonts w:cs="Google Sans Text" w:asciiTheme="minorEastAsia" w:hAnsiTheme="minorEastAsia"/>
                <w:color w:val="FF0000"/>
                <w:rPrChange w:id="0" w:author="开平" w:date="2025-11-10T16:05:44Z">
                  <w:rPr>
                    <w:rFonts w:cs="Google Sans Text" w:asciiTheme="minorEastAsia" w:hAnsiTheme="minorEastAsia"/>
                    <w:color w:val="1B1C1D"/>
                  </w:rPr>
                </w:rPrChange>
              </w:rPr>
              <w:t>（待数据分析后划分</w:t>
            </w:r>
            <w:r>
              <w:rPr>
                <w:rFonts w:hint="eastAsia" w:cs="Google Sans Text" w:asciiTheme="minorEastAsia" w:hAnsiTheme="minorEastAsia"/>
                <w:color w:val="FF0000"/>
                <w:rPrChange w:id="1" w:author="开平" w:date="2025-11-10T16:05:44Z">
                  <w:rPr>
                    <w:rFonts w:hint="eastAsia" w:cs="Google Sans Text" w:asciiTheme="minorEastAsia" w:hAnsiTheme="minorEastAsia"/>
                    <w:color w:val="1B1C1D"/>
                  </w:rPr>
                </w:rPrChange>
              </w:rPr>
              <w:t>/授权</w:t>
            </w:r>
            <w:r>
              <w:rPr>
                <w:rFonts w:cs="Google Sans Text" w:asciiTheme="minorEastAsia" w:hAnsiTheme="minorEastAsia"/>
                <w:color w:val="FF0000"/>
                <w:rPrChange w:id="2" w:author="开平" w:date="2025-11-10T16:05:44Z">
                  <w:rPr>
                    <w:rFonts w:cs="Google Sans Text" w:asciiTheme="minorEastAsia" w:hAnsiTheme="minorEastAsia"/>
                    <w:color w:val="1B1C1D"/>
                  </w:rPr>
                </w:rPrChange>
              </w:rPr>
              <w:t>）</w:t>
            </w:r>
          </w:p>
        </w:tc>
        <w:tc>
          <w:tcPr>
            <w:tcW w:w="7512" w:type="dxa"/>
          </w:tcPr>
          <w:p w14:paraId="55B3A2E8">
            <w:pPr>
              <w:spacing w:line="360" w:lineRule="auto"/>
              <w:rPr>
                <w:rFonts w:cs="Google Sans Text" w:asciiTheme="minorEastAsia" w:hAnsiTheme="minorEastAsia"/>
                <w:color w:val="1B1C1D"/>
              </w:rPr>
            </w:pPr>
            <w:r>
              <w:rPr>
                <w:rFonts w:cs="Google Sans Text" w:asciiTheme="minorEastAsia" w:hAnsiTheme="minorEastAsia"/>
                <w:color w:val="1B1C1D"/>
              </w:rPr>
              <w:t>根据《非商品性物料申购流程说明》，主要分为以下类别：</w:t>
            </w:r>
          </w:p>
          <w:p w14:paraId="677D90D8">
            <w:pPr>
              <w:pStyle w:val="24"/>
              <w:numPr>
                <w:ilvl w:val="0"/>
                <w:numId w:val="1"/>
              </w:numPr>
              <w:ind w:firstLineChars="0"/>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门店辅料类：门店工衣、衣架、模特、购物袋、装修类、广告宣传类、陈列道具等；</w:t>
            </w:r>
          </w:p>
          <w:p w14:paraId="572AA441">
            <w:pPr>
              <w:pStyle w:val="24"/>
              <w:numPr>
                <w:ilvl w:val="0"/>
                <w:numId w:val="1"/>
              </w:numPr>
              <w:ind w:firstLineChars="0"/>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 xml:space="preserve">低值易耗类：办公用品、劳保清洁用品、五金配件、打印耗材、实验室耗材、包装用品、商务接待用品等； </w:t>
            </w:r>
          </w:p>
          <w:p w14:paraId="19EC4023">
            <w:pPr>
              <w:pStyle w:val="24"/>
              <w:numPr>
                <w:ilvl w:val="0"/>
                <w:numId w:val="1"/>
              </w:numPr>
              <w:ind w:firstLineChars="0"/>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固定资产类：办公家具、I</w:t>
            </w:r>
            <w:r>
              <w:rPr>
                <w:rFonts w:asciiTheme="minorEastAsia" w:hAnsiTheme="minorEastAsia"/>
                <w:color w:val="000000" w:themeColor="text1"/>
                <w14:textFill>
                  <w14:solidFill>
                    <w14:schemeClr w14:val="tx1"/>
                  </w14:solidFill>
                </w14:textFill>
              </w:rPr>
              <w:t>T资产设备、实验室设备、物流设备等；</w:t>
            </w:r>
          </w:p>
          <w:p w14:paraId="5DD2DB04">
            <w:pPr>
              <w:pStyle w:val="24"/>
              <w:numPr>
                <w:ilvl w:val="0"/>
                <w:numId w:val="1"/>
              </w:numPr>
              <w:ind w:firstLineChars="0"/>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服务类：会务、员工福利、咨询服务、质检服务、设计项目、专利项目、调研项目、招聘、培训、无形资产、租入性资产（不含门店租赁）等。</w:t>
            </w:r>
          </w:p>
        </w:tc>
      </w:tr>
      <w:tr w14:paraId="1F54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99EABA7">
            <w:pPr>
              <w:spacing w:line="360" w:lineRule="auto"/>
              <w:rPr>
                <w:rFonts w:asciiTheme="minorEastAsia" w:hAnsiTheme="minorEastAsia"/>
              </w:rPr>
            </w:pPr>
            <w:r>
              <w:rPr>
                <w:rFonts w:cs="Google Sans Text" w:asciiTheme="minorEastAsia" w:hAnsiTheme="minorEastAsia"/>
                <w:color w:val="1B1C1D"/>
              </w:rPr>
              <w:t>需求部门</w:t>
            </w:r>
          </w:p>
        </w:tc>
        <w:tc>
          <w:tcPr>
            <w:tcW w:w="7512" w:type="dxa"/>
          </w:tcPr>
          <w:p w14:paraId="672C08A5">
            <w:pPr>
              <w:spacing w:line="360" w:lineRule="auto"/>
              <w:rPr>
                <w:rFonts w:asciiTheme="minorEastAsia" w:hAnsiTheme="minorEastAsia"/>
              </w:rPr>
            </w:pPr>
            <w:r>
              <w:rPr>
                <w:rFonts w:cs="Google Sans Text" w:asciiTheme="minorEastAsia" w:hAnsiTheme="minorEastAsia"/>
                <w:color w:val="1B1C1D"/>
              </w:rPr>
              <w:t>提出非商品性采购需求的具体业务或职能部门。</w:t>
            </w:r>
          </w:p>
        </w:tc>
      </w:tr>
      <w:tr w14:paraId="7584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72BEE8F4">
            <w:pPr>
              <w:spacing w:line="360" w:lineRule="auto"/>
              <w:rPr>
                <w:rFonts w:asciiTheme="minorEastAsia" w:hAnsiTheme="minorEastAsia"/>
              </w:rPr>
            </w:pPr>
            <w:r>
              <w:rPr>
                <w:rFonts w:cs="Google Sans Text" w:asciiTheme="minorEastAsia" w:hAnsiTheme="minorEastAsia"/>
                <w:color w:val="1B1C1D"/>
              </w:rPr>
              <w:t>采购部门</w:t>
            </w:r>
          </w:p>
        </w:tc>
        <w:tc>
          <w:tcPr>
            <w:tcW w:w="7512" w:type="dxa"/>
          </w:tcPr>
          <w:p w14:paraId="20FBC36A">
            <w:pPr>
              <w:spacing w:line="360" w:lineRule="auto"/>
              <w:rPr>
                <w:rFonts w:asciiTheme="minorEastAsia" w:hAnsiTheme="minorEastAsia"/>
              </w:rPr>
            </w:pPr>
            <w:r>
              <w:rPr>
                <w:rFonts w:cs="Google Sans Text" w:asciiTheme="minorEastAsia" w:hAnsiTheme="minorEastAsia"/>
                <w:color w:val="1B1C1D"/>
              </w:rPr>
              <w:t>集团内负责非商品性采购管理的职能部门</w:t>
            </w:r>
            <w:r>
              <w:rPr>
                <w:rFonts w:hint="eastAsia" w:cs="Google Sans Text" w:asciiTheme="minorEastAsia" w:hAnsiTheme="minorEastAsia"/>
                <w:color w:val="1B1C1D"/>
              </w:rPr>
              <w:t>。</w:t>
            </w:r>
          </w:p>
        </w:tc>
      </w:tr>
      <w:tr w14:paraId="6C53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4471229A">
            <w:pPr>
              <w:spacing w:line="360" w:lineRule="auto"/>
              <w:rPr>
                <w:rFonts w:asciiTheme="minorEastAsia" w:hAnsiTheme="minorEastAsia"/>
              </w:rPr>
            </w:pPr>
            <w:r>
              <w:rPr>
                <w:rFonts w:hint="eastAsia" w:cs="Google Sans Text" w:asciiTheme="minorEastAsia" w:hAnsiTheme="minorEastAsia"/>
                <w:color w:val="1B1C1D"/>
              </w:rPr>
              <w:t>寻源</w:t>
            </w:r>
          </w:p>
        </w:tc>
        <w:tc>
          <w:tcPr>
            <w:tcW w:w="7512" w:type="dxa"/>
          </w:tcPr>
          <w:p w14:paraId="4349411E">
            <w:pPr>
              <w:spacing w:line="360" w:lineRule="auto"/>
              <w:rPr>
                <w:rFonts w:asciiTheme="minorEastAsia" w:hAnsiTheme="minorEastAsia"/>
              </w:rPr>
            </w:pPr>
            <w:r>
              <w:rPr>
                <w:rFonts w:cs="Google Sans Text" w:asciiTheme="minorEastAsia" w:hAnsiTheme="minorEastAsia"/>
                <w:color w:val="1B1C1D"/>
              </w:rPr>
              <w:t>需求分析、供需识别、评估和选择供应商的过程。</w:t>
            </w:r>
          </w:p>
        </w:tc>
      </w:tr>
      <w:tr w14:paraId="2352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2A96DA95">
            <w:pPr>
              <w:spacing w:line="360" w:lineRule="auto"/>
              <w:rPr>
                <w:rFonts w:asciiTheme="minorEastAsia" w:hAnsiTheme="minorEastAsia"/>
              </w:rPr>
            </w:pPr>
            <w:r>
              <w:rPr>
                <w:rFonts w:cs="Google Sans Text" w:asciiTheme="minorEastAsia" w:hAnsiTheme="minorEastAsia"/>
                <w:color w:val="1B1C1D"/>
              </w:rPr>
              <w:t>询、比、议价</w:t>
            </w:r>
          </w:p>
        </w:tc>
        <w:tc>
          <w:tcPr>
            <w:tcW w:w="7512" w:type="dxa"/>
          </w:tcPr>
          <w:p w14:paraId="6D3D7186">
            <w:pPr>
              <w:spacing w:line="360" w:lineRule="auto"/>
              <w:rPr>
                <w:rFonts w:cs="Google Sans Text" w:asciiTheme="minorEastAsia" w:hAnsiTheme="minorEastAsia"/>
                <w:color w:val="1B1C1D"/>
              </w:rPr>
            </w:pPr>
            <w:r>
              <w:rPr>
                <w:rFonts w:hint="eastAsia" w:cs="Google Sans Text" w:asciiTheme="minorEastAsia" w:hAnsiTheme="minorEastAsia"/>
                <w:color w:val="1B1C1D"/>
              </w:rPr>
              <w:t>1、特殊非标定制类需求、或指定品牌型号等，结合需求信息进行议价管控；</w:t>
            </w:r>
          </w:p>
          <w:p w14:paraId="784C5480">
            <w:pPr>
              <w:spacing w:line="360" w:lineRule="auto"/>
              <w:rPr>
                <w:rFonts w:asciiTheme="minorEastAsia" w:hAnsiTheme="minorEastAsia"/>
              </w:rPr>
            </w:pPr>
            <w:r>
              <w:rPr>
                <w:rFonts w:hint="eastAsia" w:cs="Google Sans Text" w:asciiTheme="minorEastAsia" w:hAnsiTheme="minorEastAsia"/>
                <w:color w:val="1B1C1D"/>
              </w:rPr>
              <w:t>2、常规物料须多</w:t>
            </w:r>
            <w:r>
              <w:rPr>
                <w:rFonts w:cs="Google Sans Text" w:asciiTheme="minorEastAsia" w:hAnsiTheme="minorEastAsia"/>
                <w:color w:val="1B1C1D"/>
              </w:rPr>
              <w:t>家合格供应商询价并进行比价、议价的采购策略。</w:t>
            </w:r>
          </w:p>
        </w:tc>
      </w:tr>
      <w:tr w14:paraId="3F95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trPr>
        <w:tc>
          <w:tcPr>
            <w:tcW w:w="2235" w:type="dxa"/>
          </w:tcPr>
          <w:p w14:paraId="76F6DD0F">
            <w:pPr>
              <w:spacing w:line="360" w:lineRule="auto"/>
              <w:rPr>
                <w:rFonts w:asciiTheme="minorEastAsia" w:hAnsiTheme="minorEastAsia"/>
              </w:rPr>
            </w:pPr>
            <w:r>
              <w:rPr>
                <w:rFonts w:cs="Google Sans Text" w:asciiTheme="minorEastAsia" w:hAnsiTheme="minorEastAsia"/>
                <w:color w:val="1B1C1D"/>
              </w:rPr>
              <w:t>采购订单</w:t>
            </w:r>
          </w:p>
        </w:tc>
        <w:tc>
          <w:tcPr>
            <w:tcW w:w="7512" w:type="dxa"/>
          </w:tcPr>
          <w:p w14:paraId="778B8C65">
            <w:pPr>
              <w:spacing w:line="360" w:lineRule="auto"/>
              <w:rPr>
                <w:rFonts w:cs="Google Sans Text" w:asciiTheme="minorEastAsia" w:hAnsiTheme="minorEastAsia"/>
                <w:color w:val="1B1C1D"/>
              </w:rPr>
            </w:pPr>
            <w:r>
              <w:rPr>
                <w:rFonts w:cs="Google Sans Text" w:asciiTheme="minorEastAsia" w:hAnsiTheme="minorEastAsia"/>
                <w:color w:val="1B1C1D"/>
              </w:rPr>
              <w:t>由采购单位发出的，明确采购物料、数量、价格、交付条款等的正式</w:t>
            </w:r>
            <w:r>
              <w:rPr>
                <w:rFonts w:hint="eastAsia" w:cs="Google Sans Text" w:asciiTheme="minorEastAsia" w:hAnsiTheme="minorEastAsia"/>
                <w:color w:val="1B1C1D"/>
              </w:rPr>
              <w:t>采购</w:t>
            </w:r>
            <w:r>
              <w:rPr>
                <w:rFonts w:cs="Google Sans Text" w:asciiTheme="minorEastAsia" w:hAnsiTheme="minorEastAsia"/>
                <w:color w:val="1B1C1D"/>
              </w:rPr>
              <w:t>订单或采购合同</w:t>
            </w:r>
            <w:r>
              <w:rPr>
                <w:rFonts w:hint="eastAsia" w:cs="Google Sans Text" w:asciiTheme="minorEastAsia" w:hAnsiTheme="minorEastAsia"/>
                <w:color w:val="1B1C1D"/>
              </w:rPr>
              <w:t>，</w:t>
            </w:r>
            <w:r>
              <w:rPr>
                <w:rFonts w:cs="Google Sans Text" w:asciiTheme="minorEastAsia" w:hAnsiTheme="minorEastAsia"/>
                <w:color w:val="1B1C1D"/>
              </w:rPr>
              <w:t>须加盖合同章。</w:t>
            </w:r>
          </w:p>
        </w:tc>
      </w:tr>
      <w:tr w14:paraId="1D7F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14:paraId="1F7C01EB">
            <w:pPr>
              <w:spacing w:line="360" w:lineRule="auto"/>
              <w:rPr>
                <w:rFonts w:asciiTheme="minorEastAsia" w:hAnsiTheme="minorEastAsia"/>
              </w:rPr>
            </w:pPr>
            <w:r>
              <w:rPr>
                <w:rFonts w:cs="Google Sans Text" w:asciiTheme="minorEastAsia" w:hAnsiTheme="minorEastAsia"/>
                <w:color w:val="1B1C1D"/>
              </w:rPr>
              <w:t>三单匹配</w:t>
            </w:r>
          </w:p>
        </w:tc>
        <w:tc>
          <w:tcPr>
            <w:tcW w:w="7512" w:type="dxa"/>
          </w:tcPr>
          <w:p w14:paraId="73624F0A">
            <w:pPr>
              <w:spacing w:line="360" w:lineRule="auto"/>
              <w:rPr>
                <w:rFonts w:asciiTheme="minorEastAsia" w:hAnsiTheme="minorEastAsia"/>
              </w:rPr>
            </w:pPr>
            <w:r>
              <w:rPr>
                <w:rFonts w:cs="Google Sans Text" w:asciiTheme="minorEastAsia" w:hAnsiTheme="minorEastAsia"/>
                <w:color w:val="1B1C1D"/>
              </w:rPr>
              <w:t>指采购订单</w:t>
            </w:r>
            <w:r>
              <w:rPr>
                <w:rFonts w:hint="eastAsia" w:cs="Google Sans Text" w:asciiTheme="minorEastAsia" w:hAnsiTheme="minorEastAsia"/>
                <w:color w:val="1B1C1D"/>
              </w:rPr>
              <w:t>，</w:t>
            </w:r>
            <w:r>
              <w:rPr>
                <w:rFonts w:cs="Google Sans Text" w:asciiTheme="minorEastAsia" w:hAnsiTheme="minorEastAsia"/>
                <w:color w:val="1B1C1D"/>
              </w:rPr>
              <w:t>送货单</w:t>
            </w:r>
            <w:r>
              <w:rPr>
                <w:rFonts w:hint="eastAsia" w:cs="Google Sans Text" w:asciiTheme="minorEastAsia" w:hAnsiTheme="minorEastAsia"/>
                <w:color w:val="1B1C1D"/>
              </w:rPr>
              <w:t>/</w:t>
            </w:r>
            <w:r>
              <w:rPr>
                <w:rFonts w:cs="Google Sans Text" w:asciiTheme="minorEastAsia" w:hAnsiTheme="minorEastAsia"/>
                <w:color w:val="1B1C1D"/>
              </w:rPr>
              <w:t>签收单</w:t>
            </w:r>
            <w:r>
              <w:rPr>
                <w:rFonts w:hint="eastAsia" w:cs="Google Sans Text" w:asciiTheme="minorEastAsia" w:hAnsiTheme="minorEastAsia"/>
                <w:color w:val="1B1C1D"/>
              </w:rPr>
              <w:t>/</w:t>
            </w:r>
            <w:r>
              <w:rPr>
                <w:rFonts w:cs="Google Sans Text" w:asciiTheme="minorEastAsia" w:hAnsiTheme="minorEastAsia"/>
                <w:color w:val="1B1C1D"/>
              </w:rPr>
              <w:t>验收单</w:t>
            </w:r>
            <w:r>
              <w:rPr>
                <w:rFonts w:hint="eastAsia" w:cs="Google Sans Text" w:asciiTheme="minorEastAsia" w:hAnsiTheme="minorEastAsia"/>
                <w:color w:val="1B1C1D"/>
              </w:rPr>
              <w:t>，</w:t>
            </w:r>
            <w:r>
              <w:rPr>
                <w:rFonts w:cs="Google Sans Text" w:asciiTheme="minorEastAsia" w:hAnsiTheme="minorEastAsia"/>
                <w:color w:val="1B1C1D"/>
              </w:rPr>
              <w:t>发票三者信息一致，作为付款依据。</w:t>
            </w:r>
          </w:p>
        </w:tc>
      </w:tr>
    </w:tbl>
    <w:p w14:paraId="4A2F2120">
      <w:pPr>
        <w:spacing w:line="360" w:lineRule="auto"/>
        <w:rPr>
          <w:rFonts w:ascii="宋体" w:hAnsi="宋体" w:eastAsia="宋体"/>
          <w:b/>
          <w:sz w:val="24"/>
          <w:szCs w:val="24"/>
        </w:rPr>
      </w:pPr>
      <w:r>
        <w:rPr>
          <w:rFonts w:hint="eastAsia" w:ascii="宋体" w:hAnsi="宋体" w:eastAsia="宋体"/>
          <w:b/>
          <w:sz w:val="24"/>
          <w:szCs w:val="24"/>
        </w:rPr>
        <w:t>4.内容</w:t>
      </w:r>
    </w:p>
    <w:p w14:paraId="3E5B7C28">
      <w:pPr>
        <w:pStyle w:val="5"/>
        <w:spacing w:before="0" w:after="120" w:line="360" w:lineRule="auto"/>
        <w:ind w:firstLine="422" w:firstLineChars="200"/>
        <w:jc w:val="left"/>
        <w:rPr>
          <w:rFonts w:cs="宋体" w:asciiTheme="minorEastAsia" w:hAnsiTheme="minorEastAsia" w:eastAsiaTheme="minorEastAsia"/>
          <w:b w:val="0"/>
          <w:sz w:val="21"/>
          <w:szCs w:val="21"/>
        </w:rPr>
      </w:pPr>
      <w:r>
        <w:rPr>
          <w:rFonts w:hint="eastAsia" w:asciiTheme="minorEastAsia" w:hAnsiTheme="minorEastAsia" w:eastAsiaTheme="minorEastAsia"/>
          <w:sz w:val="21"/>
          <w:szCs w:val="21"/>
        </w:rPr>
        <w:t>4.1</w:t>
      </w:r>
      <w:r>
        <w:rPr>
          <w:rFonts w:hint="eastAsia" w:cs="宋体" w:asciiTheme="minorEastAsia" w:hAnsiTheme="minorEastAsia" w:eastAsiaTheme="minorEastAsia"/>
          <w:b w:val="0"/>
          <w:sz w:val="21"/>
          <w:szCs w:val="21"/>
        </w:rPr>
        <w:t>组织与职责</w:t>
      </w:r>
    </w:p>
    <w:p w14:paraId="56B6DA7B">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4.1.1 采购归口管理部门（采购部门）</w:t>
      </w:r>
    </w:p>
    <w:p w14:paraId="3FE87341">
      <w:pPr>
        <w:keepLines w:val="0"/>
        <w:numPr>
          <w:ilvl w:val="0"/>
          <w:numId w:val="2"/>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负责集团非商品性采购制度的制定、推行、实施和优化。</w:t>
      </w:r>
    </w:p>
    <w:p w14:paraId="539A64E5">
      <w:pPr>
        <w:keepLines w:val="0"/>
        <w:numPr>
          <w:ilvl w:val="0"/>
          <w:numId w:val="2"/>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负责采购策略的制定、供应寻源、评估、准入和淘汰管理。</w:t>
      </w:r>
    </w:p>
    <w:p w14:paraId="651D8EB0">
      <w:pPr>
        <w:keepLines w:val="0"/>
        <w:numPr>
          <w:ilvl w:val="0"/>
          <w:numId w:val="2"/>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负责组织实施招投标、谈判、比议价，资料维护、采购订单、合同跟进、打样等。</w:t>
      </w:r>
    </w:p>
    <w:p w14:paraId="39F7EC8D">
      <w:pPr>
        <w:keepLines w:val="0"/>
        <w:numPr>
          <w:ilvl w:val="0"/>
          <w:numId w:val="2"/>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负责供应商维护和管理。</w:t>
      </w:r>
    </w:p>
    <w:p w14:paraId="5AFA5FB9">
      <w:pPr>
        <w:keepLines w:val="0"/>
        <w:numPr>
          <w:ilvl w:val="0"/>
          <w:numId w:val="2"/>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负责采购订单和采购合同的商务谈判与执行（商务谈判维度：品控、成本分析、结算方式、</w:t>
      </w:r>
    </w:p>
    <w:p w14:paraId="773AA54D">
      <w:pPr>
        <w:keepLines w:val="0"/>
        <w:spacing w:after="120" w:line="360" w:lineRule="auto"/>
        <w:ind w:left="465" w:firstLine="840" w:firstLineChars="400"/>
        <w:jc w:val="left"/>
        <w:rPr>
          <w:rFonts w:cs="宋体" w:asciiTheme="minorEastAsia" w:hAnsiTheme="minorEastAsia"/>
        </w:rPr>
      </w:pPr>
      <w:r>
        <w:rPr>
          <w:rFonts w:hint="eastAsia" w:cs="宋体" w:asciiTheme="minorEastAsia" w:hAnsiTheme="minorEastAsia"/>
        </w:rPr>
        <w:t>供需时效、售后服务等）。</w:t>
      </w:r>
    </w:p>
    <w:p w14:paraId="1FE47123">
      <w:pPr>
        <w:keepLines w:val="0"/>
        <w:numPr>
          <w:ilvl w:val="0"/>
          <w:numId w:val="2"/>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负责采购数据的统计分析，降低采购成本、控制库存、防范风险，提供高质量采购服务。</w:t>
      </w:r>
    </w:p>
    <w:p w14:paraId="19D5106D">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4.1.2 需求部门</w:t>
      </w:r>
    </w:p>
    <w:p w14:paraId="1DE3EEBB">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非商品性物料需求的发起方和预算承担方。</w:t>
      </w:r>
    </w:p>
    <w:p w14:paraId="6B113D76">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 xml:space="preserve">负责在需求申购，确认识别现有物料库存情况，确认有无物料可替代，对申购需求的必要性、 </w:t>
      </w:r>
      <w:r>
        <w:rPr>
          <w:rFonts w:cs="宋体" w:asciiTheme="minorEastAsia" w:hAnsiTheme="minorEastAsia"/>
        </w:rPr>
        <w:t xml:space="preserve">  </w:t>
      </w:r>
    </w:p>
    <w:p w14:paraId="4C4A3A33">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数量及库存消耗负责。</w:t>
      </w:r>
    </w:p>
    <w:p w14:paraId="0B9E54E7">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负责制定详细的采购需求计划及消耗方案，明确</w:t>
      </w:r>
      <w:r>
        <w:rPr>
          <w:rFonts w:hint="eastAsia" w:ascii="宋体" w:hAnsi="宋体" w:eastAsia="宋体"/>
          <w:color w:val="000000" w:themeColor="text1"/>
          <w14:textFill>
            <w14:solidFill>
              <w14:schemeClr w14:val="tx1"/>
            </w14:solidFill>
          </w14:textFill>
        </w:rPr>
        <w:t>需求对应的采购明细（数量、材质、型号或</w:t>
      </w:r>
    </w:p>
    <w:p w14:paraId="1831EE27">
      <w:pPr>
        <w:keepLines w:val="0"/>
        <w:spacing w:after="120" w:line="360" w:lineRule="auto"/>
        <w:ind w:left="840" w:firstLine="420" w:firstLineChars="200"/>
        <w:jc w:val="lef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规格、工艺、品牌、包装规格、预算价、用途、需求时间、消耗计划、广告宣传物料类须同</w:t>
      </w:r>
    </w:p>
    <w:p w14:paraId="36420818">
      <w:pPr>
        <w:keepLines w:val="0"/>
        <w:spacing w:after="120" w:line="360" w:lineRule="auto"/>
        <w:ind w:left="840" w:firstLine="420" w:firstLineChars="200"/>
        <w:jc w:val="lef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时提供：源文件</w:t>
      </w:r>
      <w:r>
        <w:rPr>
          <w:rFonts w:ascii="宋体" w:hAnsi="宋体" w:eastAsia="宋体"/>
          <w:color w:val="000000" w:themeColor="text1"/>
          <w14:textFill>
            <w14:solidFill>
              <w14:schemeClr w14:val="tx1"/>
            </w14:solidFill>
          </w14:textFill>
        </w:rPr>
        <w:t>AI</w:t>
      </w:r>
      <w:r>
        <w:rPr>
          <w:rFonts w:hint="eastAsia" w:ascii="宋体" w:hAnsi="宋体" w:eastAsia="宋体"/>
          <w:color w:val="000000" w:themeColor="text1"/>
          <w14:textFill>
            <w14:solidFill>
              <w14:schemeClr w14:val="tx1"/>
            </w14:solidFill>
          </w14:textFill>
        </w:rPr>
        <w:t>等和</w:t>
      </w:r>
      <w:r>
        <w:rPr>
          <w:rFonts w:ascii="宋体" w:hAnsi="宋体" w:eastAsia="宋体"/>
          <w:color w:val="000000" w:themeColor="text1"/>
          <w14:textFill>
            <w14:solidFill>
              <w14:schemeClr w14:val="tx1"/>
            </w14:solidFill>
          </w14:textFill>
        </w:rPr>
        <w:t>JPG</w:t>
      </w:r>
      <w:r>
        <w:rPr>
          <w:rFonts w:hint="eastAsia" w:ascii="宋体" w:hAnsi="宋体" w:eastAsia="宋体"/>
          <w:color w:val="000000" w:themeColor="text1"/>
          <w14:textFill>
            <w14:solidFill>
              <w14:schemeClr w14:val="tx1"/>
            </w14:solidFill>
          </w14:textFill>
        </w:rPr>
        <w:t>或</w:t>
      </w:r>
      <w:r>
        <w:rPr>
          <w:rFonts w:ascii="宋体" w:hAnsi="宋体" w:eastAsia="宋体"/>
          <w:color w:val="000000" w:themeColor="text1"/>
          <w14:textFill>
            <w14:solidFill>
              <w14:schemeClr w14:val="tx1"/>
            </w14:solidFill>
          </w14:textFill>
        </w:rPr>
        <w:t>PDF</w:t>
      </w:r>
      <w:r>
        <w:rPr>
          <w:rFonts w:hint="eastAsia" w:ascii="宋体" w:hAnsi="宋体" w:eastAsia="宋体"/>
          <w:color w:val="000000" w:themeColor="text1"/>
          <w14:textFill>
            <w14:solidFill>
              <w14:schemeClr w14:val="tx1"/>
            </w14:solidFill>
          </w14:textFill>
        </w:rPr>
        <w:t>格式文件）。</w:t>
      </w:r>
    </w:p>
    <w:p w14:paraId="7506DB91">
      <w:pPr>
        <w:keepLines w:val="0"/>
        <w:numPr>
          <w:ilvl w:val="0"/>
          <w:numId w:val="3"/>
        </w:numPr>
        <w:spacing w:after="120" w:line="360" w:lineRule="auto"/>
        <w:ind w:left="420" w:firstLine="420" w:firstLineChars="200"/>
        <w:jc w:val="left"/>
        <w:rPr>
          <w:rFonts w:cs="宋体" w:asciiTheme="minorEastAsia" w:hAnsiTheme="minorEastAsia"/>
        </w:rPr>
      </w:pPr>
      <w:r>
        <w:rPr>
          <w:rFonts w:hint="eastAsia" w:ascii="宋体" w:hAnsi="宋体" w:eastAsia="宋体"/>
          <w:color w:val="000000" w:themeColor="text1"/>
          <w14:textFill>
            <w14:solidFill>
              <w14:schemeClr w14:val="tx1"/>
            </w14:solidFill>
          </w14:textFill>
        </w:rPr>
        <w:t>项目类需求：提供项目背景、需求明细、项目达成效果、项目</w:t>
      </w:r>
      <w:r>
        <w:rPr>
          <w:rFonts w:hint="eastAsia" w:cs="宋体" w:asciiTheme="minorEastAsia" w:hAnsiTheme="minorEastAsia"/>
        </w:rPr>
        <w:t>验收标准等</w:t>
      </w:r>
      <w:r>
        <w:rPr>
          <w:rFonts w:hint="eastAsia" w:ascii="宋体" w:hAnsi="宋体" w:eastAsia="宋体"/>
          <w:color w:val="000000" w:themeColor="text1"/>
          <w14:textFill>
            <w14:solidFill>
              <w14:schemeClr w14:val="tx1"/>
            </w14:solidFill>
          </w14:textFill>
        </w:rPr>
        <w:t>。</w:t>
      </w:r>
    </w:p>
    <w:p w14:paraId="23224DDA">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部门负责人及中心负责人对需求物料的样品进行签样确认。</w:t>
      </w:r>
    </w:p>
    <w:p w14:paraId="7611678E">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当需求为特殊定制性产品时，有责任共享物料信息及供应资源给采购部门。</w:t>
      </w:r>
    </w:p>
    <w:p w14:paraId="14BE97BE">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负责项目类采购的验收。</w:t>
      </w:r>
    </w:p>
    <w:p w14:paraId="3C517FD4">
      <w:pPr>
        <w:keepLines w:val="0"/>
        <w:numPr>
          <w:ilvl w:val="0"/>
          <w:numId w:val="3"/>
        </w:numPr>
        <w:spacing w:after="120" w:line="360" w:lineRule="auto"/>
        <w:ind w:left="420" w:firstLine="420" w:firstLineChars="200"/>
        <w:jc w:val="left"/>
        <w:rPr>
          <w:rFonts w:cs="宋体" w:asciiTheme="minorEastAsia" w:hAnsiTheme="minorEastAsia"/>
        </w:rPr>
      </w:pPr>
      <w:r>
        <w:rPr>
          <w:rFonts w:cs="宋体" w:asciiTheme="minorEastAsia" w:hAnsiTheme="minorEastAsia"/>
        </w:rPr>
        <w:t>负责固定资产类：固定资产领用及固定资产编码贴标和保管。</w:t>
      </w:r>
    </w:p>
    <w:p w14:paraId="3EFE7CB0">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4.1.3 财务部门</w:t>
      </w:r>
    </w:p>
    <w:p w14:paraId="44024447">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负责采购预算的审核与监管（</w:t>
      </w:r>
      <w:bookmarkStart w:id="0" w:name="_GoBack"/>
      <w:r>
        <w:rPr>
          <w:rFonts w:hint="eastAsia" w:cs="宋体" w:asciiTheme="minorEastAsia" w:hAnsiTheme="minorEastAsia"/>
        </w:rPr>
        <w:t>根据集团最新授权审</w:t>
      </w:r>
      <w:bookmarkEnd w:id="0"/>
      <w:r>
        <w:rPr>
          <w:rFonts w:hint="eastAsia" w:cs="宋体" w:asciiTheme="minorEastAsia" w:hAnsiTheme="minorEastAsia"/>
        </w:rPr>
        <w:t>批）。</w:t>
      </w:r>
    </w:p>
    <w:p w14:paraId="2602378E">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负责采购对账、付款的审核与执行。</w:t>
      </w:r>
    </w:p>
    <w:p w14:paraId="348FCD2B">
      <w:pPr>
        <w:keepLines w:val="0"/>
        <w:numPr>
          <w:ilvl w:val="0"/>
          <w:numId w:val="3"/>
        </w:numPr>
        <w:spacing w:after="120" w:line="360" w:lineRule="auto"/>
        <w:ind w:left="420" w:firstLine="420" w:firstLineChars="200"/>
        <w:jc w:val="left"/>
        <w:rPr>
          <w:rFonts w:cs="宋体" w:asciiTheme="minorEastAsia" w:hAnsiTheme="minorEastAsia"/>
        </w:rPr>
      </w:pPr>
      <w:r>
        <w:rPr>
          <w:rFonts w:cs="宋体" w:asciiTheme="minorEastAsia" w:hAnsiTheme="minorEastAsia"/>
        </w:rPr>
        <w:t>负责资产类需求对应的资产编码生成并提供给需求方。</w:t>
      </w:r>
    </w:p>
    <w:p w14:paraId="398E6BC7">
      <w:pPr>
        <w:keepLines w:val="0"/>
        <w:numPr>
          <w:ilvl w:val="0"/>
          <w:numId w:val="3"/>
        </w:numPr>
        <w:spacing w:after="120" w:line="360" w:lineRule="auto"/>
        <w:ind w:left="420" w:firstLine="420" w:firstLineChars="200"/>
        <w:jc w:val="left"/>
        <w:rPr>
          <w:rFonts w:cs="宋体" w:asciiTheme="minorEastAsia" w:hAnsiTheme="minorEastAsia"/>
        </w:rPr>
      </w:pPr>
      <w:r>
        <w:rPr>
          <w:rFonts w:cs="宋体" w:asciiTheme="minorEastAsia" w:hAnsiTheme="minorEastAsia"/>
        </w:rPr>
        <w:t>对不符合流程的采购业务，不予结算费用。</w:t>
      </w:r>
    </w:p>
    <w:p w14:paraId="05CACC6F">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4.1.4法务部门</w:t>
      </w:r>
    </w:p>
    <w:p w14:paraId="4AF9781B">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负责采购合同拟定/修改和审核。</w:t>
      </w:r>
    </w:p>
    <w:p w14:paraId="144F4C23">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4.1.</w:t>
      </w:r>
      <w:r>
        <w:rPr>
          <w:rFonts w:cs="宋体" w:asciiTheme="minorEastAsia" w:hAnsiTheme="minorEastAsia"/>
        </w:rPr>
        <w:t>5</w:t>
      </w:r>
      <w:r>
        <w:rPr>
          <w:rFonts w:hint="eastAsia" w:cs="宋体" w:asciiTheme="minorEastAsia" w:hAnsiTheme="minorEastAsia"/>
        </w:rPr>
        <w:t xml:space="preserve"> 审计部门</w:t>
      </w:r>
    </w:p>
    <w:p w14:paraId="128CF9C5">
      <w:pPr>
        <w:keepLines w:val="0"/>
        <w:numPr>
          <w:ilvl w:val="0"/>
          <w:numId w:val="3"/>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负责采购活动的合规性监督和审计。</w:t>
      </w:r>
    </w:p>
    <w:p w14:paraId="5F818597">
      <w:pPr>
        <w:spacing w:after="120" w:line="360" w:lineRule="auto"/>
        <w:ind w:firstLine="420" w:firstLineChars="200"/>
        <w:jc w:val="left"/>
        <w:rPr>
          <w:rFonts w:cs="宋体" w:asciiTheme="minorEastAsia" w:hAnsiTheme="minorEastAsia"/>
          <w:color w:val="000000" w:themeColor="text1"/>
          <w14:textFill>
            <w14:solidFill>
              <w14:schemeClr w14:val="tx1"/>
            </w14:solidFill>
          </w14:textFill>
        </w:rPr>
      </w:pPr>
      <w:r>
        <w:rPr>
          <w:rFonts w:hint="eastAsia" w:cs="宋体" w:asciiTheme="minorEastAsia" w:hAnsiTheme="minorEastAsia"/>
          <w:color w:val="000000" w:themeColor="text1"/>
          <w14:textFill>
            <w14:solidFill>
              <w14:schemeClr w14:val="tx1"/>
            </w14:solidFill>
          </w14:textFill>
        </w:rPr>
        <w:t>4.1.</w:t>
      </w:r>
      <w:r>
        <w:rPr>
          <w:rFonts w:cs="宋体" w:asciiTheme="minorEastAsia" w:hAnsiTheme="minorEastAsia"/>
          <w:color w:val="000000" w:themeColor="text1"/>
          <w14:textFill>
            <w14:solidFill>
              <w14:schemeClr w14:val="tx1"/>
            </w14:solidFill>
          </w14:textFill>
        </w:rPr>
        <w:t>6</w:t>
      </w:r>
      <w:r>
        <w:rPr>
          <w:rStyle w:val="16"/>
          <w:rFonts w:hint="eastAsia"/>
          <w:color w:val="000000" w:themeColor="text1"/>
          <w14:textFill>
            <w14:solidFill>
              <w14:schemeClr w14:val="tx1"/>
            </w14:solidFill>
          </w14:textFill>
        </w:rPr>
        <w:t>各业务</w:t>
      </w:r>
      <w:r>
        <w:rPr>
          <w:rStyle w:val="16"/>
          <w:color w:val="000000" w:themeColor="text1"/>
          <w14:textFill>
            <w14:solidFill>
              <w14:schemeClr w14:val="tx1"/>
            </w14:solidFill>
          </w14:textFill>
        </w:rPr>
        <w:t>资产管理部门</w:t>
      </w:r>
    </w:p>
    <w:p w14:paraId="03D4234C">
      <w:pPr>
        <w:keepLines w:val="0"/>
        <w:numPr>
          <w:ilvl w:val="0"/>
          <w:numId w:val="3"/>
        </w:numPr>
        <w:spacing w:after="120" w:line="360" w:lineRule="auto"/>
        <w:ind w:left="420" w:firstLine="420" w:firstLineChars="200"/>
        <w:jc w:val="left"/>
        <w:rPr>
          <w:rFonts w:cs="宋体" w:asciiTheme="minorEastAsia" w:hAnsiTheme="minorEastAsia"/>
          <w:color w:val="000000" w:themeColor="text1"/>
          <w14:textFill>
            <w14:solidFill>
              <w14:schemeClr w14:val="tx1"/>
            </w14:solidFill>
          </w14:textFill>
        </w:rPr>
      </w:pPr>
      <w:r>
        <w:rPr>
          <w:rFonts w:hint="eastAsia" w:cs="宋体" w:asciiTheme="minorEastAsia" w:hAnsiTheme="minorEastAsia"/>
          <w:color w:val="000000" w:themeColor="text1"/>
          <w14:textFill>
            <w14:solidFill>
              <w14:schemeClr w14:val="tx1"/>
            </w14:solidFill>
          </w14:textFill>
        </w:rPr>
        <w:t>查询或确认固定资产需求是否有库存或有资产可调拨；</w:t>
      </w:r>
    </w:p>
    <w:p w14:paraId="7C5ACE88">
      <w:pPr>
        <w:keepLines w:val="0"/>
        <w:numPr>
          <w:ilvl w:val="0"/>
          <w:numId w:val="3"/>
        </w:numPr>
        <w:spacing w:after="120" w:line="360" w:lineRule="auto"/>
        <w:ind w:left="420" w:firstLine="420" w:firstLineChars="200"/>
        <w:jc w:val="left"/>
        <w:rPr>
          <w:rFonts w:cs="宋体" w:asciiTheme="minorEastAsia" w:hAnsiTheme="minorEastAsia"/>
          <w:color w:val="000000" w:themeColor="text1"/>
          <w14:textFill>
            <w14:solidFill>
              <w14:schemeClr w14:val="tx1"/>
            </w14:solidFill>
          </w14:textFill>
        </w:rPr>
      </w:pPr>
      <w:r>
        <w:rPr>
          <w:rFonts w:hint="eastAsia" w:cs="宋体" w:asciiTheme="minorEastAsia" w:hAnsiTheme="minorEastAsia"/>
          <w:color w:val="000000" w:themeColor="text1"/>
          <w14:textFill>
            <w14:solidFill>
              <w14:schemeClr w14:val="tx1"/>
            </w14:solidFill>
          </w14:textFill>
        </w:rPr>
        <w:t>如库存资产或可调拨资产满足需求，则走资产调拨流程；</w:t>
      </w:r>
    </w:p>
    <w:p w14:paraId="47EDAB5E">
      <w:pPr>
        <w:keepLines w:val="0"/>
        <w:numPr>
          <w:ilvl w:val="0"/>
          <w:numId w:val="3"/>
        </w:numPr>
        <w:spacing w:after="120" w:line="360" w:lineRule="auto"/>
        <w:ind w:left="420" w:firstLine="420" w:firstLineChars="200"/>
        <w:jc w:val="left"/>
        <w:rPr>
          <w:rFonts w:cs="宋体" w:asciiTheme="minorEastAsia" w:hAnsiTheme="minorEastAsia"/>
          <w:color w:val="000000" w:themeColor="text1"/>
          <w14:textFill>
            <w14:solidFill>
              <w14:schemeClr w14:val="tx1"/>
            </w14:solidFill>
          </w14:textFill>
        </w:rPr>
      </w:pPr>
      <w:r>
        <w:rPr>
          <w:rFonts w:hint="eastAsia" w:cs="宋体" w:asciiTheme="minorEastAsia" w:hAnsiTheme="minorEastAsia"/>
          <w:color w:val="000000" w:themeColor="text1"/>
          <w14:textFill>
            <w14:solidFill>
              <w14:schemeClr w14:val="tx1"/>
            </w14:solidFill>
          </w14:textFill>
        </w:rPr>
        <w:t>无资产库存、调拨或不能满足需求，</w:t>
      </w:r>
      <w:r>
        <w:rPr>
          <w:rFonts w:cs="宋体" w:asciiTheme="minorEastAsia" w:hAnsiTheme="minorEastAsia"/>
          <w:color w:val="000000" w:themeColor="text1"/>
          <w14:textFill>
            <w14:solidFill>
              <w14:schemeClr w14:val="tx1"/>
            </w14:solidFill>
          </w14:textFill>
        </w:rPr>
        <w:t>再</w:t>
      </w:r>
      <w:r>
        <w:rPr>
          <w:rFonts w:hint="eastAsia" w:cs="宋体" w:asciiTheme="minorEastAsia" w:hAnsiTheme="minorEastAsia"/>
          <w:color w:val="000000" w:themeColor="text1"/>
          <w14:textFill>
            <w14:solidFill>
              <w14:schemeClr w14:val="tx1"/>
            </w14:solidFill>
          </w14:textFill>
        </w:rPr>
        <w:t>进行资产申购。</w:t>
      </w:r>
    </w:p>
    <w:p w14:paraId="12459AA0">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4.1.</w:t>
      </w:r>
      <w:r>
        <w:rPr>
          <w:rFonts w:cs="宋体" w:asciiTheme="minorEastAsia" w:hAnsiTheme="minorEastAsia"/>
        </w:rPr>
        <w:t>7</w:t>
      </w:r>
      <w:r>
        <w:rPr>
          <w:rFonts w:hint="eastAsia" w:cs="宋体" w:asciiTheme="minorEastAsia" w:hAnsiTheme="minorEastAsia"/>
        </w:rPr>
        <w:t xml:space="preserve"> 仓储/收货部门（或指定验收人）</w:t>
      </w:r>
    </w:p>
    <w:p w14:paraId="13499557">
      <w:pPr>
        <w:keepLines w:val="0"/>
        <w:numPr>
          <w:ilvl w:val="0"/>
          <w:numId w:val="4"/>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非商品性类物料的验收责任方。</w:t>
      </w:r>
    </w:p>
    <w:p w14:paraId="08F2DA57">
      <w:pPr>
        <w:keepLines w:val="0"/>
        <w:numPr>
          <w:ilvl w:val="0"/>
          <w:numId w:val="4"/>
        </w:numPr>
        <w:spacing w:after="120" w:line="360" w:lineRule="auto"/>
        <w:ind w:firstLine="420" w:firstLineChars="200"/>
        <w:jc w:val="left"/>
        <w:rPr>
          <w:rFonts w:cs="宋体" w:asciiTheme="minorEastAsia" w:hAnsiTheme="minorEastAsia"/>
        </w:rPr>
      </w:pPr>
      <w:r>
        <w:rPr>
          <w:rFonts w:hint="eastAsia" w:cs="宋体" w:asciiTheme="minorEastAsia" w:hAnsiTheme="minorEastAsia"/>
        </w:rPr>
        <w:t>负责检查来货品质及数量，确定无异常后收货，系统单据需提交送货单做收货入库动作。</w:t>
      </w:r>
    </w:p>
    <w:p w14:paraId="67AEE3C4">
      <w:pPr>
        <w:pStyle w:val="5"/>
        <w:spacing w:before="0" w:after="120" w:line="360" w:lineRule="auto"/>
        <w:ind w:firstLine="420" w:firstLineChars="200"/>
        <w:jc w:val="left"/>
        <w:rPr>
          <w:rFonts w:cs="宋体" w:asciiTheme="minorEastAsia" w:hAnsiTheme="minorEastAsia" w:eastAsiaTheme="minorEastAsia"/>
          <w:b w:val="0"/>
          <w:sz w:val="21"/>
          <w:szCs w:val="21"/>
        </w:rPr>
      </w:pPr>
      <w:r>
        <w:rPr>
          <w:rFonts w:hint="eastAsia" w:cs="宋体" w:asciiTheme="minorEastAsia" w:hAnsiTheme="minorEastAsia" w:eastAsiaTheme="minorEastAsia"/>
          <w:b w:val="0"/>
          <w:sz w:val="21"/>
          <w:szCs w:val="21"/>
        </w:rPr>
        <w:t>4.2 采购基本原则</w:t>
      </w:r>
    </w:p>
    <w:p w14:paraId="68B225D7">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采购三分离原则： 严格执行“需求/计划”（由需求部门发起）、“订单/合同”（由采购部门执</w:t>
      </w:r>
    </w:p>
    <w:p w14:paraId="011ADA83">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行）、“验收/入库”（由仓储/收货部门或需求部门执行）三个环节的职权分离，防范风险，明</w:t>
      </w:r>
    </w:p>
    <w:p w14:paraId="3B64BDD4">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晰权责。</w:t>
      </w:r>
    </w:p>
    <w:p w14:paraId="0F0F0CC0">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合规透明原则： 采购活动必须遵守国家法律法规和公司规章制度，流程公开透明，禁止一切</w:t>
      </w:r>
    </w:p>
    <w:p w14:paraId="1FAC0065">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形式的商业贿赂和舞弊行为。</w:t>
      </w:r>
    </w:p>
    <w:p w14:paraId="7FBBA8D4">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公平竞争原则： 供应商的选择应基于公平、公正的评估，给予所有合格供应商平等的竞争机</w:t>
      </w:r>
    </w:p>
    <w:p w14:paraId="2497E920">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会。</w:t>
      </w:r>
    </w:p>
    <w:p w14:paraId="72D74092">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诚实信用原则： 在采购活动中应恪守信用，维护公司权益。</w:t>
      </w:r>
    </w:p>
    <w:p w14:paraId="46D519F9">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成本效益原则： 在满足需求（质量、交付）的前提下，降本控存。</w:t>
      </w:r>
    </w:p>
    <w:p w14:paraId="785245E3">
      <w:pPr>
        <w:pStyle w:val="5"/>
        <w:spacing w:before="0" w:after="120" w:line="360" w:lineRule="auto"/>
        <w:ind w:firstLine="420" w:firstLineChars="200"/>
        <w:jc w:val="left"/>
        <w:rPr>
          <w:rFonts w:cs="宋体" w:asciiTheme="minorEastAsia" w:hAnsiTheme="minorEastAsia" w:eastAsiaTheme="minorEastAsia"/>
          <w:b w:val="0"/>
          <w:sz w:val="21"/>
          <w:szCs w:val="21"/>
        </w:rPr>
      </w:pPr>
      <w:r>
        <w:rPr>
          <w:rFonts w:hint="eastAsia" w:cs="宋体" w:asciiTheme="minorEastAsia" w:hAnsiTheme="minorEastAsia" w:eastAsiaTheme="minorEastAsia"/>
          <w:b w:val="0"/>
          <w:sz w:val="21"/>
          <w:szCs w:val="21"/>
        </w:rPr>
        <w:t>4.3 采购流程管理</w:t>
      </w:r>
    </w:p>
    <w:p w14:paraId="519C4937">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4.3.1 需求与计划</w:t>
      </w:r>
    </w:p>
    <w:p w14:paraId="1998F7D5">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 xml:space="preserve">年度计划： 各需求部门根据业务规划和预算，针对年度大额采购，编制下一年度的采购 </w:t>
      </w:r>
      <w:r>
        <w:rPr>
          <w:rFonts w:cs="宋体" w:asciiTheme="minorEastAsia" w:hAnsiTheme="minorEastAsia"/>
        </w:rPr>
        <w:t xml:space="preserve">  </w:t>
      </w:r>
    </w:p>
    <w:p w14:paraId="250BC213">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计划，提交采购部门汇总。</w:t>
      </w:r>
    </w:p>
    <w:p w14:paraId="35D9DA55">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需求自查： 需求部门在提交申请前，必须盘点并识别现有物料情况，是否能满足业务需</w:t>
      </w:r>
    </w:p>
    <w:p w14:paraId="4F2129AB">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求，确认申购数量合理性。</w:t>
      </w:r>
    </w:p>
    <w:p w14:paraId="0958C18D">
      <w:pPr>
        <w:pStyle w:val="24"/>
        <w:numPr>
          <w:ilvl w:val="0"/>
          <w:numId w:val="6"/>
        </w:numPr>
        <w:spacing w:after="120" w:line="360" w:lineRule="auto"/>
        <w:ind w:firstLineChars="0"/>
        <w:jc w:val="left"/>
        <w:rPr>
          <w:rFonts w:cs="宋体" w:asciiTheme="minorEastAsia" w:hAnsiTheme="minorEastAsia"/>
        </w:rPr>
      </w:pPr>
      <w:r>
        <w:rPr>
          <w:rFonts w:hint="eastAsia" w:cs="宋体" w:asciiTheme="minorEastAsia" w:hAnsiTheme="minorEastAsia"/>
        </w:rPr>
        <w:t>预算内需求，参照非商品性申购流程执行。</w:t>
      </w:r>
    </w:p>
    <w:p w14:paraId="5FC079B2">
      <w:pPr>
        <w:pStyle w:val="24"/>
        <w:numPr>
          <w:ilvl w:val="0"/>
          <w:numId w:val="6"/>
        </w:numPr>
        <w:spacing w:after="120" w:line="360" w:lineRule="auto"/>
        <w:ind w:firstLineChars="0"/>
        <w:jc w:val="left"/>
        <w:rPr>
          <w:rFonts w:cs="宋体" w:asciiTheme="minorEastAsia" w:hAnsiTheme="minorEastAsia"/>
        </w:rPr>
      </w:pPr>
      <w:r>
        <w:rPr>
          <w:rFonts w:cs="宋体" w:asciiTheme="minorEastAsia" w:hAnsiTheme="minorEastAsia"/>
        </w:rPr>
        <w:t>预算外需求：调拨预算或新增预算，再进行</w:t>
      </w:r>
      <w:r>
        <w:rPr>
          <w:rFonts w:hint="eastAsia" w:cs="宋体" w:asciiTheme="minorEastAsia" w:hAnsiTheme="minorEastAsia"/>
        </w:rPr>
        <w:t>非商品性申购。</w:t>
      </w:r>
    </w:p>
    <w:p w14:paraId="5D96489C">
      <w:pPr>
        <w:pStyle w:val="24"/>
        <w:numPr>
          <w:ilvl w:val="0"/>
          <w:numId w:val="6"/>
        </w:numPr>
        <w:spacing w:after="120" w:line="360" w:lineRule="auto"/>
        <w:ind w:firstLineChars="0"/>
        <w:jc w:val="left"/>
        <w:rPr>
          <w:rFonts w:cs="宋体" w:asciiTheme="minorEastAsia" w:hAnsiTheme="minorEastAsia"/>
        </w:rPr>
      </w:pPr>
      <w:r>
        <w:rPr>
          <w:rFonts w:cs="宋体" w:asciiTheme="minorEastAsia" w:hAnsiTheme="minorEastAsia"/>
        </w:rPr>
        <w:t>需求变更：盘点识别是否有替代品，有则调拨消耗，无则进行</w:t>
      </w:r>
      <w:r>
        <w:rPr>
          <w:rFonts w:hint="eastAsia" w:cs="宋体" w:asciiTheme="minorEastAsia" w:hAnsiTheme="minorEastAsia"/>
        </w:rPr>
        <w:t>非商品性申购。</w:t>
      </w:r>
    </w:p>
    <w:p w14:paraId="259C9443">
      <w:pPr>
        <w:pStyle w:val="24"/>
        <w:numPr>
          <w:ilvl w:val="0"/>
          <w:numId w:val="6"/>
        </w:numPr>
        <w:spacing w:after="120" w:line="360" w:lineRule="auto"/>
        <w:ind w:firstLineChars="0"/>
        <w:jc w:val="left"/>
        <w:rPr>
          <w:rFonts w:cs="宋体" w:asciiTheme="minorEastAsia" w:hAnsiTheme="minorEastAsia"/>
        </w:rPr>
      </w:pPr>
      <w:r>
        <w:rPr>
          <w:rFonts w:cs="宋体" w:asciiTheme="minorEastAsia" w:hAnsiTheme="minorEastAsia"/>
        </w:rPr>
        <w:t>非独家（如技术壁垒、专利、服务等）供应需求，不可指定供应商或品牌。</w:t>
      </w:r>
    </w:p>
    <w:p w14:paraId="5B23A341">
      <w:pPr>
        <w:pStyle w:val="24"/>
        <w:numPr>
          <w:ilvl w:val="0"/>
          <w:numId w:val="6"/>
        </w:numPr>
        <w:spacing w:after="120" w:line="360" w:lineRule="auto"/>
        <w:ind w:firstLineChars="0"/>
        <w:jc w:val="left"/>
        <w:rPr>
          <w:rFonts w:cs="宋体" w:asciiTheme="minorEastAsia" w:hAnsiTheme="minorEastAsia"/>
        </w:rPr>
      </w:pPr>
      <w:r>
        <w:rPr>
          <w:rFonts w:hint="eastAsia" w:cs="宋体" w:asciiTheme="minorEastAsia" w:hAnsiTheme="minorEastAsia"/>
        </w:rPr>
        <w:t>S</w:t>
      </w:r>
      <w:r>
        <w:rPr>
          <w:rFonts w:cs="宋体" w:asciiTheme="minorEastAsia" w:hAnsiTheme="minorEastAsia"/>
        </w:rPr>
        <w:t>KU管理：相似物料尽可能标准化，避免</w:t>
      </w:r>
      <w:r>
        <w:rPr>
          <w:rFonts w:hint="eastAsia" w:cs="宋体" w:asciiTheme="minorEastAsia" w:hAnsiTheme="minorEastAsia"/>
        </w:rPr>
        <w:t>S</w:t>
      </w:r>
      <w:r>
        <w:rPr>
          <w:rFonts w:cs="宋体" w:asciiTheme="minorEastAsia" w:hAnsiTheme="minorEastAsia"/>
        </w:rPr>
        <w:t>KU增多，重复需求，造成库存积压和呆滞浪费。</w:t>
      </w:r>
    </w:p>
    <w:p w14:paraId="58E87002">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物料调拨审核（适用时）： 当需求物料有库存或可替代物料时，采购部门协助沟通，明确有</w:t>
      </w:r>
    </w:p>
    <w:p w14:paraId="55F2930A">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库存或可替代物料后，需求部门以邮件的形式申请内部调拨，若无库存或不满足需求，再进</w:t>
      </w:r>
    </w:p>
    <w:p w14:paraId="46486BFF">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入采购流程。</w:t>
      </w:r>
    </w:p>
    <w:p w14:paraId="605638C8">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需求申请： 需求部门通过集团系统提交需求流程/预算立项流程，明确描述需求（规格、</w:t>
      </w:r>
    </w:p>
    <w:p w14:paraId="6363FE89">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型号、数量、预算、交付期、技术要求等），跟进流程并共享单据。</w:t>
      </w:r>
    </w:p>
    <w:p w14:paraId="5A985A5F">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申请审核： 审批职权参照：集团最新授权文件，采购部门接收需求，审核其完整性、</w:t>
      </w:r>
    </w:p>
    <w:p w14:paraId="0E28B300">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合规性。</w:t>
      </w:r>
    </w:p>
    <w:p w14:paraId="4A67C9B0">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4.3.2 寻源与采购方式</w:t>
      </w:r>
    </w:p>
    <w:p w14:paraId="0AB131BE">
      <w:pPr>
        <w:spacing w:after="120" w:line="360" w:lineRule="auto"/>
        <w:ind w:left="420" w:leftChars="200"/>
        <w:jc w:val="left"/>
        <w:rPr>
          <w:rFonts w:ascii="宋体" w:hAnsi="宋体" w:eastAsia="宋体"/>
          <w:color w:val="000000" w:themeColor="text1"/>
          <w14:textFill>
            <w14:solidFill>
              <w14:schemeClr w14:val="tx1"/>
            </w14:solidFill>
          </w14:textFill>
        </w:rPr>
      </w:pPr>
      <w:r>
        <w:rPr>
          <w:rFonts w:hint="eastAsia" w:cs="宋体" w:asciiTheme="minorEastAsia" w:hAnsiTheme="minorEastAsia"/>
        </w:rPr>
        <w:t>采购部门根据需求申请的金额和性质，选择适当的采购方式。</w:t>
      </w:r>
    </w:p>
    <w:tbl>
      <w:tblPr>
        <w:tblStyle w:val="36"/>
        <w:tblW w:w="9213" w:type="dxa"/>
        <w:tblInd w:w="60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514"/>
        <w:gridCol w:w="3120"/>
        <w:gridCol w:w="3579"/>
      </w:tblGrid>
      <w:tr w14:paraId="388797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B62ABE3">
            <w:pPr>
              <w:spacing w:before="120" w:after="120" w:line="275" w:lineRule="auto"/>
              <w:rPr>
                <w:rFonts w:ascii="Google Sans Text" w:hAnsi="Google Sans Text" w:eastAsia="Google Sans Text" w:cs="Google Sans Text"/>
                <w:b/>
                <w:color w:val="1B1C1D"/>
                <w:kern w:val="0"/>
                <w:sz w:val="20"/>
                <w:szCs w:val="20"/>
              </w:rPr>
            </w:pPr>
            <w:r>
              <w:rPr>
                <w:rFonts w:ascii="Google Sans Text" w:hAnsi="Google Sans Text" w:eastAsia="Google Sans Text" w:cs="Google Sans Text"/>
                <w:b/>
                <w:color w:val="1B1C1D"/>
                <w:kern w:val="0"/>
                <w:sz w:val="20"/>
                <w:szCs w:val="20"/>
              </w:rPr>
              <w:t>预估金额（人民币）</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369101D">
            <w:pPr>
              <w:spacing w:before="120" w:after="120" w:line="275" w:lineRule="auto"/>
              <w:rPr>
                <w:rFonts w:ascii="Google Sans Text" w:hAnsi="Google Sans Text" w:eastAsia="Google Sans Text" w:cs="Google Sans Text"/>
                <w:b/>
                <w:color w:val="1B1C1D"/>
                <w:kern w:val="0"/>
                <w:sz w:val="20"/>
                <w:szCs w:val="20"/>
              </w:rPr>
            </w:pPr>
            <w:r>
              <w:rPr>
                <w:rFonts w:ascii="Google Sans Text" w:hAnsi="Google Sans Text" w:eastAsia="Google Sans Text" w:cs="Google Sans Text"/>
                <w:b/>
                <w:color w:val="1B1C1D"/>
                <w:kern w:val="0"/>
                <w:sz w:val="20"/>
                <w:szCs w:val="20"/>
              </w:rPr>
              <w:t>采购方式</w:t>
            </w:r>
          </w:p>
        </w:tc>
        <w:tc>
          <w:tcPr>
            <w:tcW w:w="357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09BEAB2">
            <w:pPr>
              <w:spacing w:before="120" w:after="120" w:line="275" w:lineRule="auto"/>
              <w:rPr>
                <w:rFonts w:ascii="Google Sans Text" w:hAnsi="Google Sans Text" w:eastAsia="Google Sans Text" w:cs="Google Sans Text"/>
                <w:b/>
                <w:color w:val="1B1C1D"/>
                <w:kern w:val="0"/>
                <w:sz w:val="20"/>
                <w:szCs w:val="20"/>
              </w:rPr>
            </w:pPr>
            <w:r>
              <w:rPr>
                <w:rFonts w:ascii="Google Sans Text" w:hAnsi="Google Sans Text" w:eastAsia="Google Sans Text" w:cs="Google Sans Text"/>
                <w:b/>
                <w:color w:val="1B1C1D"/>
                <w:kern w:val="0"/>
                <w:sz w:val="20"/>
                <w:szCs w:val="20"/>
              </w:rPr>
              <w:t>要求</w:t>
            </w:r>
          </w:p>
        </w:tc>
      </w:tr>
      <w:tr w14:paraId="5E8E11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4C894CD">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5,000元以下</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E014766">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协议采购/直接采购</w:t>
            </w:r>
          </w:p>
        </w:tc>
        <w:tc>
          <w:tcPr>
            <w:tcW w:w="357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21D0678">
            <w:pPr>
              <w:spacing w:line="275" w:lineRule="auto"/>
              <w:rPr>
                <w:rFonts w:ascii="Google Sans Text" w:hAnsi="Google Sans Text" w:eastAsia="Google Sans Text" w:cs="Google Sans Text"/>
                <w:color w:val="1B1C1D"/>
                <w:kern w:val="0"/>
                <w:sz w:val="20"/>
                <w:szCs w:val="20"/>
              </w:rPr>
            </w:pPr>
            <w:r>
              <w:rPr>
                <w:rFonts w:hint="eastAsia" w:ascii="宋体" w:hAnsi="宋体" w:eastAsia="宋体" w:cs="宋体"/>
                <w:color w:val="1B1C1D"/>
                <w:kern w:val="0"/>
                <w:sz w:val="20"/>
                <w:szCs w:val="20"/>
              </w:rPr>
              <w:t>优先选择年度框架协议供应商，若无，可由采购部门根据实际情况采取相应采购策略服务各业务需求。</w:t>
            </w:r>
          </w:p>
        </w:tc>
      </w:tr>
      <w:tr w14:paraId="611CB7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B4012F7">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5,000</w:t>
            </w:r>
            <w:r>
              <w:rPr>
                <w:rFonts w:hint="eastAsia" w:ascii="宋体" w:hAnsi="宋体" w:eastAsia="宋体" w:cs="宋体"/>
                <w:color w:val="1B1C1D"/>
                <w:kern w:val="0"/>
                <w:sz w:val="20"/>
                <w:szCs w:val="20"/>
              </w:rPr>
              <w:t>元（含）至</w:t>
            </w:r>
            <w:r>
              <w:rPr>
                <w:rFonts w:ascii="Google Sans Text" w:hAnsi="Google Sans Text" w:eastAsia="Google Sans Text" w:cs="Google Sans Text"/>
                <w:color w:val="1B1C1D"/>
                <w:kern w:val="0"/>
                <w:sz w:val="20"/>
                <w:szCs w:val="20"/>
              </w:rPr>
              <w:t xml:space="preserve"> 200,000</w:t>
            </w:r>
            <w:r>
              <w:rPr>
                <w:rFonts w:hint="eastAsia" w:ascii="宋体" w:hAnsi="宋体" w:eastAsia="宋体" w:cs="宋体"/>
                <w:color w:val="1B1C1D"/>
                <w:kern w:val="0"/>
                <w:sz w:val="20"/>
                <w:szCs w:val="20"/>
              </w:rPr>
              <w:t>元（以下）</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4244B53">
            <w:pPr>
              <w:spacing w:line="275" w:lineRule="auto"/>
              <w:rPr>
                <w:rFonts w:hint="eastAsia" w:ascii="Google Sans Text" w:hAnsi="Google Sans Text" w:cs="Google Sans Text"/>
                <w:color w:val="1B1C1D"/>
                <w:kern w:val="0"/>
                <w:sz w:val="20"/>
                <w:szCs w:val="20"/>
              </w:rPr>
            </w:pPr>
            <w:r>
              <w:rPr>
                <w:rFonts w:hint="eastAsia" w:ascii="宋体" w:hAnsi="宋体" w:eastAsia="宋体" w:cs="宋体"/>
                <w:color w:val="1B1C1D"/>
                <w:kern w:val="0"/>
                <w:sz w:val="20"/>
                <w:szCs w:val="20"/>
              </w:rPr>
              <w:t>多</w:t>
            </w:r>
            <w:r>
              <w:rPr>
                <w:rFonts w:ascii="Google Sans Text" w:hAnsi="Google Sans Text" w:eastAsia="Google Sans Text" w:cs="Google Sans Text"/>
                <w:color w:val="1B1C1D"/>
                <w:kern w:val="0"/>
                <w:sz w:val="20"/>
                <w:szCs w:val="20"/>
              </w:rPr>
              <w:t>方比价</w:t>
            </w:r>
            <w:r>
              <w:rPr>
                <w:rFonts w:hint="eastAsia" w:ascii="Google Sans Text" w:hAnsi="Google Sans Text" w:cs="Google Sans Text"/>
                <w:color w:val="1B1C1D"/>
                <w:kern w:val="0"/>
                <w:sz w:val="20"/>
                <w:szCs w:val="20"/>
              </w:rPr>
              <w:t>/</w:t>
            </w:r>
            <w:r>
              <w:rPr>
                <w:rFonts w:ascii="Google Sans Text" w:hAnsi="Google Sans Text" w:eastAsia="Google Sans Text" w:cs="Google Sans Text"/>
                <w:color w:val="1B1C1D"/>
                <w:kern w:val="0"/>
                <w:sz w:val="20"/>
                <w:szCs w:val="20"/>
              </w:rPr>
              <w:t>竞争性谈判</w:t>
            </w:r>
          </w:p>
        </w:tc>
        <w:tc>
          <w:tcPr>
            <w:tcW w:w="357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F6A6E77">
            <w:pPr>
              <w:spacing w:line="275" w:lineRule="auto"/>
              <w:rPr>
                <w:rFonts w:ascii="Google Sans Text" w:hAnsi="Google Sans Text" w:eastAsia="Google Sans Text" w:cs="Google Sans Text"/>
                <w:color w:val="1B1C1D"/>
                <w:kern w:val="0"/>
                <w:sz w:val="20"/>
                <w:szCs w:val="20"/>
              </w:rPr>
            </w:pPr>
            <w:r>
              <w:rPr>
                <w:rFonts w:hint="eastAsia" w:ascii="宋体" w:hAnsi="宋体" w:eastAsia="宋体" w:cs="宋体"/>
                <w:color w:val="1B1C1D"/>
                <w:kern w:val="0"/>
                <w:sz w:val="20"/>
                <w:szCs w:val="20"/>
              </w:rPr>
              <w:t>采购部门向合格供应商发起询价，按</w:t>
            </w:r>
            <w:r>
              <w:rPr>
                <w:rFonts w:ascii="Google Sans Text" w:hAnsi="Google Sans Text" w:eastAsia="Google Sans Text" w:cs="Google Sans Text"/>
                <w:color w:val="1B1C1D"/>
                <w:kern w:val="0"/>
                <w:sz w:val="20"/>
                <w:szCs w:val="20"/>
              </w:rPr>
              <w:t>同等要求的</w:t>
            </w:r>
            <w:r>
              <w:rPr>
                <w:rFonts w:hint="eastAsia" w:ascii="宋体" w:hAnsi="宋体" w:eastAsia="宋体" w:cs="宋体"/>
                <w:color w:val="1B1C1D"/>
                <w:kern w:val="0"/>
                <w:sz w:val="20"/>
                <w:szCs w:val="20"/>
              </w:rPr>
              <w:t>前提下价格最优</w:t>
            </w:r>
            <w:r>
              <w:rPr>
                <w:rFonts w:ascii="Google Sans Text" w:hAnsi="Google Sans Text" w:eastAsia="Google Sans Text" w:cs="Google Sans Text"/>
                <w:color w:val="1B1C1D"/>
                <w:kern w:val="0"/>
                <w:sz w:val="20"/>
                <w:szCs w:val="20"/>
              </w:rPr>
              <w:t>”</w:t>
            </w:r>
            <w:r>
              <w:rPr>
                <w:rFonts w:hint="eastAsia" w:ascii="宋体" w:hAnsi="宋体" w:eastAsia="宋体" w:cs="宋体"/>
                <w:color w:val="1B1C1D"/>
                <w:kern w:val="0"/>
                <w:sz w:val="20"/>
                <w:szCs w:val="20"/>
              </w:rPr>
              <w:t>原则推荐。</w:t>
            </w:r>
          </w:p>
        </w:tc>
      </w:tr>
      <w:tr w14:paraId="69352F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2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DCD20C1">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200,000元（</w:t>
            </w:r>
            <w:r>
              <w:rPr>
                <w:rFonts w:hint="eastAsia" w:ascii="宋体" w:hAnsi="宋体" w:eastAsia="宋体" w:cs="宋体"/>
                <w:color w:val="1B1C1D"/>
                <w:kern w:val="0"/>
                <w:sz w:val="20"/>
                <w:szCs w:val="20"/>
              </w:rPr>
              <w:t>含</w:t>
            </w:r>
            <w:r>
              <w:rPr>
                <w:rFonts w:ascii="Google Sans Text" w:hAnsi="Google Sans Text" w:eastAsia="Google Sans Text" w:cs="Google Sans Text"/>
                <w:color w:val="1B1C1D"/>
                <w:kern w:val="0"/>
                <w:sz w:val="20"/>
                <w:szCs w:val="20"/>
              </w:rPr>
              <w:t>）及以上</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16E94A2">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招标采购（公开招标</w:t>
            </w:r>
            <w:r>
              <w:rPr>
                <w:rFonts w:hint="eastAsia" w:ascii="Google Sans Text" w:hAnsi="Google Sans Text" w:cs="Google Sans Text"/>
                <w:color w:val="1B1C1D"/>
                <w:kern w:val="0"/>
                <w:sz w:val="20"/>
                <w:szCs w:val="20"/>
              </w:rPr>
              <w:t>/邀请招标</w:t>
            </w:r>
            <w:r>
              <w:rPr>
                <w:rFonts w:ascii="Google Sans Text" w:hAnsi="Google Sans Text" w:eastAsia="Google Sans Text" w:cs="Google Sans Text"/>
                <w:color w:val="1B1C1D"/>
                <w:kern w:val="0"/>
                <w:sz w:val="20"/>
                <w:szCs w:val="20"/>
              </w:rPr>
              <w:t>）</w:t>
            </w:r>
          </w:p>
        </w:tc>
        <w:tc>
          <w:tcPr>
            <w:tcW w:w="357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A48E2E4">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原则上必须采用公开招标或邀请招标方式，按《招投标管理制度》执行。</w:t>
            </w:r>
          </w:p>
        </w:tc>
      </w:tr>
      <w:tr w14:paraId="428163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36" w:hRule="atLeast"/>
        </w:trPr>
        <w:tc>
          <w:tcPr>
            <w:tcW w:w="25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85BDB79">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特殊情况（单一来源）</w:t>
            </w:r>
          </w:p>
        </w:tc>
        <w:tc>
          <w:tcPr>
            <w:tcW w:w="31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6FF7631">
            <w:pPr>
              <w:spacing w:line="275" w:lineRule="auto"/>
              <w:rPr>
                <w:rFonts w:ascii="Google Sans Text" w:hAnsi="Google Sans Text" w:eastAsia="Google Sans Text" w:cs="Google Sans Text"/>
                <w:color w:val="1B1C1D"/>
                <w:kern w:val="0"/>
                <w:sz w:val="20"/>
                <w:szCs w:val="20"/>
              </w:rPr>
            </w:pPr>
            <w:r>
              <w:rPr>
                <w:rFonts w:ascii="Google Sans Text" w:hAnsi="Google Sans Text" w:eastAsia="Google Sans Text" w:cs="Google Sans Text"/>
                <w:color w:val="1B1C1D"/>
                <w:kern w:val="0"/>
                <w:sz w:val="20"/>
                <w:szCs w:val="20"/>
              </w:rPr>
              <w:t>单一来源谈判</w:t>
            </w:r>
          </w:p>
        </w:tc>
        <w:tc>
          <w:tcPr>
            <w:tcW w:w="357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166095A">
            <w:pPr>
              <w:spacing w:line="275" w:lineRule="auto"/>
              <w:rPr>
                <w:rFonts w:ascii="Google Sans Text" w:hAnsi="Google Sans Text" w:eastAsia="Google Sans Text" w:cs="Google Sans Text"/>
                <w:color w:val="1B1C1D"/>
                <w:kern w:val="0"/>
                <w:sz w:val="20"/>
                <w:szCs w:val="20"/>
              </w:rPr>
            </w:pPr>
            <w:r>
              <w:rPr>
                <w:rFonts w:hint="eastAsia" w:ascii="宋体" w:hAnsi="宋体" w:eastAsia="宋体" w:cs="宋体"/>
                <w:color w:val="1B1C1D"/>
                <w:kern w:val="0"/>
                <w:sz w:val="20"/>
                <w:szCs w:val="20"/>
              </w:rPr>
              <w:t>适用于专利、唯一授权、紧急情况等。需求部门必须提交</w:t>
            </w:r>
            <w:r>
              <w:rPr>
                <w:rFonts w:hint="eastAsia" w:cs="Google Sans Text" w:asciiTheme="minorEastAsia" w:hAnsiTheme="minorEastAsia"/>
                <w:color w:val="1B1C1D"/>
                <w:kern w:val="0"/>
                <w:sz w:val="20"/>
                <w:szCs w:val="20"/>
              </w:rPr>
              <w:t>系统需求完成审批</w:t>
            </w:r>
            <w:r>
              <w:rPr>
                <w:rFonts w:hint="eastAsia" w:ascii="宋体" w:hAnsi="宋体" w:eastAsia="宋体" w:cs="宋体"/>
                <w:color w:val="1B1C1D"/>
                <w:kern w:val="0"/>
                <w:sz w:val="20"/>
                <w:szCs w:val="20"/>
              </w:rPr>
              <w:t>，经管理层批准后，采购部门执行。</w:t>
            </w:r>
          </w:p>
        </w:tc>
      </w:tr>
    </w:tbl>
    <w:p w14:paraId="1EC9EC8A">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4.3.3 供应商选择</w:t>
      </w:r>
    </w:p>
    <w:p w14:paraId="2528FBD3">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关联关系（在职）回避：新（旧）供应商</w:t>
      </w:r>
      <w:r>
        <w:rPr>
          <w:rFonts w:hint="eastAsia" w:cs="宋体" w:asciiTheme="minorEastAsia" w:hAnsiTheme="minorEastAsia"/>
        </w:rPr>
        <w:t>如与集团在职人员为相识或亲友关系，双方应主动</w:t>
      </w:r>
    </w:p>
    <w:p w14:paraId="48E0E11D">
      <w:pPr>
        <w:keepLines w:val="0"/>
        <w:spacing w:after="120" w:line="360" w:lineRule="auto"/>
        <w:ind w:left="1260" w:leftChars="600"/>
        <w:jc w:val="left"/>
        <w:rPr>
          <w:rFonts w:cs="宋体" w:asciiTheme="minorEastAsia" w:hAnsiTheme="minorEastAsia"/>
        </w:rPr>
      </w:pPr>
      <w:r>
        <w:rPr>
          <w:rFonts w:hint="eastAsia" w:cs="宋体" w:asciiTheme="minorEastAsia" w:hAnsiTheme="minorEastAsia"/>
        </w:rPr>
        <w:t>申报并说明，在公开、公平、公正的原则统一评比。在职人员主动回避，不可向其提供集团供需所有相关联信息。如若未尽告知义务，一经发现，将取消其供应参选或供应资格，并纳入黑名单永不录用。</w:t>
      </w:r>
    </w:p>
    <w:p w14:paraId="243240F4">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关联关系（离职）申报：新（旧）供应商如与集团已离职人员为相识或亲友关系，供应商应</w:t>
      </w:r>
    </w:p>
    <w:p w14:paraId="15D3AA3F">
      <w:pPr>
        <w:keepLines w:val="0"/>
        <w:spacing w:after="120" w:line="360" w:lineRule="auto"/>
        <w:ind w:left="210" w:leftChars="100" w:firstLine="1050" w:firstLineChars="500"/>
        <w:jc w:val="left"/>
        <w:rPr>
          <w:rFonts w:cs="宋体" w:asciiTheme="minorEastAsia" w:hAnsiTheme="minorEastAsia"/>
        </w:rPr>
      </w:pPr>
      <w:r>
        <w:rPr>
          <w:rFonts w:cs="宋体" w:asciiTheme="minorEastAsia" w:hAnsiTheme="minorEastAsia"/>
        </w:rPr>
        <w:t>主动申报并说明，</w:t>
      </w:r>
      <w:r>
        <w:rPr>
          <w:rFonts w:hint="eastAsia" w:cs="宋体" w:asciiTheme="minorEastAsia" w:hAnsiTheme="minorEastAsia"/>
        </w:rPr>
        <w:t>在公开、公平、公正的原则统一评比。如若未尽告知义务，一经发现，将</w:t>
      </w:r>
    </w:p>
    <w:p w14:paraId="06D3504C">
      <w:pPr>
        <w:keepLines w:val="0"/>
        <w:spacing w:after="120" w:line="360" w:lineRule="auto"/>
        <w:ind w:left="210" w:leftChars="100" w:firstLine="1050" w:firstLineChars="500"/>
        <w:jc w:val="left"/>
        <w:rPr>
          <w:rFonts w:cs="宋体" w:asciiTheme="minorEastAsia" w:hAnsiTheme="minorEastAsia"/>
        </w:rPr>
      </w:pPr>
      <w:r>
        <w:rPr>
          <w:rFonts w:hint="eastAsia" w:cs="宋体" w:asciiTheme="minorEastAsia" w:hAnsiTheme="minorEastAsia"/>
        </w:rPr>
        <w:t>取消其供应参选或供应资格，并纳入黑名单永不录用。</w:t>
      </w:r>
    </w:p>
    <w:p w14:paraId="56605674">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采购部门进行新供应商开发，通过多维度（品控、成本、交付、结算方式、服务）进行评估，</w:t>
      </w:r>
      <w:r>
        <w:rPr>
          <w:rFonts w:hint="eastAsia" w:cs="宋体" w:asciiTheme="minorEastAsia" w:hAnsiTheme="minorEastAsia"/>
        </w:rPr>
        <w:t xml:space="preserve"> </w:t>
      </w:r>
    </w:p>
    <w:p w14:paraId="1907E8B9">
      <w:pPr>
        <w:keepLines w:val="0"/>
        <w:spacing w:after="120" w:line="360" w:lineRule="auto"/>
        <w:ind w:left="840" w:firstLine="420" w:firstLineChars="200"/>
        <w:jc w:val="left"/>
        <w:rPr>
          <w:rFonts w:cs="宋体" w:asciiTheme="minorEastAsia" w:hAnsiTheme="minorEastAsia"/>
        </w:rPr>
      </w:pPr>
      <w:r>
        <w:rPr>
          <w:rFonts w:cs="宋体" w:asciiTheme="minorEastAsia" w:hAnsiTheme="minorEastAsia"/>
        </w:rPr>
        <w:t>评估合格，纳入供应商库。</w:t>
      </w:r>
    </w:p>
    <w:p w14:paraId="33AE62D9">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采购部门根据比价/谈判/招标等策略，结合供应商的综合能力（</w:t>
      </w:r>
      <w:r>
        <w:rPr>
          <w:rFonts w:cs="宋体" w:asciiTheme="minorEastAsia" w:hAnsiTheme="minorEastAsia"/>
        </w:rPr>
        <w:t>品控、成本、交付、结算方</w:t>
      </w:r>
    </w:p>
    <w:p w14:paraId="1181ADF3">
      <w:pPr>
        <w:keepLines w:val="0"/>
        <w:spacing w:after="120" w:line="360" w:lineRule="auto"/>
        <w:ind w:left="840" w:firstLine="210" w:firstLineChars="100"/>
        <w:jc w:val="left"/>
        <w:rPr>
          <w:rFonts w:cs="宋体" w:asciiTheme="minorEastAsia" w:hAnsiTheme="minorEastAsia"/>
        </w:rPr>
      </w:pPr>
      <w:r>
        <w:rPr>
          <w:rFonts w:cs="宋体" w:asciiTheme="minorEastAsia" w:hAnsiTheme="minorEastAsia"/>
        </w:rPr>
        <w:t>式</w:t>
      </w:r>
      <w:r>
        <w:rPr>
          <w:rFonts w:hint="eastAsia" w:cs="宋体" w:asciiTheme="minorEastAsia" w:hAnsiTheme="minorEastAsia"/>
        </w:rPr>
        <w:t>等），提交《价格审批表》，逐级上报审批（</w:t>
      </w:r>
      <w:r>
        <w:rPr>
          <w:rFonts w:hint="eastAsia" w:ascii="宋体" w:hAnsi="宋体" w:eastAsia="宋体"/>
          <w:color w:val="000000" w:themeColor="text1"/>
          <w14:textFill>
            <w14:solidFill>
              <w14:schemeClr w14:val="tx1"/>
            </w14:solidFill>
          </w14:textFill>
        </w:rPr>
        <w:t>根据最新授权，进行审批）。</w:t>
      </w:r>
    </w:p>
    <w:p w14:paraId="7FA31765">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审批通过后，向中标/选定供应商发出《中标通知书/采购订单/采购合同》。</w:t>
      </w:r>
    </w:p>
    <w:p w14:paraId="510EFEB5">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所有需求采购，只能在供应商库内进行选择，执行采购。</w:t>
      </w:r>
    </w:p>
    <w:p w14:paraId="2EC57FFE">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4.3.4 样品确认</w:t>
      </w:r>
    </w:p>
    <w:p w14:paraId="69CC0851">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对于标准和定制化的物料，采购部门应协调供应商提供样品。</w:t>
      </w:r>
    </w:p>
    <w:p w14:paraId="5367EB7C">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需求部门负责人和中心负责人对样品进行签样确认。</w:t>
      </w:r>
    </w:p>
    <w:p w14:paraId="54C1C8A4">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4.3.5 采购执行（合同/订单）</w:t>
      </w:r>
    </w:p>
    <w:p w14:paraId="34679415">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框架合同签订：长期使用的物料，</w:t>
      </w:r>
      <w:r>
        <w:rPr>
          <w:rFonts w:hint="eastAsia" w:cs="宋体" w:asciiTheme="minorEastAsia" w:hAnsiTheme="minorEastAsia"/>
        </w:rPr>
        <w:t>必须签订正式的采购框架合同。</w:t>
      </w:r>
    </w:p>
    <w:p w14:paraId="293B1831">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项目类采购：需求部门根据项目审批结果进行正式的采购合同签订。</w:t>
      </w:r>
    </w:p>
    <w:p w14:paraId="36198159">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 xml:space="preserve">采购订单：采购部门在系统中生成采购订单，采购订单经审批并加盖合同章后发送给供应商， </w:t>
      </w:r>
      <w:r>
        <w:rPr>
          <w:rFonts w:cs="宋体" w:asciiTheme="minorEastAsia" w:hAnsiTheme="minorEastAsia"/>
        </w:rPr>
        <w:t xml:space="preserve"> </w:t>
      </w:r>
    </w:p>
    <w:p w14:paraId="5AC68AB7">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供应商将采购订单加盖合同章后回传。</w:t>
      </w:r>
    </w:p>
    <w:p w14:paraId="560AAAD7">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4.3.6 验收与交付</w:t>
      </w:r>
    </w:p>
    <w:p w14:paraId="7248D631">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项目类验收： 由需求部门根据合同约定组织项目验收，采购部门协同，验收合格后签署确认。</w:t>
      </w:r>
    </w:p>
    <w:p w14:paraId="7EC862D8">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物品类验收：供应商按采购订单或采购合同送货至指定地点，仓储/收货部门（或需求部门指</w:t>
      </w:r>
    </w:p>
    <w:p w14:paraId="511686B7">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定人员）负责清点数量、核对规格、检查品质。技术/质量要求高的物品，需由需求部门协同</w:t>
      </w:r>
    </w:p>
    <w:p w14:paraId="441B8EFA">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相关部门进行技术验收。</w:t>
      </w:r>
    </w:p>
    <w:p w14:paraId="65450599">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验收合格：收货确认并入库。</w:t>
      </w:r>
    </w:p>
    <w:p w14:paraId="65992FB6">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验收不合格：转采购部门负责异常处理直至验收合格。</w:t>
      </w:r>
    </w:p>
    <w:p w14:paraId="298F4A68">
      <w:pPr>
        <w:pStyle w:val="24"/>
        <w:numPr>
          <w:ilvl w:val="0"/>
          <w:numId w:val="7"/>
        </w:numPr>
        <w:spacing w:after="120" w:line="360" w:lineRule="auto"/>
        <w:ind w:firstLineChars="0"/>
        <w:jc w:val="left"/>
        <w:rPr>
          <w:rFonts w:cs="宋体" w:asciiTheme="minorEastAsia" w:hAnsiTheme="minorEastAsia"/>
        </w:rPr>
      </w:pPr>
      <w:r>
        <w:rPr>
          <w:rFonts w:hint="eastAsia" w:cs="宋体" w:asciiTheme="minorEastAsia" w:hAnsiTheme="minorEastAsia"/>
        </w:rPr>
        <w:t>物料不合格（如：尺寸规格、颜色差异、材质不良、破损、货不对板、功能缺陷等），</w:t>
      </w:r>
    </w:p>
    <w:p w14:paraId="464ACFBE">
      <w:pPr>
        <w:pStyle w:val="24"/>
        <w:spacing w:after="120" w:line="360" w:lineRule="auto"/>
        <w:ind w:left="1620" w:firstLine="0" w:firstLineChars="0"/>
        <w:jc w:val="left"/>
        <w:rPr>
          <w:rFonts w:cs="宋体" w:asciiTheme="minorEastAsia" w:hAnsiTheme="minorEastAsia"/>
        </w:rPr>
      </w:pPr>
      <w:r>
        <w:rPr>
          <w:rFonts w:hint="eastAsia" w:cs="宋体" w:asciiTheme="minorEastAsia" w:hAnsiTheme="minorEastAsia"/>
        </w:rPr>
        <w:t>退货至供应商重新生产合格物料，交货入库。</w:t>
      </w:r>
    </w:p>
    <w:p w14:paraId="5A476FC0">
      <w:pPr>
        <w:pStyle w:val="24"/>
        <w:numPr>
          <w:ilvl w:val="0"/>
          <w:numId w:val="7"/>
        </w:numPr>
        <w:spacing w:after="120" w:line="360" w:lineRule="auto"/>
        <w:ind w:firstLineChars="0"/>
        <w:jc w:val="left"/>
        <w:rPr>
          <w:rFonts w:cs="宋体" w:asciiTheme="minorEastAsia" w:hAnsiTheme="minorEastAsia"/>
        </w:rPr>
      </w:pPr>
      <w:r>
        <w:rPr>
          <w:rFonts w:cs="宋体" w:asciiTheme="minorEastAsia" w:hAnsiTheme="minorEastAsia"/>
        </w:rPr>
        <w:t>包装不合格，退回至供应商（或由供应商派遣人员至现场）更换合格，交货入库。</w:t>
      </w:r>
    </w:p>
    <w:p w14:paraId="50E8FBF6">
      <w:pPr>
        <w:pStyle w:val="24"/>
        <w:numPr>
          <w:ilvl w:val="0"/>
          <w:numId w:val="7"/>
        </w:numPr>
        <w:spacing w:after="120" w:line="360" w:lineRule="auto"/>
        <w:ind w:firstLineChars="0"/>
        <w:jc w:val="left"/>
        <w:rPr>
          <w:rFonts w:cs="宋体" w:asciiTheme="minorEastAsia" w:hAnsiTheme="minorEastAsia"/>
        </w:rPr>
      </w:pPr>
      <w:r>
        <w:rPr>
          <w:rFonts w:hint="eastAsia" w:cs="宋体" w:asciiTheme="minorEastAsia" w:hAnsiTheme="minorEastAsia"/>
        </w:rPr>
        <w:t>标识不合格：</w:t>
      </w:r>
      <w:r>
        <w:rPr>
          <w:rFonts w:cs="宋体" w:asciiTheme="minorEastAsia" w:hAnsiTheme="minorEastAsia"/>
        </w:rPr>
        <w:t>退回至供应商（或由供应商派遣人员至现场）更换合格标识，交货入库。</w:t>
      </w:r>
    </w:p>
    <w:p w14:paraId="40C85952">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4.3.7 付款结算</w:t>
      </w:r>
    </w:p>
    <w:p w14:paraId="00030F07">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供应商凭采购订单或合同，收货部门签收的送货单（或系统收货/入库记录）向财务部门申请</w:t>
      </w:r>
    </w:p>
    <w:p w14:paraId="4C32C167">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对账。</w:t>
      </w:r>
    </w:p>
    <w:p w14:paraId="4406A0CC">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财务部门按“三单匹配”原则（采购订单或合同、收货部门签收的送货单（或系统收货/入库</w:t>
      </w:r>
    </w:p>
    <w:p w14:paraId="30089022">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记录）</w:t>
      </w:r>
      <w:r>
        <w:rPr>
          <w:rFonts w:cs="宋体" w:asciiTheme="minorEastAsia" w:hAnsiTheme="minorEastAsia"/>
        </w:rPr>
        <w:t>、</w:t>
      </w:r>
      <w:r>
        <w:rPr>
          <w:rFonts w:hint="eastAsia" w:cs="宋体" w:asciiTheme="minorEastAsia" w:hAnsiTheme="minorEastAsia"/>
        </w:rPr>
        <w:t>发票）进行账单审核，审核无误后，财务部门按照约定的付款周期执行付款。</w:t>
      </w:r>
    </w:p>
    <w:p w14:paraId="4552202C">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财务部门对违规</w:t>
      </w:r>
      <w:r>
        <w:rPr>
          <w:rFonts w:hint="eastAsia" w:cs="宋体" w:asciiTheme="minorEastAsia" w:hAnsiTheme="minorEastAsia"/>
        </w:rPr>
        <w:t xml:space="preserve">绕开非商品性采购管理制度或流程的业务进行管控，对私自采购再进行费用 </w:t>
      </w:r>
    </w:p>
    <w:p w14:paraId="231538A5">
      <w:pPr>
        <w:spacing w:after="120" w:line="360" w:lineRule="auto"/>
        <w:ind w:firstLine="1260" w:firstLineChars="600"/>
        <w:jc w:val="left"/>
        <w:rPr>
          <w:rFonts w:cs="宋体" w:asciiTheme="minorEastAsia" w:hAnsiTheme="minorEastAsia"/>
        </w:rPr>
      </w:pPr>
      <w:r>
        <w:rPr>
          <w:rFonts w:hint="eastAsia" w:cs="宋体" w:asciiTheme="minorEastAsia" w:hAnsiTheme="minorEastAsia"/>
        </w:rPr>
        <w:t>报销的业务不予报销结算。4.4 供应商管理</w:t>
      </w:r>
    </w:p>
    <w:p w14:paraId="514E699F">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4.4.1 供应商评估</w:t>
      </w:r>
    </w:p>
    <w:p w14:paraId="4607A3EF">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采购人员根据非商</w:t>
      </w:r>
      <w:r>
        <w:rPr>
          <w:rFonts w:hint="eastAsia" w:cs="宋体" w:asciiTheme="minorEastAsia" w:hAnsiTheme="minorEastAsia"/>
        </w:rPr>
        <w:t>品性物料（有形或无形）需求进行供应商开发。</w:t>
      </w:r>
    </w:p>
    <w:p w14:paraId="674E7D5C">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供应商须填写《供应商基本资料信息表》，提供企业资质资料。</w:t>
      </w:r>
    </w:p>
    <w:p w14:paraId="391D7290">
      <w:pPr>
        <w:keepLines w:val="0"/>
        <w:numPr>
          <w:ilvl w:val="0"/>
          <w:numId w:val="5"/>
        </w:numPr>
        <w:spacing w:after="120" w:line="360" w:lineRule="auto"/>
        <w:ind w:left="420" w:firstLine="420" w:firstLineChars="200"/>
        <w:jc w:val="left"/>
        <w:rPr>
          <w:rFonts w:cs="宋体" w:asciiTheme="minorEastAsia" w:hAnsiTheme="minorEastAsia"/>
        </w:rPr>
      </w:pPr>
      <w:r>
        <w:rPr>
          <w:rFonts w:cs="宋体" w:asciiTheme="minorEastAsia" w:hAnsiTheme="minorEastAsia"/>
        </w:rPr>
        <w:t>采购人员结合</w:t>
      </w:r>
      <w:r>
        <w:rPr>
          <w:rFonts w:hint="eastAsia" w:cs="宋体" w:asciiTheme="minorEastAsia" w:hAnsiTheme="minorEastAsia"/>
        </w:rPr>
        <w:t>供应商企业性质、成本、质量、供货时效（响应速度）、结算方式、地域、售后</w:t>
      </w:r>
    </w:p>
    <w:p w14:paraId="7EA441A3">
      <w:pPr>
        <w:keepLines w:val="0"/>
        <w:spacing w:after="120" w:line="360" w:lineRule="auto"/>
        <w:ind w:left="840" w:firstLine="630" w:firstLineChars="300"/>
        <w:jc w:val="left"/>
        <w:rPr>
          <w:rFonts w:cs="宋体" w:asciiTheme="minorEastAsia" w:hAnsiTheme="minorEastAsia"/>
        </w:rPr>
      </w:pPr>
      <w:r>
        <w:rPr>
          <w:rFonts w:hint="eastAsia" w:cs="宋体" w:asciiTheme="minorEastAsia" w:hAnsiTheme="minorEastAsia"/>
        </w:rPr>
        <w:t>服务等多维度全面评估，必要时合</w:t>
      </w:r>
      <w:r>
        <w:rPr>
          <w:rFonts w:cs="宋体" w:asciiTheme="minorEastAsia" w:hAnsiTheme="minorEastAsia"/>
        </w:rPr>
        <w:t>作前采购部门须实地验厂，验厂通过则进行合作。</w:t>
      </w:r>
    </w:p>
    <w:p w14:paraId="02BCAA08">
      <w:pPr>
        <w:keepLines w:val="0"/>
        <w:numPr>
          <w:ilvl w:val="0"/>
          <w:numId w:val="5"/>
        </w:numPr>
        <w:spacing w:after="120" w:line="360" w:lineRule="auto"/>
        <w:ind w:left="420" w:firstLine="420" w:firstLineChars="200"/>
        <w:jc w:val="left"/>
        <w:rPr>
          <w:rFonts w:cs="宋体" w:asciiTheme="minorEastAsia" w:hAnsiTheme="minorEastAsia"/>
          <w:color w:val="000000" w:themeColor="text1"/>
          <w14:textFill>
            <w14:solidFill>
              <w14:schemeClr w14:val="tx1"/>
            </w14:solidFill>
          </w14:textFill>
        </w:rPr>
      </w:pPr>
      <w:r>
        <w:rPr>
          <w:rFonts w:cs="宋体" w:asciiTheme="minorEastAsia" w:hAnsiTheme="minorEastAsia"/>
          <w:color w:val="000000" w:themeColor="text1"/>
          <w14:textFill>
            <w14:solidFill>
              <w14:schemeClr w14:val="tx1"/>
            </w14:solidFill>
          </w14:textFill>
        </w:rPr>
        <w:t>验厂不合格则不通过（不合格情况如：质量不达标、成本过高、供货时效不能响应、</w:t>
      </w:r>
    </w:p>
    <w:p w14:paraId="127C15BB">
      <w:pPr>
        <w:keepLines w:val="0"/>
        <w:spacing w:after="120" w:line="360" w:lineRule="auto"/>
        <w:ind w:firstLine="1260" w:firstLineChars="600"/>
        <w:jc w:val="left"/>
        <w:rPr>
          <w:rFonts w:cs="宋体" w:asciiTheme="minorEastAsia" w:hAnsiTheme="minorEastAsia"/>
          <w:color w:val="000000" w:themeColor="text1"/>
          <w14:textFill>
            <w14:solidFill>
              <w14:schemeClr w14:val="tx1"/>
            </w14:solidFill>
          </w14:textFill>
        </w:rPr>
      </w:pPr>
      <w:r>
        <w:rPr>
          <w:rFonts w:cs="宋体" w:asciiTheme="minorEastAsia" w:hAnsiTheme="minorEastAsia"/>
          <w:color w:val="000000" w:themeColor="text1"/>
          <w14:textFill>
            <w14:solidFill>
              <w14:schemeClr w14:val="tx1"/>
            </w14:solidFill>
          </w14:textFill>
        </w:rPr>
        <w:t>结算不能响应、售后无保障、其他法务风险等，以实际业务视情况定）。</w:t>
      </w:r>
    </w:p>
    <w:p w14:paraId="212B8664">
      <w:pPr>
        <w:keepLines w:val="0"/>
        <w:numPr>
          <w:ilvl w:val="0"/>
          <w:numId w:val="5"/>
        </w:numPr>
        <w:spacing w:after="120" w:line="360" w:lineRule="auto"/>
        <w:ind w:left="420" w:firstLine="420" w:firstLineChars="200"/>
        <w:jc w:val="left"/>
        <w:rPr>
          <w:rFonts w:cs="宋体" w:asciiTheme="minorEastAsia" w:hAnsiTheme="minorEastAsia"/>
          <w:color w:val="000000" w:themeColor="text1"/>
          <w14:textFill>
            <w14:solidFill>
              <w14:schemeClr w14:val="tx1"/>
            </w14:solidFill>
          </w14:textFill>
        </w:rPr>
      </w:pPr>
      <w:r>
        <w:rPr>
          <w:rFonts w:cs="宋体" w:asciiTheme="minorEastAsia" w:hAnsiTheme="minorEastAsia"/>
          <w:color w:val="000000" w:themeColor="text1"/>
          <w14:textFill>
            <w14:solidFill>
              <w14:schemeClr w14:val="tx1"/>
            </w14:solidFill>
          </w14:textFill>
        </w:rPr>
        <w:t>采购人员结合供应商供应情况进行年度供应商考核，考核等级分</w:t>
      </w:r>
      <w:r>
        <w:rPr>
          <w:rFonts w:hint="eastAsia" w:cs="宋体" w:asciiTheme="minorEastAsia" w:hAnsiTheme="minorEastAsia"/>
          <w:color w:val="000000" w:themeColor="text1"/>
          <w14:textFill>
            <w14:solidFill>
              <w14:schemeClr w14:val="tx1"/>
            </w14:solidFill>
          </w14:textFill>
        </w:rPr>
        <w:t>A（战略合作）</w:t>
      </w:r>
      <w:r>
        <w:rPr>
          <w:rFonts w:cs="宋体" w:asciiTheme="minorEastAsia" w:hAnsiTheme="minorEastAsia"/>
          <w:color w:val="000000" w:themeColor="text1"/>
          <w14:textFill>
            <w14:solidFill>
              <w14:schemeClr w14:val="tx1"/>
            </w14:solidFill>
          </w14:textFill>
        </w:rPr>
        <w:t>、</w:t>
      </w:r>
      <w:r>
        <w:rPr>
          <w:rFonts w:hint="eastAsia" w:cs="宋体" w:asciiTheme="minorEastAsia" w:hAnsiTheme="minorEastAsia"/>
          <w:color w:val="000000" w:themeColor="text1"/>
          <w14:textFill>
            <w14:solidFill>
              <w14:schemeClr w14:val="tx1"/>
            </w14:solidFill>
          </w14:textFill>
        </w:rPr>
        <w:t>B（合格）</w:t>
      </w:r>
      <w:r>
        <w:rPr>
          <w:rFonts w:cs="宋体" w:asciiTheme="minorEastAsia" w:hAnsiTheme="minorEastAsia"/>
          <w:color w:val="000000" w:themeColor="text1"/>
          <w14:textFill>
            <w14:solidFill>
              <w14:schemeClr w14:val="tx1"/>
            </w14:solidFill>
          </w14:textFill>
        </w:rPr>
        <w:t>、</w:t>
      </w:r>
    </w:p>
    <w:p w14:paraId="628BB424">
      <w:pPr>
        <w:keepLines w:val="0"/>
        <w:spacing w:after="120" w:line="360" w:lineRule="auto"/>
        <w:ind w:left="840" w:firstLine="420" w:firstLineChars="200"/>
        <w:jc w:val="left"/>
        <w:rPr>
          <w:rFonts w:cs="宋体" w:asciiTheme="minorEastAsia" w:hAnsiTheme="minorEastAsia"/>
          <w:color w:val="000000" w:themeColor="text1"/>
          <w14:textFill>
            <w14:solidFill>
              <w14:schemeClr w14:val="tx1"/>
            </w14:solidFill>
          </w14:textFill>
        </w:rPr>
      </w:pPr>
      <w:r>
        <w:rPr>
          <w:rFonts w:hint="eastAsia" w:cs="宋体" w:asciiTheme="minorEastAsia" w:hAnsiTheme="minorEastAsia"/>
          <w:color w:val="000000" w:themeColor="text1"/>
          <w14:textFill>
            <w14:solidFill>
              <w14:schemeClr w14:val="tx1"/>
            </w14:solidFill>
          </w14:textFill>
        </w:rPr>
        <w:t>C（辅导）</w:t>
      </w:r>
      <w:r>
        <w:rPr>
          <w:rFonts w:cs="宋体" w:asciiTheme="minorEastAsia" w:hAnsiTheme="minorEastAsia"/>
          <w:color w:val="000000" w:themeColor="text1"/>
          <w14:textFill>
            <w14:solidFill>
              <w14:schemeClr w14:val="tx1"/>
            </w14:solidFill>
          </w14:textFill>
        </w:rPr>
        <w:t>、</w:t>
      </w:r>
      <w:r>
        <w:rPr>
          <w:rFonts w:hint="eastAsia" w:cs="宋体" w:asciiTheme="minorEastAsia" w:hAnsiTheme="minorEastAsia"/>
          <w:color w:val="000000" w:themeColor="text1"/>
          <w14:textFill>
            <w14:solidFill>
              <w14:schemeClr w14:val="tx1"/>
            </w14:solidFill>
          </w14:textFill>
        </w:rPr>
        <w:t>D（淘汰），考核信息详见：非商品性供应商年度绩效考核表。</w:t>
      </w:r>
    </w:p>
    <w:p w14:paraId="002ADDEC">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4.4.</w:t>
      </w:r>
      <w:r>
        <w:rPr>
          <w:rFonts w:cs="宋体" w:asciiTheme="minorEastAsia" w:hAnsiTheme="minorEastAsia"/>
        </w:rPr>
        <w:t>2</w:t>
      </w:r>
      <w:r>
        <w:rPr>
          <w:rFonts w:hint="eastAsia" w:cs="宋体" w:asciiTheme="minorEastAsia" w:hAnsiTheme="minorEastAsia"/>
        </w:rPr>
        <w:t xml:space="preserve"> 供应商准入</w:t>
      </w:r>
    </w:p>
    <w:p w14:paraId="07906142">
      <w:pPr>
        <w:keepLines w:val="0"/>
        <w:numPr>
          <w:ilvl w:val="0"/>
          <w:numId w:val="5"/>
        </w:numPr>
        <w:spacing w:after="120" w:line="360" w:lineRule="auto"/>
        <w:ind w:left="420" w:firstLine="420" w:firstLineChars="200"/>
        <w:jc w:val="left"/>
        <w:rPr>
          <w:rFonts w:cs="宋体" w:asciiTheme="minorEastAsia" w:hAnsiTheme="minorEastAsia"/>
          <w:color w:val="000000" w:themeColor="text1"/>
          <w14:textFill>
            <w14:solidFill>
              <w14:schemeClr w14:val="tx1"/>
            </w14:solidFill>
          </w14:textFill>
        </w:rPr>
      </w:pPr>
      <w:r>
        <w:rPr>
          <w:rFonts w:hint="eastAsia" w:cs="宋体" w:asciiTheme="minorEastAsia" w:hAnsiTheme="minorEastAsia"/>
          <w:color w:val="000000" w:themeColor="text1"/>
          <w14:textFill>
            <w14:solidFill>
              <w14:schemeClr w14:val="tx1"/>
            </w14:solidFill>
          </w14:textFill>
        </w:rPr>
        <w:t>采购部门负责收集供应商资料。</w:t>
      </w:r>
    </w:p>
    <w:p w14:paraId="48EFCF22">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新供应商准入需提供加盖公章的《供应商调查表》及相关资质文件。</w:t>
      </w:r>
    </w:p>
    <w:p w14:paraId="007F52CA">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采购人员填写《供应商审批表》并审批完成，根据审批表所需资料提交至供应链支持中心进</w:t>
      </w:r>
    </w:p>
    <w:p w14:paraId="10D386ED">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行供应商资料建档</w:t>
      </w:r>
      <w:r>
        <w:rPr>
          <w:rFonts w:cs="宋体" w:asciiTheme="minorEastAsia" w:hAnsiTheme="minorEastAsia"/>
        </w:rPr>
        <w:t>，正式进入合格供应商库。</w:t>
      </w:r>
    </w:p>
    <w:p w14:paraId="5D282CDF">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4.4.</w:t>
      </w:r>
      <w:r>
        <w:rPr>
          <w:rFonts w:cs="宋体" w:asciiTheme="minorEastAsia" w:hAnsiTheme="minorEastAsia"/>
        </w:rPr>
        <w:t>3</w:t>
      </w:r>
      <w:r>
        <w:rPr>
          <w:rFonts w:hint="eastAsia" w:cs="宋体" w:asciiTheme="minorEastAsia" w:hAnsiTheme="minorEastAsia"/>
        </w:rPr>
        <w:t xml:space="preserve"> 供应商淘汰</w:t>
      </w:r>
    </w:p>
    <w:p w14:paraId="3A00083F">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采购部门根据实际合作情况结合非商品性供应商年度绩效考核表评估，对违反合同约定、</w:t>
      </w:r>
    </w:p>
    <w:p w14:paraId="677AC0EE">
      <w:pPr>
        <w:keepLines w:val="0"/>
        <w:spacing w:after="120" w:line="360" w:lineRule="auto"/>
        <w:ind w:left="420" w:firstLine="840" w:firstLineChars="400"/>
        <w:jc w:val="left"/>
        <w:rPr>
          <w:rFonts w:cs="宋体" w:asciiTheme="minorEastAsia" w:hAnsiTheme="minorEastAsia"/>
        </w:rPr>
      </w:pPr>
      <w:r>
        <w:rPr>
          <w:rFonts w:hint="eastAsia" w:cs="宋体" w:asciiTheme="minorEastAsia" w:hAnsiTheme="minorEastAsia"/>
        </w:rPr>
        <w:t>存在严重质量、不合规问题的供应商，采购部门应启动淘汰机制，停止采购并列入黑名单。</w:t>
      </w:r>
    </w:p>
    <w:p w14:paraId="2132C30F">
      <w:pPr>
        <w:spacing w:after="120" w:line="360" w:lineRule="auto"/>
        <w:ind w:firstLine="420" w:firstLineChars="200"/>
        <w:jc w:val="left"/>
        <w:rPr>
          <w:rFonts w:cs="宋体" w:asciiTheme="minorEastAsia" w:hAnsiTheme="minorEastAsia"/>
        </w:rPr>
      </w:pPr>
      <w:r>
        <w:rPr>
          <w:rFonts w:hint="eastAsia" w:cs="宋体" w:asciiTheme="minorEastAsia" w:hAnsiTheme="minorEastAsia"/>
        </w:rPr>
        <w:t>4.5 采购审计与合规</w:t>
      </w:r>
    </w:p>
    <w:p w14:paraId="5C0D7743">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阳光采购： 采购人员必须遵守《员工行为准则》和《反商业贿赂协议》，不得接受供应商任</w:t>
      </w:r>
    </w:p>
    <w:p w14:paraId="3371D145">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何形式的贿赂或不当利益。</w:t>
      </w:r>
    </w:p>
    <w:p w14:paraId="30760E19">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利益回避： 采购人员如与供应商存在直接或间接关联关系，必须主动申报并回避。</w:t>
      </w:r>
    </w:p>
    <w:p w14:paraId="5CA0ABBB">
      <w:pPr>
        <w:keepLines w:val="0"/>
        <w:numPr>
          <w:ilvl w:val="0"/>
          <w:numId w:val="5"/>
        </w:numPr>
        <w:spacing w:after="120" w:line="360" w:lineRule="auto"/>
        <w:ind w:left="420" w:firstLine="420" w:firstLineChars="200"/>
        <w:jc w:val="left"/>
        <w:rPr>
          <w:rFonts w:cs="宋体" w:asciiTheme="minorEastAsia" w:hAnsiTheme="minorEastAsia"/>
        </w:rPr>
      </w:pPr>
      <w:r>
        <w:rPr>
          <w:rFonts w:hint="eastAsia" w:cs="宋体" w:asciiTheme="minorEastAsia" w:hAnsiTheme="minorEastAsia"/>
        </w:rPr>
        <w:t>内部审计： 审计部门不定期对非商品性采购活动的全过程进行审计，检查流程执行的</w:t>
      </w:r>
    </w:p>
    <w:p w14:paraId="3BFD318C">
      <w:pPr>
        <w:keepLines w:val="0"/>
        <w:spacing w:after="120" w:line="360" w:lineRule="auto"/>
        <w:ind w:left="840" w:firstLine="420" w:firstLineChars="200"/>
        <w:jc w:val="left"/>
        <w:rPr>
          <w:rFonts w:cs="宋体" w:asciiTheme="minorEastAsia" w:hAnsiTheme="minorEastAsia"/>
        </w:rPr>
      </w:pPr>
      <w:r>
        <w:rPr>
          <w:rFonts w:hint="eastAsia" w:cs="宋体" w:asciiTheme="minorEastAsia" w:hAnsiTheme="minorEastAsia"/>
        </w:rPr>
        <w:t>合规性和有效性。</w:t>
      </w:r>
    </w:p>
    <w:p w14:paraId="0A7B204E">
      <w:pPr>
        <w:spacing w:line="360" w:lineRule="auto"/>
        <w:rPr>
          <w:rFonts w:ascii="宋体" w:hAnsi="宋体" w:eastAsia="宋体"/>
          <w:b/>
          <w:sz w:val="24"/>
          <w:szCs w:val="24"/>
        </w:rPr>
      </w:pPr>
      <w:r>
        <w:rPr>
          <w:rFonts w:hint="eastAsia" w:ascii="宋体" w:hAnsi="宋体" w:eastAsia="宋体"/>
          <w:b/>
          <w:sz w:val="24"/>
          <w:szCs w:val="24"/>
        </w:rPr>
        <w:t>5.</w:t>
      </w:r>
      <w:r>
        <w:rPr>
          <w:rFonts w:hint="eastAsia" w:ascii="宋体" w:hAnsi="宋体" w:eastAsia="宋体"/>
          <w:b/>
          <w:sz w:val="24"/>
        </w:rPr>
        <w:t>对应的流程/规范/操作指导书</w:t>
      </w:r>
    </w:p>
    <w:tbl>
      <w:tblPr>
        <w:tblStyle w:val="14"/>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8"/>
        <w:gridCol w:w="3827"/>
      </w:tblGrid>
      <w:tr w14:paraId="7A7A3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8" w:type="dxa"/>
          </w:tcPr>
          <w:p w14:paraId="30931964">
            <w:pPr>
              <w:spacing w:line="360" w:lineRule="auto"/>
              <w:rPr>
                <w:rFonts w:ascii="宋体" w:hAnsi="宋体" w:eastAsia="宋体"/>
              </w:rPr>
            </w:pPr>
            <w:r>
              <w:rPr>
                <w:rFonts w:hint="eastAsia" w:ascii="宋体" w:hAnsi="宋体" w:eastAsia="宋体"/>
              </w:rPr>
              <w:t>文件名称</w:t>
            </w:r>
          </w:p>
        </w:tc>
        <w:tc>
          <w:tcPr>
            <w:tcW w:w="3827" w:type="dxa"/>
          </w:tcPr>
          <w:p w14:paraId="1641EEFE">
            <w:pPr>
              <w:spacing w:line="360" w:lineRule="auto"/>
              <w:rPr>
                <w:rFonts w:ascii="宋体" w:hAnsi="宋体" w:eastAsia="宋体"/>
              </w:rPr>
            </w:pPr>
            <w:r>
              <w:rPr>
                <w:rFonts w:hint="eastAsia" w:ascii="宋体" w:hAnsi="宋体" w:eastAsia="宋体"/>
              </w:rPr>
              <w:t>文件编码</w:t>
            </w:r>
          </w:p>
        </w:tc>
      </w:tr>
      <w:tr w14:paraId="05CB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8" w:type="dxa"/>
          </w:tcPr>
          <w:p w14:paraId="4A8CDCB3">
            <w:pPr>
              <w:spacing w:line="360" w:lineRule="auto"/>
              <w:rPr>
                <w:rFonts w:ascii="宋体" w:hAnsi="宋体" w:eastAsia="宋体"/>
              </w:rPr>
            </w:pPr>
            <w:r>
              <w:rPr>
                <w:rFonts w:hint="eastAsia" w:ascii="宋体" w:hAnsi="宋体" w:eastAsia="宋体"/>
              </w:rPr>
              <w:t>非商品性物料申购流程说明</w:t>
            </w:r>
          </w:p>
        </w:tc>
        <w:tc>
          <w:tcPr>
            <w:tcW w:w="3827" w:type="dxa"/>
          </w:tcPr>
          <w:p w14:paraId="18FB8FE1">
            <w:pPr>
              <w:spacing w:line="360" w:lineRule="auto"/>
              <w:rPr>
                <w:rFonts w:ascii="宋体" w:hAnsi="宋体" w:eastAsia="宋体"/>
              </w:rPr>
            </w:pPr>
          </w:p>
        </w:tc>
      </w:tr>
      <w:tr w14:paraId="3E84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8" w:type="dxa"/>
          </w:tcPr>
          <w:p w14:paraId="7F59BAD9">
            <w:pPr>
              <w:spacing w:line="360" w:lineRule="auto"/>
              <w:rPr>
                <w:rFonts w:ascii="宋体" w:hAnsi="宋体" w:eastAsia="宋体"/>
              </w:rPr>
            </w:pPr>
            <w:r>
              <w:rPr>
                <w:rFonts w:hint="eastAsia" w:ascii="宋体" w:hAnsi="宋体" w:eastAsia="宋体"/>
              </w:rPr>
              <w:t>都市丽人招投标流程</w:t>
            </w:r>
          </w:p>
        </w:tc>
        <w:tc>
          <w:tcPr>
            <w:tcW w:w="3827" w:type="dxa"/>
          </w:tcPr>
          <w:p w14:paraId="306219CF">
            <w:pPr>
              <w:spacing w:line="360" w:lineRule="auto"/>
              <w:rPr>
                <w:rFonts w:ascii="宋体" w:hAnsi="宋体" w:eastAsia="宋体"/>
              </w:rPr>
            </w:pPr>
          </w:p>
        </w:tc>
      </w:tr>
      <w:tr w14:paraId="0799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8" w:type="dxa"/>
          </w:tcPr>
          <w:p w14:paraId="164B8484">
            <w:pPr>
              <w:spacing w:line="360" w:lineRule="auto"/>
              <w:rPr>
                <w:rFonts w:ascii="宋体" w:hAnsi="宋体" w:eastAsia="宋体"/>
              </w:rPr>
            </w:pPr>
          </w:p>
        </w:tc>
        <w:tc>
          <w:tcPr>
            <w:tcW w:w="3827" w:type="dxa"/>
          </w:tcPr>
          <w:p w14:paraId="6A277AAA">
            <w:pPr>
              <w:spacing w:line="360" w:lineRule="auto"/>
              <w:rPr>
                <w:rFonts w:ascii="宋体" w:hAnsi="宋体" w:eastAsia="宋体"/>
              </w:rPr>
            </w:pPr>
          </w:p>
        </w:tc>
      </w:tr>
    </w:tbl>
    <w:p w14:paraId="3DB90F9B">
      <w:pPr>
        <w:spacing w:line="360" w:lineRule="auto"/>
        <w:rPr>
          <w:rFonts w:ascii="宋体" w:hAnsi="宋体" w:eastAsia="宋体"/>
          <w:b/>
          <w:sz w:val="24"/>
          <w:szCs w:val="24"/>
        </w:rPr>
      </w:pPr>
    </w:p>
    <w:p w14:paraId="62D26D11">
      <w:pPr>
        <w:spacing w:line="360" w:lineRule="auto"/>
        <w:rPr>
          <w:rFonts w:ascii="宋体" w:hAnsi="宋体" w:eastAsia="宋体"/>
          <w:b/>
          <w:sz w:val="24"/>
          <w:szCs w:val="24"/>
        </w:rPr>
      </w:pPr>
      <w:r>
        <w:rPr>
          <w:rFonts w:hint="eastAsia" w:ascii="宋体" w:hAnsi="宋体" w:eastAsia="宋体"/>
          <w:b/>
          <w:sz w:val="24"/>
          <w:szCs w:val="24"/>
        </w:rPr>
        <w:t>6.相关文件</w:t>
      </w:r>
    </w:p>
    <w:tbl>
      <w:tblPr>
        <w:tblStyle w:val="14"/>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5528"/>
        <w:gridCol w:w="2835"/>
      </w:tblGrid>
      <w:tr w14:paraId="48E7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3DAF0B87">
            <w:pPr>
              <w:spacing w:line="360" w:lineRule="auto"/>
              <w:rPr>
                <w:rFonts w:ascii="宋体" w:hAnsi="宋体" w:eastAsia="宋体"/>
              </w:rPr>
            </w:pPr>
            <w:r>
              <w:rPr>
                <w:rFonts w:hint="eastAsia" w:ascii="宋体" w:hAnsi="宋体" w:eastAsia="宋体"/>
              </w:rPr>
              <w:t>序号</w:t>
            </w:r>
          </w:p>
        </w:tc>
        <w:tc>
          <w:tcPr>
            <w:tcW w:w="5528" w:type="dxa"/>
          </w:tcPr>
          <w:p w14:paraId="7F5A1886">
            <w:pPr>
              <w:spacing w:line="360" w:lineRule="auto"/>
              <w:rPr>
                <w:rFonts w:ascii="宋体" w:hAnsi="宋体" w:eastAsia="宋体"/>
              </w:rPr>
            </w:pPr>
            <w:r>
              <w:rPr>
                <w:rFonts w:hint="eastAsia" w:ascii="宋体" w:hAnsi="宋体" w:eastAsia="宋体"/>
              </w:rPr>
              <w:t>文件名称</w:t>
            </w:r>
          </w:p>
        </w:tc>
        <w:tc>
          <w:tcPr>
            <w:tcW w:w="2835" w:type="dxa"/>
          </w:tcPr>
          <w:p w14:paraId="3E6BCEC1">
            <w:pPr>
              <w:spacing w:line="360" w:lineRule="auto"/>
              <w:rPr>
                <w:rFonts w:ascii="宋体" w:hAnsi="宋体" w:eastAsia="宋体"/>
              </w:rPr>
            </w:pPr>
            <w:r>
              <w:rPr>
                <w:rFonts w:hint="eastAsia" w:ascii="宋体" w:hAnsi="宋体" w:eastAsia="宋体"/>
              </w:rPr>
              <w:t>文件编码</w:t>
            </w:r>
          </w:p>
        </w:tc>
      </w:tr>
      <w:tr w14:paraId="663C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F284FD0">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w:t>
            </w:r>
          </w:p>
        </w:tc>
        <w:tc>
          <w:tcPr>
            <w:tcW w:w="5528" w:type="dxa"/>
          </w:tcPr>
          <w:p w14:paraId="788ADA0B">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供应商基本资料信息表（评估前填写）</w:t>
            </w:r>
          </w:p>
        </w:tc>
        <w:tc>
          <w:tcPr>
            <w:tcW w:w="2835" w:type="dxa"/>
          </w:tcPr>
          <w:p w14:paraId="01DBBF07">
            <w:pPr>
              <w:spacing w:line="360" w:lineRule="auto"/>
              <w:rPr>
                <w:rFonts w:ascii="宋体" w:hAnsi="宋体" w:eastAsia="宋体"/>
              </w:rPr>
            </w:pPr>
          </w:p>
        </w:tc>
      </w:tr>
      <w:tr w14:paraId="511F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858BBD1">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2</w:t>
            </w:r>
          </w:p>
        </w:tc>
        <w:tc>
          <w:tcPr>
            <w:tcW w:w="5528" w:type="dxa"/>
          </w:tcPr>
          <w:p w14:paraId="2F2A2E2C">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供应商引进审批表</w:t>
            </w:r>
          </w:p>
        </w:tc>
        <w:tc>
          <w:tcPr>
            <w:tcW w:w="2835" w:type="dxa"/>
          </w:tcPr>
          <w:p w14:paraId="003A2162">
            <w:pPr>
              <w:spacing w:line="360" w:lineRule="auto"/>
              <w:rPr>
                <w:rFonts w:ascii="宋体" w:hAnsi="宋体" w:eastAsia="宋体"/>
              </w:rPr>
            </w:pPr>
          </w:p>
        </w:tc>
      </w:tr>
      <w:tr w14:paraId="602C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9C1F0A">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3</w:t>
            </w:r>
          </w:p>
        </w:tc>
        <w:tc>
          <w:tcPr>
            <w:tcW w:w="5528" w:type="dxa"/>
          </w:tcPr>
          <w:p w14:paraId="145F7A02">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供应商基本信息表（引进时填写加盖公章）</w:t>
            </w:r>
          </w:p>
        </w:tc>
        <w:tc>
          <w:tcPr>
            <w:tcW w:w="2835" w:type="dxa"/>
          </w:tcPr>
          <w:p w14:paraId="2DD85B1F">
            <w:pPr>
              <w:spacing w:line="360" w:lineRule="auto"/>
              <w:rPr>
                <w:rFonts w:ascii="宋体" w:hAnsi="宋体" w:eastAsia="宋体"/>
              </w:rPr>
            </w:pPr>
          </w:p>
        </w:tc>
      </w:tr>
      <w:tr w14:paraId="6ABF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741E22C">
            <w:pPr>
              <w:spacing w:line="360" w:lineRule="auto"/>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4</w:t>
            </w:r>
          </w:p>
        </w:tc>
        <w:tc>
          <w:tcPr>
            <w:tcW w:w="5528" w:type="dxa"/>
          </w:tcPr>
          <w:p w14:paraId="558E8262">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价格审批表</w:t>
            </w:r>
          </w:p>
        </w:tc>
        <w:tc>
          <w:tcPr>
            <w:tcW w:w="2835" w:type="dxa"/>
          </w:tcPr>
          <w:p w14:paraId="572CBF9E">
            <w:pPr>
              <w:spacing w:line="360" w:lineRule="auto"/>
              <w:rPr>
                <w:rFonts w:ascii="宋体" w:hAnsi="宋体" w:eastAsia="宋体"/>
              </w:rPr>
            </w:pPr>
          </w:p>
        </w:tc>
      </w:tr>
      <w:tr w14:paraId="439A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3FD25D7">
            <w:pPr>
              <w:spacing w:line="360" w:lineRule="auto"/>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c>
          <w:tcPr>
            <w:tcW w:w="5528" w:type="dxa"/>
          </w:tcPr>
          <w:p w14:paraId="41A168B8">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非</w:t>
            </w:r>
            <w:r>
              <w:rPr>
                <w:rFonts w:ascii="宋体" w:hAnsi="宋体" w:eastAsia="宋体"/>
                <w:color w:val="000000" w:themeColor="text1"/>
                <w14:textFill>
                  <w14:solidFill>
                    <w14:schemeClr w14:val="tx1"/>
                  </w14:solidFill>
                </w14:textFill>
              </w:rPr>
              <w:t>商品性资料建档表</w:t>
            </w:r>
            <w:r>
              <w:rPr>
                <w:rFonts w:hint="eastAsia" w:ascii="宋体" w:hAnsi="宋体" w:eastAsia="宋体"/>
                <w:color w:val="000000" w:themeColor="text1"/>
                <w14:textFill>
                  <w14:solidFill>
                    <w14:schemeClr w14:val="tx1"/>
                  </w14:solidFill>
                </w14:textFill>
              </w:rPr>
              <w:t>/一品多商表/调价表/</w:t>
            </w:r>
            <w:r>
              <w:rPr>
                <w:rStyle w:val="16"/>
                <w:rFonts w:hint="eastAsia"/>
                <w:color w:val="000000" w:themeColor="text1"/>
                <w14:textFill>
                  <w14:solidFill>
                    <w14:schemeClr w14:val="tx1"/>
                  </w14:solidFill>
                </w14:textFill>
              </w:rPr>
              <w:t>资料变更表</w:t>
            </w:r>
          </w:p>
        </w:tc>
        <w:tc>
          <w:tcPr>
            <w:tcW w:w="2835" w:type="dxa"/>
          </w:tcPr>
          <w:p w14:paraId="683B3CD9">
            <w:pPr>
              <w:spacing w:line="360" w:lineRule="auto"/>
              <w:rPr>
                <w:rFonts w:ascii="宋体" w:hAnsi="宋体" w:eastAsia="宋体"/>
              </w:rPr>
            </w:pPr>
          </w:p>
        </w:tc>
      </w:tr>
      <w:tr w14:paraId="1154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1D61E9B">
            <w:pPr>
              <w:spacing w:line="360" w:lineRule="auto"/>
              <w:rPr>
                <w:rFonts w:ascii="宋体" w:hAnsi="宋体" w:eastAsia="宋体"/>
                <w:color w:val="FF0000"/>
              </w:rPr>
            </w:pPr>
            <w:r>
              <w:rPr>
                <w:rFonts w:ascii="宋体" w:hAnsi="宋体" w:eastAsia="宋体"/>
                <w:color w:val="000000" w:themeColor="text1"/>
                <w14:textFill>
                  <w14:solidFill>
                    <w14:schemeClr w14:val="tx1"/>
                  </w14:solidFill>
                </w14:textFill>
              </w:rPr>
              <w:t>6</w:t>
            </w:r>
          </w:p>
        </w:tc>
        <w:tc>
          <w:tcPr>
            <w:tcW w:w="5528" w:type="dxa"/>
          </w:tcPr>
          <w:p w14:paraId="1E60FBE0">
            <w:pPr>
              <w:spacing w:line="360" w:lineRule="auto"/>
              <w:rPr>
                <w:rFonts w:ascii="宋体" w:hAnsi="宋体" w:eastAsia="宋体"/>
                <w:color w:val="FF0000"/>
              </w:rPr>
            </w:pPr>
            <w:r>
              <w:rPr>
                <w:rFonts w:hint="eastAsia" w:ascii="宋体" w:hAnsi="宋体" w:eastAsia="宋体"/>
                <w:color w:val="000000" w:themeColor="text1"/>
                <w14:textFill>
                  <w14:solidFill>
                    <w14:schemeClr w14:val="tx1"/>
                  </w14:solidFill>
                </w14:textFill>
              </w:rPr>
              <w:t>反商业贿赂协议</w:t>
            </w:r>
          </w:p>
        </w:tc>
        <w:tc>
          <w:tcPr>
            <w:tcW w:w="2835" w:type="dxa"/>
          </w:tcPr>
          <w:p w14:paraId="09AB7281">
            <w:pPr>
              <w:spacing w:line="360" w:lineRule="auto"/>
              <w:rPr>
                <w:rFonts w:ascii="宋体" w:hAnsi="宋体" w:eastAsia="宋体"/>
              </w:rPr>
            </w:pPr>
          </w:p>
        </w:tc>
      </w:tr>
      <w:tr w14:paraId="6A5C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7D7D518">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7</w:t>
            </w:r>
          </w:p>
        </w:tc>
        <w:tc>
          <w:tcPr>
            <w:tcW w:w="5528" w:type="dxa"/>
          </w:tcPr>
          <w:p w14:paraId="0E16D97B">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供应商异常登记表</w:t>
            </w:r>
          </w:p>
        </w:tc>
        <w:tc>
          <w:tcPr>
            <w:tcW w:w="2835" w:type="dxa"/>
          </w:tcPr>
          <w:p w14:paraId="1DA1FC68">
            <w:pPr>
              <w:spacing w:line="360" w:lineRule="auto"/>
              <w:rPr>
                <w:rFonts w:ascii="宋体" w:hAnsi="宋体" w:eastAsia="宋体"/>
              </w:rPr>
            </w:pPr>
          </w:p>
        </w:tc>
      </w:tr>
      <w:tr w14:paraId="55DFA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3B4C49A">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8</w:t>
            </w:r>
          </w:p>
        </w:tc>
        <w:tc>
          <w:tcPr>
            <w:tcW w:w="5528" w:type="dxa"/>
          </w:tcPr>
          <w:p w14:paraId="08E73139">
            <w:pPr>
              <w:spacing w:line="360" w:lineRule="auto"/>
              <w:rPr>
                <w:rFonts w:ascii="宋体" w:hAnsi="宋体" w:eastAsia="宋体"/>
                <w:color w:val="000000" w:themeColor="text1"/>
                <w14:textFill>
                  <w14:solidFill>
                    <w14:schemeClr w14:val="tx1"/>
                  </w14:solidFill>
                </w14:textFill>
              </w:rPr>
            </w:pPr>
            <w:r>
              <w:rPr>
                <w:rFonts w:hint="eastAsia" w:cs="宋体" w:asciiTheme="minorEastAsia" w:hAnsiTheme="minorEastAsia"/>
                <w:color w:val="000000" w:themeColor="text1"/>
                <w14:textFill>
                  <w14:solidFill>
                    <w14:schemeClr w14:val="tx1"/>
                  </w14:solidFill>
                </w14:textFill>
              </w:rPr>
              <w:t>非商品性供应商年度绩效考核表</w:t>
            </w:r>
          </w:p>
        </w:tc>
        <w:tc>
          <w:tcPr>
            <w:tcW w:w="2835" w:type="dxa"/>
          </w:tcPr>
          <w:p w14:paraId="2858130D">
            <w:pPr>
              <w:spacing w:line="360" w:lineRule="auto"/>
              <w:rPr>
                <w:rFonts w:ascii="宋体" w:hAnsi="宋体" w:eastAsia="宋体"/>
              </w:rPr>
            </w:pPr>
          </w:p>
        </w:tc>
      </w:tr>
    </w:tbl>
    <w:p w14:paraId="7A5264B7">
      <w:pPr>
        <w:spacing w:line="360" w:lineRule="auto"/>
        <w:rPr>
          <w:rFonts w:ascii="宋体" w:hAnsi="宋体" w:eastAsia="宋体"/>
          <w:b/>
          <w:sz w:val="24"/>
          <w:szCs w:val="24"/>
        </w:rPr>
      </w:pPr>
    </w:p>
    <w:p w14:paraId="7BECFDE5">
      <w:pPr>
        <w:spacing w:line="360" w:lineRule="auto"/>
        <w:rPr>
          <w:rFonts w:ascii="宋体" w:hAnsi="宋体" w:eastAsia="宋体"/>
          <w:b/>
          <w:sz w:val="24"/>
          <w:szCs w:val="24"/>
        </w:rPr>
      </w:pPr>
      <w:r>
        <w:rPr>
          <w:rFonts w:hint="eastAsia" w:ascii="宋体" w:hAnsi="宋体" w:eastAsia="宋体"/>
          <w:b/>
          <w:sz w:val="24"/>
          <w:szCs w:val="24"/>
        </w:rPr>
        <w:t>7.记录的保存</w:t>
      </w:r>
    </w:p>
    <w:tbl>
      <w:tblPr>
        <w:tblStyle w:val="14"/>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276"/>
        <w:gridCol w:w="1276"/>
        <w:gridCol w:w="1134"/>
        <w:gridCol w:w="1276"/>
        <w:gridCol w:w="1417"/>
        <w:gridCol w:w="1701"/>
      </w:tblGrid>
      <w:tr w14:paraId="48A1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275" w:type="dxa"/>
          </w:tcPr>
          <w:p w14:paraId="4DD54123">
            <w:pPr>
              <w:spacing w:line="360" w:lineRule="auto"/>
              <w:rPr>
                <w:rFonts w:ascii="宋体" w:hAnsi="宋体" w:eastAsia="宋体"/>
              </w:rPr>
            </w:pPr>
            <w:r>
              <w:rPr>
                <w:rFonts w:hint="eastAsia" w:ascii="宋体" w:hAnsi="宋体" w:eastAsia="宋体"/>
              </w:rPr>
              <w:t>记录名称</w:t>
            </w:r>
          </w:p>
        </w:tc>
        <w:tc>
          <w:tcPr>
            <w:tcW w:w="1276" w:type="dxa"/>
          </w:tcPr>
          <w:p w14:paraId="2D7B1135">
            <w:pPr>
              <w:spacing w:line="360" w:lineRule="auto"/>
              <w:rPr>
                <w:rFonts w:ascii="宋体" w:hAnsi="宋体" w:eastAsia="宋体"/>
              </w:rPr>
            </w:pPr>
            <w:r>
              <w:rPr>
                <w:rFonts w:hint="eastAsia" w:ascii="宋体" w:hAnsi="宋体" w:eastAsia="宋体"/>
              </w:rPr>
              <w:t>移交责任人</w:t>
            </w:r>
          </w:p>
        </w:tc>
        <w:tc>
          <w:tcPr>
            <w:tcW w:w="1276" w:type="dxa"/>
          </w:tcPr>
          <w:p w14:paraId="44DFA591">
            <w:pPr>
              <w:spacing w:line="360" w:lineRule="auto"/>
              <w:rPr>
                <w:rFonts w:ascii="宋体" w:hAnsi="宋体" w:eastAsia="宋体"/>
              </w:rPr>
            </w:pPr>
            <w:r>
              <w:rPr>
                <w:rFonts w:hint="eastAsia" w:ascii="宋体" w:hAnsi="宋体" w:eastAsia="宋体"/>
              </w:rPr>
              <w:t>保存责任人</w:t>
            </w:r>
          </w:p>
        </w:tc>
        <w:tc>
          <w:tcPr>
            <w:tcW w:w="1134" w:type="dxa"/>
          </w:tcPr>
          <w:p w14:paraId="52DF8D75">
            <w:pPr>
              <w:spacing w:line="360" w:lineRule="auto"/>
              <w:rPr>
                <w:rFonts w:ascii="宋体" w:hAnsi="宋体" w:eastAsia="宋体"/>
              </w:rPr>
            </w:pPr>
            <w:r>
              <w:rPr>
                <w:rFonts w:hint="eastAsia" w:ascii="宋体" w:hAnsi="宋体" w:eastAsia="宋体"/>
              </w:rPr>
              <w:t>保存场所</w:t>
            </w:r>
          </w:p>
        </w:tc>
        <w:tc>
          <w:tcPr>
            <w:tcW w:w="1276" w:type="dxa"/>
          </w:tcPr>
          <w:p w14:paraId="65429CEA">
            <w:pPr>
              <w:spacing w:line="360" w:lineRule="auto"/>
              <w:rPr>
                <w:rFonts w:ascii="宋体" w:hAnsi="宋体" w:eastAsia="宋体"/>
              </w:rPr>
            </w:pPr>
            <w:r>
              <w:rPr>
                <w:rFonts w:hint="eastAsia" w:ascii="宋体" w:hAnsi="宋体" w:eastAsia="宋体"/>
              </w:rPr>
              <w:t>归档时间</w:t>
            </w:r>
          </w:p>
        </w:tc>
        <w:tc>
          <w:tcPr>
            <w:tcW w:w="1417" w:type="dxa"/>
          </w:tcPr>
          <w:p w14:paraId="478AADED">
            <w:pPr>
              <w:spacing w:line="360" w:lineRule="auto"/>
              <w:rPr>
                <w:rFonts w:ascii="宋体" w:hAnsi="宋体" w:eastAsia="宋体"/>
              </w:rPr>
            </w:pPr>
            <w:r>
              <w:rPr>
                <w:rFonts w:hint="eastAsia" w:ascii="宋体" w:hAnsi="宋体" w:eastAsia="宋体"/>
              </w:rPr>
              <w:t>保存期限</w:t>
            </w:r>
          </w:p>
        </w:tc>
        <w:tc>
          <w:tcPr>
            <w:tcW w:w="1701" w:type="dxa"/>
          </w:tcPr>
          <w:p w14:paraId="2E3F2CAC">
            <w:pPr>
              <w:spacing w:line="360" w:lineRule="auto"/>
              <w:rPr>
                <w:rFonts w:ascii="宋体" w:hAnsi="宋体" w:eastAsia="宋体"/>
              </w:rPr>
            </w:pPr>
            <w:r>
              <w:rPr>
                <w:rFonts w:hint="eastAsia" w:ascii="宋体" w:hAnsi="宋体" w:eastAsia="宋体"/>
              </w:rPr>
              <w:t>到期处理方式</w:t>
            </w:r>
          </w:p>
        </w:tc>
      </w:tr>
      <w:tr w14:paraId="63B0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5" w:type="dxa"/>
          </w:tcPr>
          <w:p w14:paraId="7A67344A">
            <w:pPr>
              <w:spacing w:line="360" w:lineRule="auto"/>
              <w:rPr>
                <w:rFonts w:ascii="宋体" w:hAnsi="宋体" w:eastAsia="宋体"/>
              </w:rPr>
            </w:pPr>
          </w:p>
        </w:tc>
        <w:tc>
          <w:tcPr>
            <w:tcW w:w="1276" w:type="dxa"/>
          </w:tcPr>
          <w:p w14:paraId="644DE282">
            <w:pPr>
              <w:spacing w:line="360" w:lineRule="auto"/>
              <w:rPr>
                <w:rFonts w:ascii="宋体" w:hAnsi="宋体" w:eastAsia="宋体"/>
              </w:rPr>
            </w:pPr>
          </w:p>
        </w:tc>
        <w:tc>
          <w:tcPr>
            <w:tcW w:w="1276" w:type="dxa"/>
          </w:tcPr>
          <w:p w14:paraId="1AF77729">
            <w:pPr>
              <w:spacing w:line="360" w:lineRule="auto"/>
              <w:rPr>
                <w:rFonts w:ascii="宋体" w:hAnsi="宋体" w:eastAsia="宋体"/>
              </w:rPr>
            </w:pPr>
          </w:p>
        </w:tc>
        <w:tc>
          <w:tcPr>
            <w:tcW w:w="1134" w:type="dxa"/>
          </w:tcPr>
          <w:p w14:paraId="22A322E2">
            <w:pPr>
              <w:spacing w:line="360" w:lineRule="auto"/>
              <w:rPr>
                <w:rFonts w:ascii="宋体" w:hAnsi="宋体" w:eastAsia="宋体"/>
              </w:rPr>
            </w:pPr>
          </w:p>
        </w:tc>
        <w:tc>
          <w:tcPr>
            <w:tcW w:w="1276" w:type="dxa"/>
          </w:tcPr>
          <w:p w14:paraId="677DFA69">
            <w:pPr>
              <w:spacing w:line="360" w:lineRule="auto"/>
              <w:rPr>
                <w:rFonts w:ascii="宋体" w:hAnsi="宋体" w:eastAsia="宋体"/>
              </w:rPr>
            </w:pPr>
          </w:p>
        </w:tc>
        <w:tc>
          <w:tcPr>
            <w:tcW w:w="1417" w:type="dxa"/>
          </w:tcPr>
          <w:p w14:paraId="66FC84D4">
            <w:pPr>
              <w:spacing w:line="360" w:lineRule="auto"/>
              <w:rPr>
                <w:rFonts w:ascii="宋体" w:hAnsi="宋体" w:eastAsia="宋体"/>
              </w:rPr>
            </w:pPr>
          </w:p>
        </w:tc>
        <w:tc>
          <w:tcPr>
            <w:tcW w:w="1701" w:type="dxa"/>
          </w:tcPr>
          <w:p w14:paraId="0080AE6F">
            <w:pPr>
              <w:spacing w:line="360" w:lineRule="auto"/>
              <w:rPr>
                <w:rFonts w:ascii="宋体" w:hAnsi="宋体" w:eastAsia="宋体"/>
              </w:rPr>
            </w:pPr>
          </w:p>
        </w:tc>
      </w:tr>
    </w:tbl>
    <w:p w14:paraId="3D801DD0">
      <w:pPr>
        <w:spacing w:line="360" w:lineRule="auto"/>
        <w:rPr>
          <w:rFonts w:ascii="宋体" w:hAnsi="宋体" w:eastAsia="宋体"/>
          <w:b/>
          <w:sz w:val="24"/>
          <w:szCs w:val="24"/>
        </w:rPr>
      </w:pPr>
    </w:p>
    <w:p w14:paraId="579F87F5">
      <w:pPr>
        <w:spacing w:line="360" w:lineRule="auto"/>
        <w:rPr>
          <w:rFonts w:ascii="宋体" w:hAnsi="宋体" w:eastAsia="宋体"/>
          <w:b/>
          <w:sz w:val="24"/>
          <w:szCs w:val="24"/>
        </w:rPr>
      </w:pPr>
      <w:r>
        <w:rPr>
          <w:rFonts w:hint="eastAsia" w:ascii="宋体" w:hAnsi="宋体" w:eastAsia="宋体"/>
          <w:b/>
          <w:sz w:val="24"/>
          <w:szCs w:val="24"/>
        </w:rPr>
        <w:t>8.文件拟制/修订记录</w:t>
      </w:r>
    </w:p>
    <w:tbl>
      <w:tblPr>
        <w:tblStyle w:val="14"/>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85"/>
        <w:gridCol w:w="2268"/>
        <w:gridCol w:w="2694"/>
        <w:gridCol w:w="1701"/>
      </w:tblGrid>
      <w:tr w14:paraId="0014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E2FB47F">
            <w:pPr>
              <w:spacing w:line="360" w:lineRule="auto"/>
              <w:rPr>
                <w:rFonts w:ascii="宋体" w:hAnsi="宋体" w:eastAsia="宋体"/>
              </w:rPr>
            </w:pPr>
            <w:r>
              <w:rPr>
                <w:rFonts w:hint="eastAsia" w:ascii="宋体" w:hAnsi="宋体" w:eastAsia="宋体"/>
              </w:rPr>
              <w:t>版本</w:t>
            </w:r>
          </w:p>
        </w:tc>
        <w:tc>
          <w:tcPr>
            <w:tcW w:w="1985" w:type="dxa"/>
          </w:tcPr>
          <w:p w14:paraId="65EA777E">
            <w:pPr>
              <w:spacing w:line="360" w:lineRule="auto"/>
              <w:rPr>
                <w:rFonts w:ascii="宋体" w:hAnsi="宋体" w:eastAsia="宋体"/>
              </w:rPr>
            </w:pPr>
            <w:r>
              <w:rPr>
                <w:rFonts w:hint="eastAsia" w:ascii="宋体" w:hAnsi="宋体" w:eastAsia="宋体"/>
              </w:rPr>
              <w:t>拟制/修订责任人</w:t>
            </w:r>
          </w:p>
        </w:tc>
        <w:tc>
          <w:tcPr>
            <w:tcW w:w="2268" w:type="dxa"/>
          </w:tcPr>
          <w:p w14:paraId="189B3A72">
            <w:pPr>
              <w:spacing w:line="360" w:lineRule="auto"/>
              <w:rPr>
                <w:rFonts w:ascii="宋体" w:hAnsi="宋体" w:eastAsia="宋体"/>
              </w:rPr>
            </w:pPr>
            <w:r>
              <w:rPr>
                <w:rFonts w:hint="eastAsia" w:ascii="宋体" w:hAnsi="宋体" w:eastAsia="宋体"/>
              </w:rPr>
              <w:t>拟制/修订日期</w:t>
            </w:r>
          </w:p>
        </w:tc>
        <w:tc>
          <w:tcPr>
            <w:tcW w:w="2694" w:type="dxa"/>
          </w:tcPr>
          <w:p w14:paraId="161DD832">
            <w:pPr>
              <w:spacing w:line="360" w:lineRule="auto"/>
              <w:rPr>
                <w:rFonts w:ascii="宋体" w:hAnsi="宋体" w:eastAsia="宋体"/>
              </w:rPr>
            </w:pPr>
            <w:r>
              <w:rPr>
                <w:rFonts w:hint="eastAsia" w:ascii="宋体" w:hAnsi="宋体" w:eastAsia="宋体"/>
              </w:rPr>
              <w:t>修订内容及理由</w:t>
            </w:r>
          </w:p>
        </w:tc>
        <w:tc>
          <w:tcPr>
            <w:tcW w:w="1701" w:type="dxa"/>
          </w:tcPr>
          <w:p w14:paraId="11FBB329">
            <w:pPr>
              <w:spacing w:line="360" w:lineRule="auto"/>
              <w:rPr>
                <w:rFonts w:ascii="宋体" w:hAnsi="宋体" w:eastAsia="宋体"/>
              </w:rPr>
            </w:pPr>
            <w:r>
              <w:rPr>
                <w:rFonts w:hint="eastAsia" w:ascii="宋体" w:hAnsi="宋体" w:eastAsia="宋体"/>
              </w:rPr>
              <w:t>批准人</w:t>
            </w:r>
          </w:p>
        </w:tc>
      </w:tr>
      <w:tr w14:paraId="27F6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AF55AC1">
            <w:pPr>
              <w:spacing w:line="360" w:lineRule="auto"/>
              <w:rPr>
                <w:rFonts w:ascii="宋体" w:hAnsi="宋体" w:eastAsia="宋体"/>
              </w:rPr>
            </w:pPr>
          </w:p>
        </w:tc>
        <w:tc>
          <w:tcPr>
            <w:tcW w:w="1985" w:type="dxa"/>
          </w:tcPr>
          <w:p w14:paraId="71A7758E">
            <w:pPr>
              <w:spacing w:line="360" w:lineRule="auto"/>
              <w:rPr>
                <w:rFonts w:ascii="宋体" w:hAnsi="宋体" w:eastAsia="宋体"/>
              </w:rPr>
            </w:pPr>
          </w:p>
        </w:tc>
        <w:tc>
          <w:tcPr>
            <w:tcW w:w="2268" w:type="dxa"/>
          </w:tcPr>
          <w:p w14:paraId="4055AF17">
            <w:pPr>
              <w:spacing w:line="360" w:lineRule="auto"/>
              <w:rPr>
                <w:rFonts w:ascii="宋体" w:hAnsi="宋体" w:eastAsia="宋体"/>
              </w:rPr>
            </w:pPr>
          </w:p>
        </w:tc>
        <w:tc>
          <w:tcPr>
            <w:tcW w:w="2694" w:type="dxa"/>
          </w:tcPr>
          <w:p w14:paraId="322ACB6A">
            <w:pPr>
              <w:spacing w:line="360" w:lineRule="auto"/>
              <w:rPr>
                <w:rFonts w:ascii="宋体" w:hAnsi="宋体" w:eastAsia="宋体"/>
              </w:rPr>
            </w:pPr>
          </w:p>
        </w:tc>
        <w:tc>
          <w:tcPr>
            <w:tcW w:w="1701" w:type="dxa"/>
          </w:tcPr>
          <w:p w14:paraId="2ECA74FB">
            <w:pPr>
              <w:spacing w:line="360" w:lineRule="auto"/>
              <w:rPr>
                <w:rFonts w:ascii="宋体" w:hAnsi="宋体" w:eastAsia="宋体"/>
              </w:rPr>
            </w:pPr>
          </w:p>
        </w:tc>
      </w:tr>
    </w:tbl>
    <w:p w14:paraId="78D182B8">
      <w:pPr>
        <w:spacing w:line="360" w:lineRule="auto"/>
        <w:rPr>
          <w:rFonts w:ascii="宋体" w:hAnsi="宋体" w:eastAsia="宋体"/>
        </w:rPr>
      </w:pPr>
    </w:p>
    <w:sectPr>
      <w:headerReference r:id="rId5" w:type="default"/>
      <w:footerReference r:id="rId6" w:type="default"/>
      <w:pgSz w:w="11906" w:h="16838"/>
      <w:pgMar w:top="907" w:right="1077" w:bottom="907" w:left="1077" w:header="567" w:footer="51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Google Sans Text">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2156164"/>
      <w:docPartObj>
        <w:docPartGallery w:val="AutoText"/>
      </w:docPartObj>
    </w:sdtPr>
    <w:sdtContent>
      <w:sdt>
        <w:sdtPr>
          <w:id w:val="-1669238322"/>
          <w:docPartObj>
            <w:docPartGallery w:val="AutoText"/>
          </w:docPartObj>
        </w:sdtPr>
        <w:sdtContent>
          <w:p w14:paraId="5DD9F98D">
            <w:pPr>
              <w:pStyle w:val="9"/>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9</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9</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9682B">
    <w:pPr>
      <w:pStyle w:val="10"/>
      <w:jc w:val="left"/>
      <w:rPr>
        <w:sz w:val="21"/>
        <w:szCs w:val="21"/>
      </w:rPr>
    </w:pPr>
    <w:r>
      <w:drawing>
        <wp:inline distT="0" distB="0" distL="0" distR="0">
          <wp:extent cx="829945" cy="27305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63613" cy="284759"/>
                  </a:xfrm>
                  <a:prstGeom prst="rect">
                    <a:avLst/>
                  </a:prstGeom>
                  <a:noFill/>
                  <a:ln>
                    <a:noFill/>
                  </a:ln>
                </pic:spPr>
              </pic:pic>
            </a:graphicData>
          </a:graphic>
        </wp:inline>
      </w:drawing>
    </w:r>
    <w:r>
      <w:rPr>
        <w:rFonts w:hint="eastAsia" w:ascii="宋体" w:hAnsi="宋体" w:eastAsia="宋体"/>
        <w:sz w:val="21"/>
        <w:szCs w:val="21"/>
      </w:rPr>
      <w:t xml:space="preserve"> </w:t>
    </w:r>
    <w:r>
      <w:rPr>
        <w:rFonts w:ascii="宋体" w:hAnsi="宋体" w:eastAsia="宋体"/>
        <w:sz w:val="21"/>
        <w:szCs w:val="21"/>
      </w:rPr>
      <w:t xml:space="preserve">                      </w:t>
    </w:r>
    <w:r>
      <w:rPr>
        <w:rFonts w:hint="eastAsia" w:ascii="宋体" w:hAnsi="宋体" w:eastAsia="宋体"/>
        <w:sz w:val="21"/>
        <w:szCs w:val="21"/>
      </w:rPr>
      <w:t>非商品性采购管理制度</w:t>
    </w:r>
    <w:r>
      <w:rPr>
        <w:rFonts w:hint="eastAsia"/>
        <w:sz w:val="21"/>
        <w:szCs w:val="21"/>
      </w:rPr>
      <w:t xml:space="preserve">                     密级：内部公开</w:t>
    </w:r>
  </w:p>
  <w:p w14:paraId="353E1975">
    <w:pPr>
      <w:pStyle w:val="10"/>
      <w:jc w:val="left"/>
      <w:rPr>
        <w:sz w:val="21"/>
        <w:szCs w:val="21"/>
      </w:rPr>
    </w:pPr>
    <w:r>
      <mc:AlternateContent>
        <mc:Choice Requires="wps">
          <w:drawing>
            <wp:anchor distT="0" distB="0" distL="114300" distR="114300" simplePos="0" relativeHeight="251659264" behindDoc="0" locked="0" layoutInCell="1" allowOverlap="1">
              <wp:simplePos x="0" y="0"/>
              <wp:positionH relativeFrom="column">
                <wp:posOffset>-74295</wp:posOffset>
              </wp:positionH>
              <wp:positionV relativeFrom="paragraph">
                <wp:posOffset>68580</wp:posOffset>
              </wp:positionV>
              <wp:extent cx="6276975" cy="0"/>
              <wp:effectExtent l="0" t="0" r="9525" b="19050"/>
              <wp:wrapNone/>
              <wp:docPr id="2" name="直接连接符 2"/>
              <wp:cNvGraphicFramePr/>
              <a:graphic xmlns:a="http://schemas.openxmlformats.org/drawingml/2006/main">
                <a:graphicData uri="http://schemas.microsoft.com/office/word/2010/wordprocessingShape">
                  <wps:wsp>
                    <wps:cNvCnPr/>
                    <wps:spPr>
                      <a:xfrm>
                        <a:off x="0" y="0"/>
                        <a:ext cx="62769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85pt;margin-top:5.4pt;height:0pt;width:494.25pt;z-index:251659264;mso-width-relative:page;mso-height-relative:page;" filled="f" stroked="t" coordsize="21600,21600" o:gfxdata="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qsVtHWAAAACQEAAA8AAAAAAAAAAQAg&#10;AAAAIgAAAGRycy9kb3ducmV2LnhtbFBLAQIUABQAAAAIAIdO4kArZTXI1wEAAJoDAAAOAAAAAAAA&#10;AAEAIAAAACUBAABkcnMvZTJvRG9jLnhtbFBLBQYAAAAABgAGAFkBAABuBQAAAAA=&#10;">
              <v:fill on="f" focussize="0,0"/>
              <v:stroke color="#000000 [3213]"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2">
    <w:nsid w:val="03D62ECE"/>
    <w:multiLevelType w:val="multilevel"/>
    <w:tmpl w:val="03D62EC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3">
    <w:nsid w:val="25B654F3"/>
    <w:multiLevelType w:val="multilevel"/>
    <w:tmpl w:val="25B654F3"/>
    <w:lvl w:ilvl="0" w:tentative="0">
      <w:start w:val="1"/>
      <w:numFmt w:val="bullet"/>
      <w:lvlText w:val="●"/>
      <w:lvlJc w:val="left"/>
      <w:pPr>
        <w:ind w:left="1069"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4">
    <w:nsid w:val="4D851EC7"/>
    <w:multiLevelType w:val="multilevel"/>
    <w:tmpl w:val="4D851EC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477248B"/>
    <w:multiLevelType w:val="multilevel"/>
    <w:tmpl w:val="5477248B"/>
    <w:lvl w:ilvl="0" w:tentative="0">
      <w:start w:val="1"/>
      <w:numFmt w:val="decimal"/>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6">
    <w:nsid w:val="7DCF364C"/>
    <w:multiLevelType w:val="multilevel"/>
    <w:tmpl w:val="7DCF364C"/>
    <w:lvl w:ilvl="0" w:tentative="0">
      <w:start w:val="1"/>
      <w:numFmt w:val="decimal"/>
      <w:lvlText w:val="%1、"/>
      <w:lvlJc w:val="left"/>
      <w:pPr>
        <w:ind w:left="1620" w:hanging="36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num w:numId="1">
    <w:abstractNumId w:val="4"/>
  </w:num>
  <w:num w:numId="2">
    <w:abstractNumId w:val="1"/>
  </w:num>
  <w:num w:numId="3">
    <w:abstractNumId w:val="0"/>
  </w:num>
  <w:num w:numId="4">
    <w:abstractNumId w:val="2"/>
  </w:num>
  <w:num w:numId="5">
    <w:abstractNumId w:val="3"/>
  </w:num>
  <w:num w:numId="6">
    <w:abstractNumId w:val="5"/>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开平">
    <w15:presenceInfo w15:providerId="WPS Office" w15:userId="340494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2AAF"/>
    <w:rsid w:val="00000B42"/>
    <w:rsid w:val="00005812"/>
    <w:rsid w:val="00005BDF"/>
    <w:rsid w:val="0000665B"/>
    <w:rsid w:val="00011244"/>
    <w:rsid w:val="00015EF4"/>
    <w:rsid w:val="000169A5"/>
    <w:rsid w:val="000206A4"/>
    <w:rsid w:val="00024243"/>
    <w:rsid w:val="00026FB0"/>
    <w:rsid w:val="000271C5"/>
    <w:rsid w:val="00030F06"/>
    <w:rsid w:val="000311B3"/>
    <w:rsid w:val="00032CBE"/>
    <w:rsid w:val="00033FF2"/>
    <w:rsid w:val="00034759"/>
    <w:rsid w:val="00040700"/>
    <w:rsid w:val="00040A03"/>
    <w:rsid w:val="00040E94"/>
    <w:rsid w:val="00043AA8"/>
    <w:rsid w:val="000449C1"/>
    <w:rsid w:val="00045D58"/>
    <w:rsid w:val="0004662F"/>
    <w:rsid w:val="00046E27"/>
    <w:rsid w:val="000474E8"/>
    <w:rsid w:val="000543C5"/>
    <w:rsid w:val="000547A9"/>
    <w:rsid w:val="0005524E"/>
    <w:rsid w:val="00055525"/>
    <w:rsid w:val="00055917"/>
    <w:rsid w:val="00055E01"/>
    <w:rsid w:val="00063429"/>
    <w:rsid w:val="000703F7"/>
    <w:rsid w:val="00077ECE"/>
    <w:rsid w:val="00080EF1"/>
    <w:rsid w:val="00081DA8"/>
    <w:rsid w:val="0008673A"/>
    <w:rsid w:val="0009038F"/>
    <w:rsid w:val="00090BC2"/>
    <w:rsid w:val="0009235A"/>
    <w:rsid w:val="00092EDA"/>
    <w:rsid w:val="00093DFA"/>
    <w:rsid w:val="000954A6"/>
    <w:rsid w:val="0009679A"/>
    <w:rsid w:val="000969EA"/>
    <w:rsid w:val="000A0731"/>
    <w:rsid w:val="000A1BCC"/>
    <w:rsid w:val="000A2A30"/>
    <w:rsid w:val="000A3D01"/>
    <w:rsid w:val="000A4EBF"/>
    <w:rsid w:val="000A6835"/>
    <w:rsid w:val="000A70AA"/>
    <w:rsid w:val="000A750C"/>
    <w:rsid w:val="000B3354"/>
    <w:rsid w:val="000B6098"/>
    <w:rsid w:val="000B688A"/>
    <w:rsid w:val="000C3ED3"/>
    <w:rsid w:val="000C42DC"/>
    <w:rsid w:val="000C540B"/>
    <w:rsid w:val="000C688D"/>
    <w:rsid w:val="000D016B"/>
    <w:rsid w:val="000D1763"/>
    <w:rsid w:val="000D23FA"/>
    <w:rsid w:val="000D5832"/>
    <w:rsid w:val="000E15B5"/>
    <w:rsid w:val="000E2A9F"/>
    <w:rsid w:val="000E5202"/>
    <w:rsid w:val="000E5E68"/>
    <w:rsid w:val="000E62E0"/>
    <w:rsid w:val="000E6D78"/>
    <w:rsid w:val="000E6FF4"/>
    <w:rsid w:val="000F1B4C"/>
    <w:rsid w:val="000F23AB"/>
    <w:rsid w:val="0010047F"/>
    <w:rsid w:val="001007C0"/>
    <w:rsid w:val="001024D0"/>
    <w:rsid w:val="00104773"/>
    <w:rsid w:val="00104B6B"/>
    <w:rsid w:val="001071A4"/>
    <w:rsid w:val="00112D91"/>
    <w:rsid w:val="00113F57"/>
    <w:rsid w:val="001141BC"/>
    <w:rsid w:val="001159C7"/>
    <w:rsid w:val="00115EC0"/>
    <w:rsid w:val="00117585"/>
    <w:rsid w:val="001225E1"/>
    <w:rsid w:val="00124019"/>
    <w:rsid w:val="0012456B"/>
    <w:rsid w:val="00130C43"/>
    <w:rsid w:val="001333AB"/>
    <w:rsid w:val="00133EC9"/>
    <w:rsid w:val="00134736"/>
    <w:rsid w:val="001370D6"/>
    <w:rsid w:val="001418CD"/>
    <w:rsid w:val="00142740"/>
    <w:rsid w:val="00142FE7"/>
    <w:rsid w:val="001443EF"/>
    <w:rsid w:val="0015182A"/>
    <w:rsid w:val="0015252D"/>
    <w:rsid w:val="00155F2B"/>
    <w:rsid w:val="0016064B"/>
    <w:rsid w:val="00163DA8"/>
    <w:rsid w:val="00164F07"/>
    <w:rsid w:val="00166341"/>
    <w:rsid w:val="00175483"/>
    <w:rsid w:val="0018144F"/>
    <w:rsid w:val="001821C8"/>
    <w:rsid w:val="001828F5"/>
    <w:rsid w:val="00182C05"/>
    <w:rsid w:val="001833D1"/>
    <w:rsid w:val="001855BB"/>
    <w:rsid w:val="00185E75"/>
    <w:rsid w:val="00191D73"/>
    <w:rsid w:val="00192E32"/>
    <w:rsid w:val="00194853"/>
    <w:rsid w:val="00194AD7"/>
    <w:rsid w:val="001953E5"/>
    <w:rsid w:val="001958C8"/>
    <w:rsid w:val="0019739E"/>
    <w:rsid w:val="001A33F0"/>
    <w:rsid w:val="001A4984"/>
    <w:rsid w:val="001A65DD"/>
    <w:rsid w:val="001A7BDC"/>
    <w:rsid w:val="001B1531"/>
    <w:rsid w:val="001B20CB"/>
    <w:rsid w:val="001B316F"/>
    <w:rsid w:val="001B31CA"/>
    <w:rsid w:val="001B6ADA"/>
    <w:rsid w:val="001B7628"/>
    <w:rsid w:val="001C02DD"/>
    <w:rsid w:val="001C117A"/>
    <w:rsid w:val="001C2498"/>
    <w:rsid w:val="001C27F5"/>
    <w:rsid w:val="001C3073"/>
    <w:rsid w:val="001C4789"/>
    <w:rsid w:val="001C47EA"/>
    <w:rsid w:val="001C56D1"/>
    <w:rsid w:val="001C6286"/>
    <w:rsid w:val="001C63FA"/>
    <w:rsid w:val="001C6BB5"/>
    <w:rsid w:val="001C6C32"/>
    <w:rsid w:val="001C7613"/>
    <w:rsid w:val="001C7B48"/>
    <w:rsid w:val="001D0E63"/>
    <w:rsid w:val="001D24B8"/>
    <w:rsid w:val="001E124E"/>
    <w:rsid w:val="001E140B"/>
    <w:rsid w:val="001E22F7"/>
    <w:rsid w:val="001E2847"/>
    <w:rsid w:val="001E647D"/>
    <w:rsid w:val="001E6AC3"/>
    <w:rsid w:val="001E7552"/>
    <w:rsid w:val="001F09AD"/>
    <w:rsid w:val="001F0F2F"/>
    <w:rsid w:val="001F1659"/>
    <w:rsid w:val="001F4F82"/>
    <w:rsid w:val="001F58AC"/>
    <w:rsid w:val="001F70B4"/>
    <w:rsid w:val="001F7C54"/>
    <w:rsid w:val="001F7DA6"/>
    <w:rsid w:val="00200DE1"/>
    <w:rsid w:val="002024E9"/>
    <w:rsid w:val="00205C6C"/>
    <w:rsid w:val="002065D7"/>
    <w:rsid w:val="00206AEE"/>
    <w:rsid w:val="00212067"/>
    <w:rsid w:val="00212707"/>
    <w:rsid w:val="00221EC1"/>
    <w:rsid w:val="00222F64"/>
    <w:rsid w:val="00223384"/>
    <w:rsid w:val="002266DA"/>
    <w:rsid w:val="00227293"/>
    <w:rsid w:val="00227341"/>
    <w:rsid w:val="002279E3"/>
    <w:rsid w:val="00227A8D"/>
    <w:rsid w:val="002303F4"/>
    <w:rsid w:val="0023384E"/>
    <w:rsid w:val="00234C57"/>
    <w:rsid w:val="00237091"/>
    <w:rsid w:val="002371BE"/>
    <w:rsid w:val="0023777F"/>
    <w:rsid w:val="002411D6"/>
    <w:rsid w:val="0024199D"/>
    <w:rsid w:val="002426C2"/>
    <w:rsid w:val="00245AD2"/>
    <w:rsid w:val="00247D63"/>
    <w:rsid w:val="00253A50"/>
    <w:rsid w:val="00257460"/>
    <w:rsid w:val="00260D67"/>
    <w:rsid w:val="002630A7"/>
    <w:rsid w:val="0026316F"/>
    <w:rsid w:val="002671F8"/>
    <w:rsid w:val="002678A4"/>
    <w:rsid w:val="002716FC"/>
    <w:rsid w:val="00275CBD"/>
    <w:rsid w:val="00275F11"/>
    <w:rsid w:val="00281B8A"/>
    <w:rsid w:val="00282F4F"/>
    <w:rsid w:val="002866ED"/>
    <w:rsid w:val="00286817"/>
    <w:rsid w:val="00290787"/>
    <w:rsid w:val="00295726"/>
    <w:rsid w:val="002957DF"/>
    <w:rsid w:val="00295D8E"/>
    <w:rsid w:val="00297FA8"/>
    <w:rsid w:val="002A3712"/>
    <w:rsid w:val="002A6032"/>
    <w:rsid w:val="002A661E"/>
    <w:rsid w:val="002A73D4"/>
    <w:rsid w:val="002A7C80"/>
    <w:rsid w:val="002B135F"/>
    <w:rsid w:val="002B2006"/>
    <w:rsid w:val="002B37D7"/>
    <w:rsid w:val="002B66CA"/>
    <w:rsid w:val="002C0EAE"/>
    <w:rsid w:val="002C150A"/>
    <w:rsid w:val="002C492F"/>
    <w:rsid w:val="002C6135"/>
    <w:rsid w:val="002D0BDA"/>
    <w:rsid w:val="002D1608"/>
    <w:rsid w:val="002D18AC"/>
    <w:rsid w:val="002D7014"/>
    <w:rsid w:val="002E009C"/>
    <w:rsid w:val="002E093E"/>
    <w:rsid w:val="002E458D"/>
    <w:rsid w:val="002E5498"/>
    <w:rsid w:val="002E5F83"/>
    <w:rsid w:val="002E60E4"/>
    <w:rsid w:val="002E7199"/>
    <w:rsid w:val="002F0C7E"/>
    <w:rsid w:val="002F2C9C"/>
    <w:rsid w:val="002F32A1"/>
    <w:rsid w:val="002F3B12"/>
    <w:rsid w:val="002F45FA"/>
    <w:rsid w:val="002F5D7E"/>
    <w:rsid w:val="002F74B2"/>
    <w:rsid w:val="00301BB9"/>
    <w:rsid w:val="003021B5"/>
    <w:rsid w:val="00303648"/>
    <w:rsid w:val="0030452C"/>
    <w:rsid w:val="00304A60"/>
    <w:rsid w:val="003104F5"/>
    <w:rsid w:val="00310705"/>
    <w:rsid w:val="003140D3"/>
    <w:rsid w:val="0031499C"/>
    <w:rsid w:val="003160D1"/>
    <w:rsid w:val="0031750A"/>
    <w:rsid w:val="00321280"/>
    <w:rsid w:val="003230ED"/>
    <w:rsid w:val="00326CF3"/>
    <w:rsid w:val="003273DE"/>
    <w:rsid w:val="00327537"/>
    <w:rsid w:val="00330B14"/>
    <w:rsid w:val="00330DBF"/>
    <w:rsid w:val="00331293"/>
    <w:rsid w:val="0033271E"/>
    <w:rsid w:val="00332C2A"/>
    <w:rsid w:val="003352B9"/>
    <w:rsid w:val="003365AB"/>
    <w:rsid w:val="003371C1"/>
    <w:rsid w:val="00337FA9"/>
    <w:rsid w:val="00340D1C"/>
    <w:rsid w:val="00341A0F"/>
    <w:rsid w:val="00341ABF"/>
    <w:rsid w:val="00342498"/>
    <w:rsid w:val="00343424"/>
    <w:rsid w:val="00343544"/>
    <w:rsid w:val="003511BF"/>
    <w:rsid w:val="003540B5"/>
    <w:rsid w:val="00354CE3"/>
    <w:rsid w:val="003568FB"/>
    <w:rsid w:val="003601A1"/>
    <w:rsid w:val="00361589"/>
    <w:rsid w:val="00362C44"/>
    <w:rsid w:val="00363F5A"/>
    <w:rsid w:val="00365F1F"/>
    <w:rsid w:val="00365FC7"/>
    <w:rsid w:val="003669BD"/>
    <w:rsid w:val="00366D92"/>
    <w:rsid w:val="0036791C"/>
    <w:rsid w:val="00370A15"/>
    <w:rsid w:val="00370D5E"/>
    <w:rsid w:val="00372763"/>
    <w:rsid w:val="003727D9"/>
    <w:rsid w:val="00374013"/>
    <w:rsid w:val="00375075"/>
    <w:rsid w:val="00375E62"/>
    <w:rsid w:val="003825E3"/>
    <w:rsid w:val="00384DA7"/>
    <w:rsid w:val="003862BB"/>
    <w:rsid w:val="00386B59"/>
    <w:rsid w:val="00390486"/>
    <w:rsid w:val="0039580B"/>
    <w:rsid w:val="00396861"/>
    <w:rsid w:val="003A0DAB"/>
    <w:rsid w:val="003A726D"/>
    <w:rsid w:val="003A79EC"/>
    <w:rsid w:val="003A7A2A"/>
    <w:rsid w:val="003B00EC"/>
    <w:rsid w:val="003B0EFA"/>
    <w:rsid w:val="003B49B6"/>
    <w:rsid w:val="003B5E6B"/>
    <w:rsid w:val="003B6D12"/>
    <w:rsid w:val="003B6E44"/>
    <w:rsid w:val="003C1364"/>
    <w:rsid w:val="003C13D1"/>
    <w:rsid w:val="003C1D61"/>
    <w:rsid w:val="003C21BC"/>
    <w:rsid w:val="003C22F1"/>
    <w:rsid w:val="003C2AAE"/>
    <w:rsid w:val="003C4079"/>
    <w:rsid w:val="003C50B2"/>
    <w:rsid w:val="003C61D2"/>
    <w:rsid w:val="003D7743"/>
    <w:rsid w:val="003D77BF"/>
    <w:rsid w:val="003E05C2"/>
    <w:rsid w:val="003F2CE8"/>
    <w:rsid w:val="003F2EEF"/>
    <w:rsid w:val="003F596F"/>
    <w:rsid w:val="003F6319"/>
    <w:rsid w:val="0040053B"/>
    <w:rsid w:val="00401C4D"/>
    <w:rsid w:val="00403148"/>
    <w:rsid w:val="004032C7"/>
    <w:rsid w:val="00404873"/>
    <w:rsid w:val="00404E04"/>
    <w:rsid w:val="00405FD7"/>
    <w:rsid w:val="0040612A"/>
    <w:rsid w:val="00406708"/>
    <w:rsid w:val="00406B84"/>
    <w:rsid w:val="00412A14"/>
    <w:rsid w:val="0041346F"/>
    <w:rsid w:val="0041380C"/>
    <w:rsid w:val="00416ECD"/>
    <w:rsid w:val="0041767E"/>
    <w:rsid w:val="004200C8"/>
    <w:rsid w:val="00421036"/>
    <w:rsid w:val="00423C3F"/>
    <w:rsid w:val="004266C6"/>
    <w:rsid w:val="0043031B"/>
    <w:rsid w:val="0043061E"/>
    <w:rsid w:val="00431068"/>
    <w:rsid w:val="0043480C"/>
    <w:rsid w:val="00436224"/>
    <w:rsid w:val="0044011B"/>
    <w:rsid w:val="004402EF"/>
    <w:rsid w:val="0044188D"/>
    <w:rsid w:val="00443110"/>
    <w:rsid w:val="00443BC6"/>
    <w:rsid w:val="00443DBF"/>
    <w:rsid w:val="00445866"/>
    <w:rsid w:val="00445E61"/>
    <w:rsid w:val="004519C8"/>
    <w:rsid w:val="00452693"/>
    <w:rsid w:val="00454E5B"/>
    <w:rsid w:val="00462450"/>
    <w:rsid w:val="004635F0"/>
    <w:rsid w:val="0046700A"/>
    <w:rsid w:val="00471764"/>
    <w:rsid w:val="004725F6"/>
    <w:rsid w:val="00473B8E"/>
    <w:rsid w:val="00475E4E"/>
    <w:rsid w:val="00476642"/>
    <w:rsid w:val="00481164"/>
    <w:rsid w:val="004831A9"/>
    <w:rsid w:val="00483907"/>
    <w:rsid w:val="00486D94"/>
    <w:rsid w:val="00490157"/>
    <w:rsid w:val="0049245B"/>
    <w:rsid w:val="00494693"/>
    <w:rsid w:val="004950F3"/>
    <w:rsid w:val="004956B1"/>
    <w:rsid w:val="004966A7"/>
    <w:rsid w:val="004967AD"/>
    <w:rsid w:val="004A10BF"/>
    <w:rsid w:val="004A2500"/>
    <w:rsid w:val="004A4B37"/>
    <w:rsid w:val="004A4DCC"/>
    <w:rsid w:val="004A777A"/>
    <w:rsid w:val="004B0B18"/>
    <w:rsid w:val="004B16CB"/>
    <w:rsid w:val="004B3EFF"/>
    <w:rsid w:val="004C067B"/>
    <w:rsid w:val="004C0748"/>
    <w:rsid w:val="004C0B3F"/>
    <w:rsid w:val="004C0B81"/>
    <w:rsid w:val="004C2AAF"/>
    <w:rsid w:val="004C5F90"/>
    <w:rsid w:val="004C6855"/>
    <w:rsid w:val="004C7EFA"/>
    <w:rsid w:val="004D3563"/>
    <w:rsid w:val="004D3F92"/>
    <w:rsid w:val="004E2065"/>
    <w:rsid w:val="004F0223"/>
    <w:rsid w:val="004F0CE0"/>
    <w:rsid w:val="004F0DD5"/>
    <w:rsid w:val="004F7610"/>
    <w:rsid w:val="004F7C3C"/>
    <w:rsid w:val="0050087E"/>
    <w:rsid w:val="00501102"/>
    <w:rsid w:val="00502F3A"/>
    <w:rsid w:val="00503CD0"/>
    <w:rsid w:val="0050401F"/>
    <w:rsid w:val="00504C01"/>
    <w:rsid w:val="00505C2F"/>
    <w:rsid w:val="00506827"/>
    <w:rsid w:val="00507B59"/>
    <w:rsid w:val="00510131"/>
    <w:rsid w:val="005101A4"/>
    <w:rsid w:val="00510AD1"/>
    <w:rsid w:val="00511E67"/>
    <w:rsid w:val="00512D37"/>
    <w:rsid w:val="005131B8"/>
    <w:rsid w:val="005152C4"/>
    <w:rsid w:val="00515429"/>
    <w:rsid w:val="00520AE8"/>
    <w:rsid w:val="00520ECB"/>
    <w:rsid w:val="00520FE9"/>
    <w:rsid w:val="00521060"/>
    <w:rsid w:val="0052213F"/>
    <w:rsid w:val="00522474"/>
    <w:rsid w:val="0052445E"/>
    <w:rsid w:val="00540A91"/>
    <w:rsid w:val="005443C5"/>
    <w:rsid w:val="00544E87"/>
    <w:rsid w:val="00546F1F"/>
    <w:rsid w:val="005470D8"/>
    <w:rsid w:val="0054795C"/>
    <w:rsid w:val="00550580"/>
    <w:rsid w:val="005506AA"/>
    <w:rsid w:val="0055450E"/>
    <w:rsid w:val="00557EE3"/>
    <w:rsid w:val="00561CA5"/>
    <w:rsid w:val="00572907"/>
    <w:rsid w:val="005741F2"/>
    <w:rsid w:val="005808D0"/>
    <w:rsid w:val="00582088"/>
    <w:rsid w:val="00591A67"/>
    <w:rsid w:val="0059427B"/>
    <w:rsid w:val="0059477B"/>
    <w:rsid w:val="00594DB5"/>
    <w:rsid w:val="00594E16"/>
    <w:rsid w:val="005A0C8E"/>
    <w:rsid w:val="005A19B5"/>
    <w:rsid w:val="005A4BFE"/>
    <w:rsid w:val="005A57DE"/>
    <w:rsid w:val="005B4EA0"/>
    <w:rsid w:val="005B67D3"/>
    <w:rsid w:val="005C0131"/>
    <w:rsid w:val="005C23F2"/>
    <w:rsid w:val="005C3B23"/>
    <w:rsid w:val="005C3DEF"/>
    <w:rsid w:val="005C6919"/>
    <w:rsid w:val="005C72D1"/>
    <w:rsid w:val="005D77E9"/>
    <w:rsid w:val="005D7E00"/>
    <w:rsid w:val="005D7EE1"/>
    <w:rsid w:val="005E042D"/>
    <w:rsid w:val="005E4BF0"/>
    <w:rsid w:val="005F3FCC"/>
    <w:rsid w:val="005F4AF3"/>
    <w:rsid w:val="0060007F"/>
    <w:rsid w:val="006012C3"/>
    <w:rsid w:val="006026FC"/>
    <w:rsid w:val="00602747"/>
    <w:rsid w:val="0060489B"/>
    <w:rsid w:val="00604F97"/>
    <w:rsid w:val="006051F8"/>
    <w:rsid w:val="00605B24"/>
    <w:rsid w:val="00605BB3"/>
    <w:rsid w:val="00605FAD"/>
    <w:rsid w:val="0060676A"/>
    <w:rsid w:val="006122DB"/>
    <w:rsid w:val="00614C75"/>
    <w:rsid w:val="006161FA"/>
    <w:rsid w:val="00617B20"/>
    <w:rsid w:val="0062169A"/>
    <w:rsid w:val="006244A3"/>
    <w:rsid w:val="00624C93"/>
    <w:rsid w:val="0062690F"/>
    <w:rsid w:val="00631229"/>
    <w:rsid w:val="00633509"/>
    <w:rsid w:val="00635830"/>
    <w:rsid w:val="00636E0E"/>
    <w:rsid w:val="00637479"/>
    <w:rsid w:val="00637EAA"/>
    <w:rsid w:val="00644EA6"/>
    <w:rsid w:val="00646A26"/>
    <w:rsid w:val="00646AD0"/>
    <w:rsid w:val="006544DC"/>
    <w:rsid w:val="00657871"/>
    <w:rsid w:val="0066055A"/>
    <w:rsid w:val="0066643D"/>
    <w:rsid w:val="00666ECD"/>
    <w:rsid w:val="006670E9"/>
    <w:rsid w:val="006675B2"/>
    <w:rsid w:val="00667619"/>
    <w:rsid w:val="006705A5"/>
    <w:rsid w:val="00670A7E"/>
    <w:rsid w:val="00675493"/>
    <w:rsid w:val="00677A20"/>
    <w:rsid w:val="006811E7"/>
    <w:rsid w:val="00683D5B"/>
    <w:rsid w:val="006842F9"/>
    <w:rsid w:val="00684C5D"/>
    <w:rsid w:val="0068518D"/>
    <w:rsid w:val="0068520B"/>
    <w:rsid w:val="00686356"/>
    <w:rsid w:val="00687A78"/>
    <w:rsid w:val="00690EF2"/>
    <w:rsid w:val="00692008"/>
    <w:rsid w:val="00696A15"/>
    <w:rsid w:val="00696C1A"/>
    <w:rsid w:val="0069721F"/>
    <w:rsid w:val="00697B06"/>
    <w:rsid w:val="006A1472"/>
    <w:rsid w:val="006A2D25"/>
    <w:rsid w:val="006A3416"/>
    <w:rsid w:val="006A36CB"/>
    <w:rsid w:val="006A38E1"/>
    <w:rsid w:val="006A6F00"/>
    <w:rsid w:val="006A7AF8"/>
    <w:rsid w:val="006A7C6C"/>
    <w:rsid w:val="006B1411"/>
    <w:rsid w:val="006B1AC0"/>
    <w:rsid w:val="006B34F0"/>
    <w:rsid w:val="006B3B6B"/>
    <w:rsid w:val="006B4CE7"/>
    <w:rsid w:val="006B4F28"/>
    <w:rsid w:val="006B70FA"/>
    <w:rsid w:val="006B7ECE"/>
    <w:rsid w:val="006C3B58"/>
    <w:rsid w:val="006C7389"/>
    <w:rsid w:val="006D1AA8"/>
    <w:rsid w:val="006D27E2"/>
    <w:rsid w:val="006D2B38"/>
    <w:rsid w:val="006E7BC7"/>
    <w:rsid w:val="006F026C"/>
    <w:rsid w:val="006F1BCA"/>
    <w:rsid w:val="006F39A0"/>
    <w:rsid w:val="006F3E8A"/>
    <w:rsid w:val="006F5DFD"/>
    <w:rsid w:val="007004BB"/>
    <w:rsid w:val="00701E1C"/>
    <w:rsid w:val="00702970"/>
    <w:rsid w:val="0070405A"/>
    <w:rsid w:val="0070628D"/>
    <w:rsid w:val="0071008A"/>
    <w:rsid w:val="007108ED"/>
    <w:rsid w:val="00710BC1"/>
    <w:rsid w:val="00712C2A"/>
    <w:rsid w:val="007145AF"/>
    <w:rsid w:val="0071717D"/>
    <w:rsid w:val="00722004"/>
    <w:rsid w:val="00722EE5"/>
    <w:rsid w:val="0072395B"/>
    <w:rsid w:val="00726EB5"/>
    <w:rsid w:val="00727EA2"/>
    <w:rsid w:val="00730122"/>
    <w:rsid w:val="007313DE"/>
    <w:rsid w:val="00731FA8"/>
    <w:rsid w:val="00736C15"/>
    <w:rsid w:val="00737FAA"/>
    <w:rsid w:val="007403E1"/>
    <w:rsid w:val="00741F5D"/>
    <w:rsid w:val="007423B4"/>
    <w:rsid w:val="00742BEB"/>
    <w:rsid w:val="007435FD"/>
    <w:rsid w:val="00743D44"/>
    <w:rsid w:val="00744B44"/>
    <w:rsid w:val="00744FAC"/>
    <w:rsid w:val="00745139"/>
    <w:rsid w:val="00745FB3"/>
    <w:rsid w:val="00746326"/>
    <w:rsid w:val="007574AD"/>
    <w:rsid w:val="00757A07"/>
    <w:rsid w:val="00760766"/>
    <w:rsid w:val="00760810"/>
    <w:rsid w:val="00761676"/>
    <w:rsid w:val="00764926"/>
    <w:rsid w:val="00765F75"/>
    <w:rsid w:val="00766B6A"/>
    <w:rsid w:val="0076726F"/>
    <w:rsid w:val="00772346"/>
    <w:rsid w:val="00772633"/>
    <w:rsid w:val="007730DF"/>
    <w:rsid w:val="0077325D"/>
    <w:rsid w:val="0077338C"/>
    <w:rsid w:val="00774097"/>
    <w:rsid w:val="007741D9"/>
    <w:rsid w:val="0077774D"/>
    <w:rsid w:val="00777C49"/>
    <w:rsid w:val="00782FEE"/>
    <w:rsid w:val="0078500E"/>
    <w:rsid w:val="0078590A"/>
    <w:rsid w:val="00786183"/>
    <w:rsid w:val="007867F8"/>
    <w:rsid w:val="007869AC"/>
    <w:rsid w:val="00786D4F"/>
    <w:rsid w:val="007875F5"/>
    <w:rsid w:val="00787941"/>
    <w:rsid w:val="007903B8"/>
    <w:rsid w:val="0079048B"/>
    <w:rsid w:val="00791DE2"/>
    <w:rsid w:val="0079635F"/>
    <w:rsid w:val="00796B6B"/>
    <w:rsid w:val="00797069"/>
    <w:rsid w:val="00797CF0"/>
    <w:rsid w:val="00797D46"/>
    <w:rsid w:val="00797F25"/>
    <w:rsid w:val="007A2DA9"/>
    <w:rsid w:val="007A371A"/>
    <w:rsid w:val="007A5DA0"/>
    <w:rsid w:val="007A6E76"/>
    <w:rsid w:val="007B2156"/>
    <w:rsid w:val="007B220C"/>
    <w:rsid w:val="007B691B"/>
    <w:rsid w:val="007C1D0D"/>
    <w:rsid w:val="007C3B48"/>
    <w:rsid w:val="007C3ED4"/>
    <w:rsid w:val="007C4B4A"/>
    <w:rsid w:val="007D13B7"/>
    <w:rsid w:val="007D1E5E"/>
    <w:rsid w:val="007D7693"/>
    <w:rsid w:val="007E0918"/>
    <w:rsid w:val="007E0B0B"/>
    <w:rsid w:val="007E10B2"/>
    <w:rsid w:val="007E17D9"/>
    <w:rsid w:val="007E55CC"/>
    <w:rsid w:val="007F3109"/>
    <w:rsid w:val="007F758B"/>
    <w:rsid w:val="00801964"/>
    <w:rsid w:val="00802A5D"/>
    <w:rsid w:val="0080374A"/>
    <w:rsid w:val="00805203"/>
    <w:rsid w:val="008070F9"/>
    <w:rsid w:val="0081141C"/>
    <w:rsid w:val="00812E85"/>
    <w:rsid w:val="00813EDE"/>
    <w:rsid w:val="00813F5F"/>
    <w:rsid w:val="008158C1"/>
    <w:rsid w:val="008164FE"/>
    <w:rsid w:val="00822104"/>
    <w:rsid w:val="00825EE0"/>
    <w:rsid w:val="00832391"/>
    <w:rsid w:val="00832845"/>
    <w:rsid w:val="0083458C"/>
    <w:rsid w:val="00834CE8"/>
    <w:rsid w:val="0083607B"/>
    <w:rsid w:val="008378B8"/>
    <w:rsid w:val="0084007F"/>
    <w:rsid w:val="0084124A"/>
    <w:rsid w:val="0084293A"/>
    <w:rsid w:val="00846906"/>
    <w:rsid w:val="0084727F"/>
    <w:rsid w:val="00850DA0"/>
    <w:rsid w:val="00851318"/>
    <w:rsid w:val="0085228F"/>
    <w:rsid w:val="00852771"/>
    <w:rsid w:val="0085654A"/>
    <w:rsid w:val="00856859"/>
    <w:rsid w:val="008569B7"/>
    <w:rsid w:val="00861371"/>
    <w:rsid w:val="008638B1"/>
    <w:rsid w:val="00864C83"/>
    <w:rsid w:val="008663FA"/>
    <w:rsid w:val="00866912"/>
    <w:rsid w:val="00866D80"/>
    <w:rsid w:val="00866DFA"/>
    <w:rsid w:val="008728E6"/>
    <w:rsid w:val="00872965"/>
    <w:rsid w:val="00873013"/>
    <w:rsid w:val="00873B28"/>
    <w:rsid w:val="00873FCF"/>
    <w:rsid w:val="0087514C"/>
    <w:rsid w:val="00875F43"/>
    <w:rsid w:val="00876428"/>
    <w:rsid w:val="00880D2B"/>
    <w:rsid w:val="008837AD"/>
    <w:rsid w:val="00883EDC"/>
    <w:rsid w:val="00884D53"/>
    <w:rsid w:val="008852DC"/>
    <w:rsid w:val="00885D88"/>
    <w:rsid w:val="008868D1"/>
    <w:rsid w:val="008869A5"/>
    <w:rsid w:val="00887AB3"/>
    <w:rsid w:val="00887E5C"/>
    <w:rsid w:val="00891137"/>
    <w:rsid w:val="008920F0"/>
    <w:rsid w:val="008922DC"/>
    <w:rsid w:val="00894EF9"/>
    <w:rsid w:val="0089522D"/>
    <w:rsid w:val="00897396"/>
    <w:rsid w:val="008A144C"/>
    <w:rsid w:val="008A3D8F"/>
    <w:rsid w:val="008A4443"/>
    <w:rsid w:val="008A54AD"/>
    <w:rsid w:val="008A5910"/>
    <w:rsid w:val="008A73FE"/>
    <w:rsid w:val="008B4166"/>
    <w:rsid w:val="008B4AE8"/>
    <w:rsid w:val="008C3286"/>
    <w:rsid w:val="008C6F9C"/>
    <w:rsid w:val="008C6FC5"/>
    <w:rsid w:val="008C7BBA"/>
    <w:rsid w:val="008D1073"/>
    <w:rsid w:val="008D1AF5"/>
    <w:rsid w:val="008D3759"/>
    <w:rsid w:val="008D468A"/>
    <w:rsid w:val="008D5564"/>
    <w:rsid w:val="008E12EC"/>
    <w:rsid w:val="008E29DB"/>
    <w:rsid w:val="008E455A"/>
    <w:rsid w:val="008E4F3B"/>
    <w:rsid w:val="008E5D46"/>
    <w:rsid w:val="008F23D6"/>
    <w:rsid w:val="008F2B4A"/>
    <w:rsid w:val="008F3E76"/>
    <w:rsid w:val="008F61FB"/>
    <w:rsid w:val="008F6309"/>
    <w:rsid w:val="00903201"/>
    <w:rsid w:val="00903ABB"/>
    <w:rsid w:val="0090446F"/>
    <w:rsid w:val="0090701E"/>
    <w:rsid w:val="009108D7"/>
    <w:rsid w:val="00911017"/>
    <w:rsid w:val="00911AB1"/>
    <w:rsid w:val="00912D4D"/>
    <w:rsid w:val="00916C96"/>
    <w:rsid w:val="009178B8"/>
    <w:rsid w:val="00920FA1"/>
    <w:rsid w:val="00921352"/>
    <w:rsid w:val="009219E8"/>
    <w:rsid w:val="00922C79"/>
    <w:rsid w:val="00926290"/>
    <w:rsid w:val="00926EDF"/>
    <w:rsid w:val="009272D1"/>
    <w:rsid w:val="009302E4"/>
    <w:rsid w:val="00936C48"/>
    <w:rsid w:val="00941E3B"/>
    <w:rsid w:val="00942FCB"/>
    <w:rsid w:val="00943672"/>
    <w:rsid w:val="00945A61"/>
    <w:rsid w:val="00950F39"/>
    <w:rsid w:val="00952263"/>
    <w:rsid w:val="009528D7"/>
    <w:rsid w:val="00953676"/>
    <w:rsid w:val="00957483"/>
    <w:rsid w:val="00957A2E"/>
    <w:rsid w:val="00961CB8"/>
    <w:rsid w:val="00962518"/>
    <w:rsid w:val="0096315E"/>
    <w:rsid w:val="00964AE4"/>
    <w:rsid w:val="00973F3E"/>
    <w:rsid w:val="00977000"/>
    <w:rsid w:val="00977061"/>
    <w:rsid w:val="0098014D"/>
    <w:rsid w:val="00984BC6"/>
    <w:rsid w:val="00984CC7"/>
    <w:rsid w:val="00986C16"/>
    <w:rsid w:val="009871DF"/>
    <w:rsid w:val="009932BC"/>
    <w:rsid w:val="009935B8"/>
    <w:rsid w:val="00993FE1"/>
    <w:rsid w:val="00996FDC"/>
    <w:rsid w:val="00997FB3"/>
    <w:rsid w:val="009A097C"/>
    <w:rsid w:val="009A393D"/>
    <w:rsid w:val="009A3BB2"/>
    <w:rsid w:val="009B10A1"/>
    <w:rsid w:val="009B1CA2"/>
    <w:rsid w:val="009B66EA"/>
    <w:rsid w:val="009B73A5"/>
    <w:rsid w:val="009B7C7F"/>
    <w:rsid w:val="009C0E54"/>
    <w:rsid w:val="009C2471"/>
    <w:rsid w:val="009C2FF4"/>
    <w:rsid w:val="009C4AD3"/>
    <w:rsid w:val="009D2E14"/>
    <w:rsid w:val="009E2C4D"/>
    <w:rsid w:val="009E3727"/>
    <w:rsid w:val="009E42DB"/>
    <w:rsid w:val="009E727A"/>
    <w:rsid w:val="009E72A4"/>
    <w:rsid w:val="009F0398"/>
    <w:rsid w:val="009F04C4"/>
    <w:rsid w:val="009F33EA"/>
    <w:rsid w:val="009F3966"/>
    <w:rsid w:val="009F4866"/>
    <w:rsid w:val="009F6A55"/>
    <w:rsid w:val="00A004E2"/>
    <w:rsid w:val="00A00642"/>
    <w:rsid w:val="00A00FA6"/>
    <w:rsid w:val="00A01029"/>
    <w:rsid w:val="00A01105"/>
    <w:rsid w:val="00A01D8A"/>
    <w:rsid w:val="00A047CD"/>
    <w:rsid w:val="00A0512A"/>
    <w:rsid w:val="00A12EE5"/>
    <w:rsid w:val="00A13AAE"/>
    <w:rsid w:val="00A13F21"/>
    <w:rsid w:val="00A14452"/>
    <w:rsid w:val="00A148EF"/>
    <w:rsid w:val="00A15E7C"/>
    <w:rsid w:val="00A176BC"/>
    <w:rsid w:val="00A17A25"/>
    <w:rsid w:val="00A204A3"/>
    <w:rsid w:val="00A266F9"/>
    <w:rsid w:val="00A26F70"/>
    <w:rsid w:val="00A27A29"/>
    <w:rsid w:val="00A27F00"/>
    <w:rsid w:val="00A315A9"/>
    <w:rsid w:val="00A34D24"/>
    <w:rsid w:val="00A36328"/>
    <w:rsid w:val="00A40402"/>
    <w:rsid w:val="00A429BA"/>
    <w:rsid w:val="00A447AA"/>
    <w:rsid w:val="00A44D68"/>
    <w:rsid w:val="00A469C9"/>
    <w:rsid w:val="00A504F2"/>
    <w:rsid w:val="00A51BE9"/>
    <w:rsid w:val="00A523EA"/>
    <w:rsid w:val="00A54016"/>
    <w:rsid w:val="00A5438F"/>
    <w:rsid w:val="00A5706A"/>
    <w:rsid w:val="00A62BE7"/>
    <w:rsid w:val="00A63B60"/>
    <w:rsid w:val="00A64C4B"/>
    <w:rsid w:val="00A66E72"/>
    <w:rsid w:val="00A67976"/>
    <w:rsid w:val="00A717F4"/>
    <w:rsid w:val="00A71C44"/>
    <w:rsid w:val="00A779BF"/>
    <w:rsid w:val="00A81177"/>
    <w:rsid w:val="00A812BB"/>
    <w:rsid w:val="00A81C03"/>
    <w:rsid w:val="00A81C55"/>
    <w:rsid w:val="00A81CB5"/>
    <w:rsid w:val="00A852B6"/>
    <w:rsid w:val="00A863CF"/>
    <w:rsid w:val="00A867BF"/>
    <w:rsid w:val="00A92ADF"/>
    <w:rsid w:val="00A92B02"/>
    <w:rsid w:val="00A93B19"/>
    <w:rsid w:val="00A953AC"/>
    <w:rsid w:val="00A966E4"/>
    <w:rsid w:val="00A96B37"/>
    <w:rsid w:val="00A96BEC"/>
    <w:rsid w:val="00AA1D38"/>
    <w:rsid w:val="00AA6716"/>
    <w:rsid w:val="00AB0BE5"/>
    <w:rsid w:val="00AB208A"/>
    <w:rsid w:val="00AB2943"/>
    <w:rsid w:val="00AB32AD"/>
    <w:rsid w:val="00AB4A34"/>
    <w:rsid w:val="00AB5A6D"/>
    <w:rsid w:val="00AB673D"/>
    <w:rsid w:val="00AB796D"/>
    <w:rsid w:val="00AC3746"/>
    <w:rsid w:val="00AC4E62"/>
    <w:rsid w:val="00AC6BB7"/>
    <w:rsid w:val="00AC6D95"/>
    <w:rsid w:val="00AD1B46"/>
    <w:rsid w:val="00AD3FD1"/>
    <w:rsid w:val="00AD58C8"/>
    <w:rsid w:val="00AD64CB"/>
    <w:rsid w:val="00AD7E3B"/>
    <w:rsid w:val="00AE04C5"/>
    <w:rsid w:val="00AE0DAF"/>
    <w:rsid w:val="00AE296F"/>
    <w:rsid w:val="00AE6D29"/>
    <w:rsid w:val="00AF038B"/>
    <w:rsid w:val="00AF0725"/>
    <w:rsid w:val="00AF26AC"/>
    <w:rsid w:val="00AF2A09"/>
    <w:rsid w:val="00AF3B81"/>
    <w:rsid w:val="00AF54D5"/>
    <w:rsid w:val="00AF6A59"/>
    <w:rsid w:val="00B032D8"/>
    <w:rsid w:val="00B038FB"/>
    <w:rsid w:val="00B050C2"/>
    <w:rsid w:val="00B057A5"/>
    <w:rsid w:val="00B06AAA"/>
    <w:rsid w:val="00B1081C"/>
    <w:rsid w:val="00B10A9A"/>
    <w:rsid w:val="00B121BB"/>
    <w:rsid w:val="00B123CA"/>
    <w:rsid w:val="00B12CE4"/>
    <w:rsid w:val="00B12D19"/>
    <w:rsid w:val="00B12DC6"/>
    <w:rsid w:val="00B14B65"/>
    <w:rsid w:val="00B17867"/>
    <w:rsid w:val="00B22B8E"/>
    <w:rsid w:val="00B2305A"/>
    <w:rsid w:val="00B23911"/>
    <w:rsid w:val="00B23D8C"/>
    <w:rsid w:val="00B25B63"/>
    <w:rsid w:val="00B276F8"/>
    <w:rsid w:val="00B3129F"/>
    <w:rsid w:val="00B34641"/>
    <w:rsid w:val="00B34BA7"/>
    <w:rsid w:val="00B426E1"/>
    <w:rsid w:val="00B436BC"/>
    <w:rsid w:val="00B43DE1"/>
    <w:rsid w:val="00B44CA5"/>
    <w:rsid w:val="00B468D8"/>
    <w:rsid w:val="00B4699F"/>
    <w:rsid w:val="00B475EF"/>
    <w:rsid w:val="00B50B1C"/>
    <w:rsid w:val="00B52C2F"/>
    <w:rsid w:val="00B53750"/>
    <w:rsid w:val="00B53FF3"/>
    <w:rsid w:val="00B6101C"/>
    <w:rsid w:val="00B61211"/>
    <w:rsid w:val="00B624EC"/>
    <w:rsid w:val="00B63856"/>
    <w:rsid w:val="00B64F0F"/>
    <w:rsid w:val="00B66D32"/>
    <w:rsid w:val="00B70190"/>
    <w:rsid w:val="00B70592"/>
    <w:rsid w:val="00B705E4"/>
    <w:rsid w:val="00B70EFC"/>
    <w:rsid w:val="00B71F1E"/>
    <w:rsid w:val="00B723A9"/>
    <w:rsid w:val="00B72AE7"/>
    <w:rsid w:val="00B73775"/>
    <w:rsid w:val="00B75063"/>
    <w:rsid w:val="00B75649"/>
    <w:rsid w:val="00B77FFC"/>
    <w:rsid w:val="00B80866"/>
    <w:rsid w:val="00B8193B"/>
    <w:rsid w:val="00B8451E"/>
    <w:rsid w:val="00B86C6A"/>
    <w:rsid w:val="00B86FD2"/>
    <w:rsid w:val="00B87D95"/>
    <w:rsid w:val="00B87F79"/>
    <w:rsid w:val="00B9208C"/>
    <w:rsid w:val="00B92DF6"/>
    <w:rsid w:val="00B95440"/>
    <w:rsid w:val="00B95DDB"/>
    <w:rsid w:val="00B969A4"/>
    <w:rsid w:val="00B9708D"/>
    <w:rsid w:val="00B972AA"/>
    <w:rsid w:val="00B97C8B"/>
    <w:rsid w:val="00B97E23"/>
    <w:rsid w:val="00BA540C"/>
    <w:rsid w:val="00BA68A8"/>
    <w:rsid w:val="00BB39FD"/>
    <w:rsid w:val="00BB5C01"/>
    <w:rsid w:val="00BB6970"/>
    <w:rsid w:val="00BB78B2"/>
    <w:rsid w:val="00BC0518"/>
    <w:rsid w:val="00BC25F9"/>
    <w:rsid w:val="00BC3099"/>
    <w:rsid w:val="00BD5057"/>
    <w:rsid w:val="00BD5104"/>
    <w:rsid w:val="00BD6DEA"/>
    <w:rsid w:val="00BD70D9"/>
    <w:rsid w:val="00BE0DDE"/>
    <w:rsid w:val="00BE0EDB"/>
    <w:rsid w:val="00BE4DBE"/>
    <w:rsid w:val="00BE51A3"/>
    <w:rsid w:val="00BE536C"/>
    <w:rsid w:val="00BE6FAB"/>
    <w:rsid w:val="00BF05C0"/>
    <w:rsid w:val="00BF07E2"/>
    <w:rsid w:val="00BF3094"/>
    <w:rsid w:val="00BF3A08"/>
    <w:rsid w:val="00BF562C"/>
    <w:rsid w:val="00BF5E73"/>
    <w:rsid w:val="00C0231F"/>
    <w:rsid w:val="00C031B0"/>
    <w:rsid w:val="00C03206"/>
    <w:rsid w:val="00C03558"/>
    <w:rsid w:val="00C03CC7"/>
    <w:rsid w:val="00C04185"/>
    <w:rsid w:val="00C04549"/>
    <w:rsid w:val="00C076BB"/>
    <w:rsid w:val="00C1011B"/>
    <w:rsid w:val="00C10543"/>
    <w:rsid w:val="00C11614"/>
    <w:rsid w:val="00C1178B"/>
    <w:rsid w:val="00C11B83"/>
    <w:rsid w:val="00C142DA"/>
    <w:rsid w:val="00C143A8"/>
    <w:rsid w:val="00C14AD6"/>
    <w:rsid w:val="00C21BC8"/>
    <w:rsid w:val="00C22823"/>
    <w:rsid w:val="00C22D09"/>
    <w:rsid w:val="00C22E10"/>
    <w:rsid w:val="00C31990"/>
    <w:rsid w:val="00C31D3D"/>
    <w:rsid w:val="00C31F87"/>
    <w:rsid w:val="00C32C5E"/>
    <w:rsid w:val="00C33D49"/>
    <w:rsid w:val="00C34663"/>
    <w:rsid w:val="00C35C4B"/>
    <w:rsid w:val="00C4007F"/>
    <w:rsid w:val="00C41593"/>
    <w:rsid w:val="00C42065"/>
    <w:rsid w:val="00C4210A"/>
    <w:rsid w:val="00C4405E"/>
    <w:rsid w:val="00C45786"/>
    <w:rsid w:val="00C461DC"/>
    <w:rsid w:val="00C46CDE"/>
    <w:rsid w:val="00C50378"/>
    <w:rsid w:val="00C5038F"/>
    <w:rsid w:val="00C518C1"/>
    <w:rsid w:val="00C52E7C"/>
    <w:rsid w:val="00C533EA"/>
    <w:rsid w:val="00C54169"/>
    <w:rsid w:val="00C56F50"/>
    <w:rsid w:val="00C60E1C"/>
    <w:rsid w:val="00C61AD2"/>
    <w:rsid w:val="00C62641"/>
    <w:rsid w:val="00C63E20"/>
    <w:rsid w:val="00C651E9"/>
    <w:rsid w:val="00C65C7F"/>
    <w:rsid w:val="00C70556"/>
    <w:rsid w:val="00C717C2"/>
    <w:rsid w:val="00C72A58"/>
    <w:rsid w:val="00C72F73"/>
    <w:rsid w:val="00C7319E"/>
    <w:rsid w:val="00C73471"/>
    <w:rsid w:val="00C738DC"/>
    <w:rsid w:val="00C73C12"/>
    <w:rsid w:val="00C74F87"/>
    <w:rsid w:val="00C76EBB"/>
    <w:rsid w:val="00C772D3"/>
    <w:rsid w:val="00C7774D"/>
    <w:rsid w:val="00C7796A"/>
    <w:rsid w:val="00C80B5F"/>
    <w:rsid w:val="00C826F9"/>
    <w:rsid w:val="00C838EA"/>
    <w:rsid w:val="00C8538C"/>
    <w:rsid w:val="00C90D2A"/>
    <w:rsid w:val="00CA3697"/>
    <w:rsid w:val="00CA4426"/>
    <w:rsid w:val="00CB059D"/>
    <w:rsid w:val="00CB0837"/>
    <w:rsid w:val="00CB0E8F"/>
    <w:rsid w:val="00CB28AF"/>
    <w:rsid w:val="00CB6B3A"/>
    <w:rsid w:val="00CC3FDB"/>
    <w:rsid w:val="00CC5A2C"/>
    <w:rsid w:val="00CC7A7F"/>
    <w:rsid w:val="00CC7AA7"/>
    <w:rsid w:val="00CD380C"/>
    <w:rsid w:val="00CD52D2"/>
    <w:rsid w:val="00CD5904"/>
    <w:rsid w:val="00CD6C7C"/>
    <w:rsid w:val="00CD7731"/>
    <w:rsid w:val="00CE08BA"/>
    <w:rsid w:val="00CE35E9"/>
    <w:rsid w:val="00CE6962"/>
    <w:rsid w:val="00CE6AFB"/>
    <w:rsid w:val="00CF290E"/>
    <w:rsid w:val="00CF4573"/>
    <w:rsid w:val="00CF4D0A"/>
    <w:rsid w:val="00CF753A"/>
    <w:rsid w:val="00D03656"/>
    <w:rsid w:val="00D061C6"/>
    <w:rsid w:val="00D10BAB"/>
    <w:rsid w:val="00D11881"/>
    <w:rsid w:val="00D12624"/>
    <w:rsid w:val="00D126E8"/>
    <w:rsid w:val="00D132A9"/>
    <w:rsid w:val="00D146DC"/>
    <w:rsid w:val="00D22EB2"/>
    <w:rsid w:val="00D2623C"/>
    <w:rsid w:val="00D27D86"/>
    <w:rsid w:val="00D3001B"/>
    <w:rsid w:val="00D36C1A"/>
    <w:rsid w:val="00D37A78"/>
    <w:rsid w:val="00D409F3"/>
    <w:rsid w:val="00D40D39"/>
    <w:rsid w:val="00D42E70"/>
    <w:rsid w:val="00D4316B"/>
    <w:rsid w:val="00D45B14"/>
    <w:rsid w:val="00D464CE"/>
    <w:rsid w:val="00D4692D"/>
    <w:rsid w:val="00D5251F"/>
    <w:rsid w:val="00D54255"/>
    <w:rsid w:val="00D545C9"/>
    <w:rsid w:val="00D5633D"/>
    <w:rsid w:val="00D572F8"/>
    <w:rsid w:val="00D61D4E"/>
    <w:rsid w:val="00D623BC"/>
    <w:rsid w:val="00D6310D"/>
    <w:rsid w:val="00D638B3"/>
    <w:rsid w:val="00D66940"/>
    <w:rsid w:val="00D73544"/>
    <w:rsid w:val="00D73857"/>
    <w:rsid w:val="00D7468D"/>
    <w:rsid w:val="00D812D8"/>
    <w:rsid w:val="00D8479E"/>
    <w:rsid w:val="00D85A37"/>
    <w:rsid w:val="00D865B3"/>
    <w:rsid w:val="00D90830"/>
    <w:rsid w:val="00D91144"/>
    <w:rsid w:val="00D93BDB"/>
    <w:rsid w:val="00DA0107"/>
    <w:rsid w:val="00DA1EA4"/>
    <w:rsid w:val="00DA25E8"/>
    <w:rsid w:val="00DA3E05"/>
    <w:rsid w:val="00DA3FD4"/>
    <w:rsid w:val="00DA4482"/>
    <w:rsid w:val="00DA79A7"/>
    <w:rsid w:val="00DB21B7"/>
    <w:rsid w:val="00DB3706"/>
    <w:rsid w:val="00DB566F"/>
    <w:rsid w:val="00DB7433"/>
    <w:rsid w:val="00DB7A4A"/>
    <w:rsid w:val="00DC1B80"/>
    <w:rsid w:val="00DC3548"/>
    <w:rsid w:val="00DC3E0B"/>
    <w:rsid w:val="00DC5039"/>
    <w:rsid w:val="00DC5539"/>
    <w:rsid w:val="00DC5A7A"/>
    <w:rsid w:val="00DC5FBD"/>
    <w:rsid w:val="00DD2176"/>
    <w:rsid w:val="00DD75D8"/>
    <w:rsid w:val="00DE16A0"/>
    <w:rsid w:val="00DE1A4E"/>
    <w:rsid w:val="00DE1FFB"/>
    <w:rsid w:val="00DE3E05"/>
    <w:rsid w:val="00DE51D6"/>
    <w:rsid w:val="00DE5CF1"/>
    <w:rsid w:val="00DF07C6"/>
    <w:rsid w:val="00DF330F"/>
    <w:rsid w:val="00DF4242"/>
    <w:rsid w:val="00DF4291"/>
    <w:rsid w:val="00DF7953"/>
    <w:rsid w:val="00DF7CBB"/>
    <w:rsid w:val="00E006F7"/>
    <w:rsid w:val="00E007D6"/>
    <w:rsid w:val="00E02D2B"/>
    <w:rsid w:val="00E039A5"/>
    <w:rsid w:val="00E12987"/>
    <w:rsid w:val="00E155F3"/>
    <w:rsid w:val="00E206DA"/>
    <w:rsid w:val="00E20ED6"/>
    <w:rsid w:val="00E2253D"/>
    <w:rsid w:val="00E22B8E"/>
    <w:rsid w:val="00E23383"/>
    <w:rsid w:val="00E23BF5"/>
    <w:rsid w:val="00E25588"/>
    <w:rsid w:val="00E26661"/>
    <w:rsid w:val="00E26C0A"/>
    <w:rsid w:val="00E27CEB"/>
    <w:rsid w:val="00E3558E"/>
    <w:rsid w:val="00E35E2C"/>
    <w:rsid w:val="00E378CF"/>
    <w:rsid w:val="00E41199"/>
    <w:rsid w:val="00E424C8"/>
    <w:rsid w:val="00E42E56"/>
    <w:rsid w:val="00E438A8"/>
    <w:rsid w:val="00E46A43"/>
    <w:rsid w:val="00E474CD"/>
    <w:rsid w:val="00E477C3"/>
    <w:rsid w:val="00E518F6"/>
    <w:rsid w:val="00E51E75"/>
    <w:rsid w:val="00E52AA1"/>
    <w:rsid w:val="00E537C5"/>
    <w:rsid w:val="00E53D5C"/>
    <w:rsid w:val="00E54200"/>
    <w:rsid w:val="00E54E19"/>
    <w:rsid w:val="00E558E9"/>
    <w:rsid w:val="00E61031"/>
    <w:rsid w:val="00E65339"/>
    <w:rsid w:val="00E66A09"/>
    <w:rsid w:val="00E70958"/>
    <w:rsid w:val="00E714DD"/>
    <w:rsid w:val="00E71DC2"/>
    <w:rsid w:val="00E728D1"/>
    <w:rsid w:val="00E732F0"/>
    <w:rsid w:val="00E742C4"/>
    <w:rsid w:val="00E74698"/>
    <w:rsid w:val="00E752A0"/>
    <w:rsid w:val="00E75A80"/>
    <w:rsid w:val="00E75B3F"/>
    <w:rsid w:val="00E8240E"/>
    <w:rsid w:val="00E82530"/>
    <w:rsid w:val="00E84514"/>
    <w:rsid w:val="00E8562E"/>
    <w:rsid w:val="00E85937"/>
    <w:rsid w:val="00E903FB"/>
    <w:rsid w:val="00E90CBB"/>
    <w:rsid w:val="00E920A1"/>
    <w:rsid w:val="00E93E15"/>
    <w:rsid w:val="00E94019"/>
    <w:rsid w:val="00E95792"/>
    <w:rsid w:val="00EA1A67"/>
    <w:rsid w:val="00EA23DC"/>
    <w:rsid w:val="00EA4881"/>
    <w:rsid w:val="00EA5D8D"/>
    <w:rsid w:val="00EA7067"/>
    <w:rsid w:val="00EB1A3B"/>
    <w:rsid w:val="00EB4207"/>
    <w:rsid w:val="00EC224C"/>
    <w:rsid w:val="00EC31A9"/>
    <w:rsid w:val="00EC4524"/>
    <w:rsid w:val="00EC4B05"/>
    <w:rsid w:val="00EC57A7"/>
    <w:rsid w:val="00EC6C91"/>
    <w:rsid w:val="00EC7790"/>
    <w:rsid w:val="00ED106C"/>
    <w:rsid w:val="00ED20F4"/>
    <w:rsid w:val="00ED2F32"/>
    <w:rsid w:val="00ED4048"/>
    <w:rsid w:val="00ED4E5D"/>
    <w:rsid w:val="00ED54D0"/>
    <w:rsid w:val="00ED7B8F"/>
    <w:rsid w:val="00ED7FFE"/>
    <w:rsid w:val="00EE08FC"/>
    <w:rsid w:val="00EE3352"/>
    <w:rsid w:val="00EE54F5"/>
    <w:rsid w:val="00EE5F6F"/>
    <w:rsid w:val="00EF3230"/>
    <w:rsid w:val="00EF3576"/>
    <w:rsid w:val="00EF5202"/>
    <w:rsid w:val="00EF52A6"/>
    <w:rsid w:val="00EF714F"/>
    <w:rsid w:val="00EF78C8"/>
    <w:rsid w:val="00F03EE4"/>
    <w:rsid w:val="00F06A7B"/>
    <w:rsid w:val="00F07B0E"/>
    <w:rsid w:val="00F11992"/>
    <w:rsid w:val="00F15178"/>
    <w:rsid w:val="00F1657C"/>
    <w:rsid w:val="00F1684E"/>
    <w:rsid w:val="00F16B85"/>
    <w:rsid w:val="00F24843"/>
    <w:rsid w:val="00F26DDB"/>
    <w:rsid w:val="00F2778F"/>
    <w:rsid w:val="00F27E23"/>
    <w:rsid w:val="00F32A03"/>
    <w:rsid w:val="00F34001"/>
    <w:rsid w:val="00F37E32"/>
    <w:rsid w:val="00F40DF4"/>
    <w:rsid w:val="00F44681"/>
    <w:rsid w:val="00F44810"/>
    <w:rsid w:val="00F4596D"/>
    <w:rsid w:val="00F46935"/>
    <w:rsid w:val="00F46B78"/>
    <w:rsid w:val="00F47914"/>
    <w:rsid w:val="00F518B8"/>
    <w:rsid w:val="00F52211"/>
    <w:rsid w:val="00F5433C"/>
    <w:rsid w:val="00F55EE2"/>
    <w:rsid w:val="00F577F7"/>
    <w:rsid w:val="00F57AC8"/>
    <w:rsid w:val="00F612DE"/>
    <w:rsid w:val="00F61866"/>
    <w:rsid w:val="00F63094"/>
    <w:rsid w:val="00F64EE8"/>
    <w:rsid w:val="00F66070"/>
    <w:rsid w:val="00F66F59"/>
    <w:rsid w:val="00F67026"/>
    <w:rsid w:val="00F73EDA"/>
    <w:rsid w:val="00F80284"/>
    <w:rsid w:val="00F80A0E"/>
    <w:rsid w:val="00F817F0"/>
    <w:rsid w:val="00F87E8B"/>
    <w:rsid w:val="00F92E43"/>
    <w:rsid w:val="00F958A4"/>
    <w:rsid w:val="00F96016"/>
    <w:rsid w:val="00F970E7"/>
    <w:rsid w:val="00F971E0"/>
    <w:rsid w:val="00F9774C"/>
    <w:rsid w:val="00FA1CD4"/>
    <w:rsid w:val="00FA2AEE"/>
    <w:rsid w:val="00FA5D58"/>
    <w:rsid w:val="00FA7E08"/>
    <w:rsid w:val="00FB012F"/>
    <w:rsid w:val="00FB19A0"/>
    <w:rsid w:val="00FB28D1"/>
    <w:rsid w:val="00FB2E5D"/>
    <w:rsid w:val="00FB3164"/>
    <w:rsid w:val="00FB34A8"/>
    <w:rsid w:val="00FB3816"/>
    <w:rsid w:val="00FB45FF"/>
    <w:rsid w:val="00FB668F"/>
    <w:rsid w:val="00FB777C"/>
    <w:rsid w:val="00FC4808"/>
    <w:rsid w:val="00FC71BB"/>
    <w:rsid w:val="00FD035F"/>
    <w:rsid w:val="00FD06F5"/>
    <w:rsid w:val="00FD16A3"/>
    <w:rsid w:val="00FD22AD"/>
    <w:rsid w:val="00FD3296"/>
    <w:rsid w:val="00FD361D"/>
    <w:rsid w:val="00FD3F2A"/>
    <w:rsid w:val="00FD5B35"/>
    <w:rsid w:val="00FD6BA1"/>
    <w:rsid w:val="00FE34E2"/>
    <w:rsid w:val="00FE3766"/>
    <w:rsid w:val="00FE5E67"/>
    <w:rsid w:val="00FE7007"/>
    <w:rsid w:val="00FF0E2B"/>
    <w:rsid w:val="00FF1B50"/>
    <w:rsid w:val="00FF264E"/>
    <w:rsid w:val="00FF55DC"/>
    <w:rsid w:val="0E581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widowControl w:val="0"/>
      <w:spacing w:line="360" w:lineRule="exact"/>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19"/>
    <w:qFormat/>
    <w:uiPriority w:val="0"/>
    <w:pPr>
      <w:keepNext/>
      <w:spacing w:after="120"/>
      <w:outlineLvl w:val="0"/>
    </w:pPr>
    <w:rPr>
      <w:rFonts w:ascii="Times New Roman" w:hAnsi="Times New Roman" w:cs="Times New Roman"/>
      <w:bCs/>
      <w:kern w:val="44"/>
      <w:szCs w:val="44"/>
      <w:lang w:val="zh-CN" w:eastAsia="zh-CN"/>
    </w:rPr>
  </w:style>
  <w:style w:type="paragraph" w:styleId="3">
    <w:name w:val="heading 2"/>
    <w:basedOn w:val="1"/>
    <w:next w:val="1"/>
    <w:link w:val="20"/>
    <w:qFormat/>
    <w:uiPriority w:val="0"/>
    <w:pPr>
      <w:keepNext/>
      <w:spacing w:before="60" w:after="60"/>
      <w:outlineLvl w:val="1"/>
    </w:pPr>
    <w:rPr>
      <w:rFonts w:ascii="Cambria" w:hAnsi="Cambria" w:cs="Times New Roman"/>
      <w:bCs/>
      <w:kern w:val="0"/>
      <w:szCs w:val="32"/>
      <w:lang w:val="zh-CN" w:eastAsia="zh-CN"/>
    </w:rPr>
  </w:style>
  <w:style w:type="paragraph" w:styleId="4">
    <w:name w:val="heading 3"/>
    <w:basedOn w:val="1"/>
    <w:next w:val="1"/>
    <w:link w:val="21"/>
    <w:unhideWhenUsed/>
    <w:qFormat/>
    <w:uiPriority w:val="9"/>
    <w:pPr>
      <w:keepNext/>
      <w:spacing w:before="260" w:after="260" w:line="416" w:lineRule="atLeast"/>
      <w:outlineLvl w:val="2"/>
    </w:pPr>
    <w:rPr>
      <w:b/>
      <w:bCs/>
      <w:sz w:val="32"/>
      <w:szCs w:val="32"/>
    </w:rPr>
  </w:style>
  <w:style w:type="paragraph" w:styleId="5">
    <w:name w:val="heading 4"/>
    <w:basedOn w:val="1"/>
    <w:next w:val="1"/>
    <w:link w:val="30"/>
    <w:semiHidden/>
    <w:unhideWhenUsed/>
    <w:qFormat/>
    <w:uiPriority w:val="9"/>
    <w:pPr>
      <w:keepNext/>
      <w:spacing w:before="280" w:after="290" w:line="376" w:lineRule="atLeast"/>
      <w:outlineLvl w:val="3"/>
    </w:pPr>
    <w:rPr>
      <w:rFonts w:asciiTheme="majorHAnsi" w:hAnsiTheme="majorHAnsi" w:eastAsiaTheme="majorEastAsia" w:cstheme="majorBidi"/>
      <w:b/>
      <w:bCs/>
      <w:sz w:val="28"/>
      <w:szCs w:val="28"/>
    </w:rPr>
  </w:style>
  <w:style w:type="paragraph" w:styleId="6">
    <w:name w:val="heading 9"/>
    <w:basedOn w:val="1"/>
    <w:next w:val="1"/>
    <w:link w:val="31"/>
    <w:semiHidden/>
    <w:unhideWhenUsed/>
    <w:qFormat/>
    <w:uiPriority w:val="9"/>
    <w:pPr>
      <w:keepNext/>
      <w:spacing w:before="240" w:after="64" w:line="320" w:lineRule="atLeast"/>
      <w:outlineLvl w:val="8"/>
    </w:pPr>
    <w:rPr>
      <w:rFonts w:asciiTheme="majorHAnsi" w:hAnsiTheme="majorHAnsi" w:eastAsiaTheme="majorEastAsia" w:cstheme="majorBidi"/>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Date"/>
    <w:basedOn w:val="1"/>
    <w:next w:val="1"/>
    <w:link w:val="29"/>
    <w:semiHidden/>
    <w:unhideWhenUsed/>
    <w:qFormat/>
    <w:uiPriority w:val="99"/>
    <w:pPr>
      <w:ind w:left="100" w:leftChars="2500"/>
    </w:pPr>
  </w:style>
  <w:style w:type="paragraph" w:styleId="8">
    <w:name w:val="Balloon Text"/>
    <w:basedOn w:val="1"/>
    <w:link w:val="27"/>
    <w:semiHidden/>
    <w:unhideWhenUsed/>
    <w:qFormat/>
    <w:uiPriority w:val="99"/>
    <w:pPr>
      <w:spacing w:line="240" w:lineRule="auto"/>
    </w:pPr>
    <w:rPr>
      <w:sz w:val="18"/>
      <w:szCs w:val="18"/>
    </w:rPr>
  </w:style>
  <w:style w:type="paragraph" w:styleId="9">
    <w:name w:val="footer"/>
    <w:basedOn w:val="1"/>
    <w:link w:val="18"/>
    <w:unhideWhenUsed/>
    <w:qFormat/>
    <w:uiPriority w:val="99"/>
    <w:pPr>
      <w:tabs>
        <w:tab w:val="center" w:pos="4153"/>
        <w:tab w:val="right" w:pos="8306"/>
      </w:tabs>
      <w:snapToGrid w:val="0"/>
      <w:jc w:val="left"/>
    </w:pPr>
    <w:rPr>
      <w:sz w:val="18"/>
      <w:szCs w:val="18"/>
    </w:rPr>
  </w:style>
  <w:style w:type="paragraph" w:styleId="10">
    <w:name w:val="header"/>
    <w:basedOn w:val="1"/>
    <w:link w:val="17"/>
    <w:unhideWhenUsed/>
    <w:qFormat/>
    <w:uiPriority w:val="99"/>
    <w:pPr>
      <w:keepLines w:val="0"/>
      <w:tabs>
        <w:tab w:val="center" w:pos="4153"/>
        <w:tab w:val="right" w:pos="8306"/>
      </w:tabs>
      <w:snapToGrid w:val="0"/>
      <w:spacing w:line="240" w:lineRule="auto"/>
      <w:jc w:val="center"/>
    </w:pPr>
    <w:rPr>
      <w:sz w:val="18"/>
      <w:szCs w:val="18"/>
    </w:rPr>
  </w:style>
  <w:style w:type="paragraph" w:styleId="11">
    <w:name w:val="Normal (Web)"/>
    <w:basedOn w:val="1"/>
    <w:unhideWhenUsed/>
    <w:qFormat/>
    <w:uiPriority w:val="99"/>
    <w:pPr>
      <w:keepLines w:val="0"/>
      <w:widowControl/>
      <w:spacing w:before="100" w:beforeAutospacing="1" w:after="100" w:afterAutospacing="1" w:line="240" w:lineRule="auto"/>
      <w:jc w:val="left"/>
    </w:pPr>
    <w:rPr>
      <w:rFonts w:ascii="宋体" w:hAnsi="宋体" w:cs="宋体"/>
      <w:kern w:val="0"/>
      <w:szCs w:val="24"/>
    </w:rPr>
  </w:style>
  <w:style w:type="paragraph" w:styleId="12">
    <w:name w:val="Title"/>
    <w:basedOn w:val="1"/>
    <w:next w:val="1"/>
    <w:link w:val="25"/>
    <w:qFormat/>
    <w:uiPriority w:val="10"/>
    <w:pPr>
      <w:spacing w:before="240" w:after="60"/>
      <w:jc w:val="center"/>
      <w:outlineLvl w:val="0"/>
    </w:pPr>
    <w:rPr>
      <w:rFonts w:ascii="Cambria" w:hAnsi="Cambria" w:cs="Times New Roman"/>
      <w:b/>
      <w:bCs/>
      <w:sz w:val="32"/>
      <w:szCs w:val="32"/>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mphasis"/>
    <w:qFormat/>
    <w:uiPriority w:val="20"/>
    <w:rPr>
      <w:sz w:val="21"/>
    </w:rPr>
  </w:style>
  <w:style w:type="character" w:customStyle="1" w:styleId="17">
    <w:name w:val="页眉 Char"/>
    <w:basedOn w:val="15"/>
    <w:link w:val="10"/>
    <w:qFormat/>
    <w:uiPriority w:val="99"/>
    <w:rPr>
      <w:sz w:val="18"/>
      <w:szCs w:val="18"/>
    </w:rPr>
  </w:style>
  <w:style w:type="character" w:customStyle="1" w:styleId="18">
    <w:name w:val="页脚 Char"/>
    <w:basedOn w:val="15"/>
    <w:link w:val="9"/>
    <w:qFormat/>
    <w:uiPriority w:val="99"/>
    <w:rPr>
      <w:sz w:val="18"/>
      <w:szCs w:val="18"/>
    </w:rPr>
  </w:style>
  <w:style w:type="character" w:customStyle="1" w:styleId="19">
    <w:name w:val="标题 1 Char"/>
    <w:basedOn w:val="15"/>
    <w:link w:val="2"/>
    <w:qFormat/>
    <w:uiPriority w:val="0"/>
    <w:rPr>
      <w:rFonts w:ascii="Times New Roman" w:hAnsi="Times New Roman" w:eastAsia="宋体" w:cs="Times New Roman"/>
      <w:bCs/>
      <w:kern w:val="44"/>
      <w:sz w:val="24"/>
      <w:szCs w:val="44"/>
      <w:lang w:val="zh-CN" w:eastAsia="zh-CN"/>
    </w:rPr>
  </w:style>
  <w:style w:type="character" w:customStyle="1" w:styleId="20">
    <w:name w:val="标题 2 Char"/>
    <w:basedOn w:val="15"/>
    <w:link w:val="3"/>
    <w:qFormat/>
    <w:uiPriority w:val="0"/>
    <w:rPr>
      <w:rFonts w:ascii="Cambria" w:hAnsi="Cambria" w:eastAsia="宋体" w:cs="Times New Roman"/>
      <w:bCs/>
      <w:kern w:val="0"/>
      <w:sz w:val="24"/>
      <w:szCs w:val="32"/>
      <w:lang w:val="zh-CN" w:eastAsia="zh-CN"/>
    </w:rPr>
  </w:style>
  <w:style w:type="character" w:customStyle="1" w:styleId="21">
    <w:name w:val="标题 3 Char"/>
    <w:basedOn w:val="15"/>
    <w:link w:val="4"/>
    <w:qFormat/>
    <w:uiPriority w:val="9"/>
    <w:rPr>
      <w:rFonts w:ascii="Calibri" w:hAnsi="Calibri" w:eastAsia="宋体" w:cs="黑体"/>
      <w:b/>
      <w:bCs/>
      <w:sz w:val="32"/>
      <w:szCs w:val="32"/>
    </w:rPr>
  </w:style>
  <w:style w:type="paragraph" w:customStyle="1" w:styleId="22">
    <w:name w:val="封面表格文本"/>
    <w:basedOn w:val="1"/>
    <w:qFormat/>
    <w:uiPriority w:val="0"/>
    <w:pPr>
      <w:keepNext/>
      <w:autoSpaceDE w:val="0"/>
      <w:autoSpaceDN w:val="0"/>
      <w:adjustRightInd w:val="0"/>
      <w:spacing w:after="120" w:line="240" w:lineRule="atLeast"/>
      <w:ind w:firstLine="17" w:firstLineChars="8"/>
      <w:jc w:val="center"/>
    </w:pPr>
    <w:rPr>
      <w:rFonts w:ascii="Arial" w:hAnsi="Arial" w:cs="Times New Roman"/>
      <w:kern w:val="0"/>
    </w:rPr>
  </w:style>
  <w:style w:type="paragraph" w:customStyle="1" w:styleId="23">
    <w:name w:val="图样式"/>
    <w:basedOn w:val="1"/>
    <w:qFormat/>
    <w:uiPriority w:val="0"/>
    <w:pPr>
      <w:keepNext/>
      <w:widowControl/>
      <w:autoSpaceDE w:val="0"/>
      <w:autoSpaceDN w:val="0"/>
      <w:adjustRightInd w:val="0"/>
      <w:spacing w:before="80" w:after="80" w:line="240" w:lineRule="atLeast"/>
      <w:jc w:val="center"/>
    </w:pPr>
    <w:rPr>
      <w:rFonts w:ascii="Times New Roman" w:hAnsi="Times New Roman" w:cs="Times New Roman"/>
      <w:kern w:val="0"/>
      <w:szCs w:val="20"/>
    </w:rPr>
  </w:style>
  <w:style w:type="paragraph" w:styleId="24">
    <w:name w:val="List Paragraph"/>
    <w:basedOn w:val="1"/>
    <w:qFormat/>
    <w:uiPriority w:val="34"/>
    <w:pPr>
      <w:keepLines w:val="0"/>
      <w:spacing w:line="240" w:lineRule="auto"/>
      <w:ind w:firstLine="420" w:firstLineChars="200"/>
    </w:pPr>
    <w:rPr>
      <w:rFonts w:cs="Times New Roman"/>
    </w:rPr>
  </w:style>
  <w:style w:type="character" w:customStyle="1" w:styleId="25">
    <w:name w:val="标题 Char"/>
    <w:basedOn w:val="15"/>
    <w:link w:val="12"/>
    <w:qFormat/>
    <w:uiPriority w:val="10"/>
    <w:rPr>
      <w:rFonts w:ascii="Cambria" w:hAnsi="Cambria" w:eastAsia="宋体" w:cs="Times New Roman"/>
      <w:b/>
      <w:bCs/>
      <w:sz w:val="32"/>
      <w:szCs w:val="32"/>
    </w:rPr>
  </w:style>
  <w:style w:type="paragraph" w:customStyle="1" w:styleId="26">
    <w:name w:val="无间隔1"/>
    <w:qFormat/>
    <w:uiPriority w:val="0"/>
    <w:pPr>
      <w:keepLines/>
      <w:widowControl w:val="0"/>
      <w:jc w:val="both"/>
    </w:pPr>
    <w:rPr>
      <w:rFonts w:ascii="Calibri" w:hAnsi="Calibri" w:eastAsia="宋体" w:cs="黑体"/>
      <w:kern w:val="2"/>
      <w:sz w:val="24"/>
      <w:szCs w:val="21"/>
      <w:lang w:val="en-US" w:eastAsia="zh-CN" w:bidi="ar-SA"/>
    </w:rPr>
  </w:style>
  <w:style w:type="character" w:customStyle="1" w:styleId="27">
    <w:name w:val="批注框文本 Char"/>
    <w:basedOn w:val="15"/>
    <w:link w:val="8"/>
    <w:semiHidden/>
    <w:qFormat/>
    <w:uiPriority w:val="99"/>
    <w:rPr>
      <w:rFonts w:ascii="Calibri" w:hAnsi="Calibri" w:eastAsia="宋体" w:cs="黑体"/>
      <w:sz w:val="18"/>
      <w:szCs w:val="18"/>
    </w:rPr>
  </w:style>
  <w:style w:type="paragraph" w:styleId="28">
    <w:name w:val="No Spacing"/>
    <w:link w:val="32"/>
    <w:qFormat/>
    <w:uiPriority w:val="1"/>
    <w:pPr>
      <w:keepLines/>
      <w:widowControl w:val="0"/>
      <w:jc w:val="both"/>
    </w:pPr>
    <w:rPr>
      <w:rFonts w:asciiTheme="minorHAnsi" w:hAnsiTheme="minorHAnsi" w:eastAsiaTheme="minorEastAsia" w:cstheme="minorBidi"/>
      <w:kern w:val="2"/>
      <w:sz w:val="21"/>
      <w:szCs w:val="21"/>
      <w:lang w:val="en-US" w:eastAsia="zh-CN" w:bidi="ar-SA"/>
    </w:rPr>
  </w:style>
  <w:style w:type="character" w:customStyle="1" w:styleId="29">
    <w:name w:val="日期 Char"/>
    <w:basedOn w:val="15"/>
    <w:link w:val="7"/>
    <w:semiHidden/>
    <w:qFormat/>
    <w:uiPriority w:val="99"/>
  </w:style>
  <w:style w:type="character" w:customStyle="1" w:styleId="30">
    <w:name w:val="标题 4 Char"/>
    <w:basedOn w:val="15"/>
    <w:link w:val="5"/>
    <w:semiHidden/>
    <w:qFormat/>
    <w:uiPriority w:val="9"/>
    <w:rPr>
      <w:rFonts w:asciiTheme="majorHAnsi" w:hAnsiTheme="majorHAnsi" w:eastAsiaTheme="majorEastAsia" w:cstheme="majorBidi"/>
      <w:b/>
      <w:bCs/>
      <w:sz w:val="28"/>
      <w:szCs w:val="28"/>
    </w:rPr>
  </w:style>
  <w:style w:type="character" w:customStyle="1" w:styleId="31">
    <w:name w:val="标题 9 Char"/>
    <w:basedOn w:val="15"/>
    <w:link w:val="6"/>
    <w:semiHidden/>
    <w:qFormat/>
    <w:uiPriority w:val="9"/>
    <w:rPr>
      <w:rFonts w:asciiTheme="majorHAnsi" w:hAnsiTheme="majorHAnsi" w:eastAsiaTheme="majorEastAsia" w:cstheme="majorBidi"/>
    </w:rPr>
  </w:style>
  <w:style w:type="character" w:customStyle="1" w:styleId="32">
    <w:name w:val="无间隔 Char"/>
    <w:basedOn w:val="15"/>
    <w:link w:val="28"/>
    <w:qFormat/>
    <w:uiPriority w:val="1"/>
  </w:style>
  <w:style w:type="paragraph" w:customStyle="1" w:styleId="33">
    <w:name w:val="封面文档标题"/>
    <w:basedOn w:val="1"/>
    <w:autoRedefine/>
    <w:qFormat/>
    <w:uiPriority w:val="0"/>
    <w:pPr>
      <w:keepNext/>
      <w:keepLines w:val="0"/>
      <w:autoSpaceDE w:val="0"/>
      <w:autoSpaceDN w:val="0"/>
      <w:adjustRightInd w:val="0"/>
      <w:spacing w:line="360" w:lineRule="auto"/>
      <w:jc w:val="center"/>
    </w:pPr>
    <w:rPr>
      <w:rFonts w:ascii="宋体" w:hAnsi="宋体" w:eastAsia="宋体" w:cs="Times New Roman"/>
      <w:b/>
      <w:bCs/>
      <w:kern w:val="0"/>
      <w:sz w:val="52"/>
      <w:szCs w:val="52"/>
    </w:rPr>
  </w:style>
  <w:style w:type="paragraph" w:customStyle="1" w:styleId="34">
    <w:name w:val="修订记录标题"/>
    <w:basedOn w:val="1"/>
    <w:qFormat/>
    <w:uiPriority w:val="0"/>
    <w:pPr>
      <w:keepNext/>
      <w:keepLines w:val="0"/>
      <w:widowControl/>
      <w:autoSpaceDE w:val="0"/>
      <w:autoSpaceDN w:val="0"/>
      <w:adjustRightInd w:val="0"/>
      <w:spacing w:before="300" w:after="150" w:line="360" w:lineRule="auto"/>
      <w:jc w:val="center"/>
    </w:pPr>
    <w:rPr>
      <w:rFonts w:ascii="Arial" w:hAnsi="Arial" w:eastAsia="黑体" w:cs="Times New Roman"/>
      <w:kern w:val="0"/>
      <w:sz w:val="32"/>
      <w:szCs w:val="32"/>
    </w:rPr>
  </w:style>
  <w:style w:type="paragraph" w:customStyle="1" w:styleId="35">
    <w:name w:val="Revision"/>
    <w:hidden/>
    <w:semiHidden/>
    <w:qFormat/>
    <w:uiPriority w:val="99"/>
    <w:rPr>
      <w:rFonts w:asciiTheme="minorHAnsi" w:hAnsiTheme="minorHAnsi" w:eastAsiaTheme="minorEastAsia" w:cstheme="minorBidi"/>
      <w:kern w:val="2"/>
      <w:sz w:val="21"/>
      <w:szCs w:val="21"/>
      <w:lang w:val="en-US" w:eastAsia="zh-CN" w:bidi="ar-SA"/>
    </w:rPr>
  </w:style>
  <w:style w:type="table" w:customStyle="1" w:styleId="36">
    <w:name w:val="_Style 12"/>
    <w:basedOn w:val="13"/>
    <w:qFormat/>
    <w:uiPriority w:val="0"/>
    <w:rPr>
      <w:rFonts w:ascii="Arial" w:hAnsi="Arial" w:cs="Arial"/>
      <w:kern w:val="0"/>
      <w:sz w:val="20"/>
      <w:szCs w:val="20"/>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8F0F42-655D-4FCD-896C-0D4643A5CF43}">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9</Pages>
  <Words>589</Words>
  <Characters>606</Characters>
  <Lines>36</Lines>
  <Paragraphs>10</Paragraphs>
  <TotalTime>1696</TotalTime>
  <ScaleCrop>false</ScaleCrop>
  <LinksUpToDate>false</LinksUpToDate>
  <CharactersWithSpaces>616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2019-10-06T02:07:00Z</dcterms:created>
  <dc:creator>Administrator</dc:creator>
  <cp:lastModifiedBy>开平</cp:lastModifiedBy>
  <cp:lastPrinted>2025-10-31T09:09:00Z</cp:lastPrinted>
  <dcterms:modified xsi:type="dcterms:W3CDTF">2025-11-10T08:12:25Z</dcterms:modified>
  <cp:revision>586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eyJoZGlkIjoiM2EwZjFlMDhmZTYxOGFhMmU5Mzg1MzgwYWUwYjM3OWYiLCJ1c2VySWQiOiIyMjg3Mjg2MTMifQ==</vt:lpwstr>
  </property>
  <property fmtid="{D5CDD505-2E9C-101B-9397-08002B2CF9AE}" pid="3" name="KSOProductBuildVer">
    <vt:lpwstr>2052-12.1.0.23542</vt:lpwstr>
  </property>
  <property fmtid="{D5CDD505-2E9C-101B-9397-08002B2CF9AE}" pid="4" name="ICV">
    <vt:lpwstr>334C1F759C414D398D460C78027B0969_12</vt:lpwstr>
  </property>
</Properties>
</file>