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drawing>
          <wp:inline xmlns:a="http://schemas.openxmlformats.org/drawingml/2006/main" xmlns:pic="http://schemas.openxmlformats.org/drawingml/2006/picture">
            <wp:extent cx="4846320" cy="4725162"/>
            <wp:docPr id="1" name="Picture 1"/>
            <wp:cNvGraphicFramePr>
              <a:graphicFrameLocks noChangeAspect="1"/>
            </wp:cNvGraphicFramePr>
            <a:graphic>
              <a:graphicData uri="http://schemas.openxmlformats.org/drawingml/2006/picture">
                <pic:pic>
                  <pic:nvPicPr>
                    <pic:cNvPr id="0" name="patent_opening_bw.png"/>
                    <pic:cNvPicPr/>
                  </pic:nvPicPr>
                  <pic:blipFill>
                    <a:blip r:embed="rId6"/>
                    <a:stretch>
                      <a:fillRect/>
                    </a:stretch>
                  </pic:blipFill>
                  <pic:spPr>
                    <a:xfrm>
                      <a:off x="0" y="0"/>
                      <a:ext cx="4846320" cy="4725162"/>
                    </a:xfrm>
                    <a:prstGeom prst="rect"/>
                  </pic:spPr>
                </pic:pic>
              </a:graphicData>
            </a:graphic>
          </wp:inline>
        </w:drawing>
      </w:r>
    </w:p>
    <w:p>
      <w:pPr>
        <w:jc w:val="center"/>
      </w:pPr>
      <w:r>
        <w:rPr>
          <w:b/>
          <w:sz w:val="28"/>
        </w:rPr>
        <w:t>摘    要    附    图</w:t>
      </w:r>
    </w:p>
    <w:p w14:paraId="499F136E">
      <w:pPr>
        <w:pStyle w:val="2"/>
        <w:jc w:val="center"/>
        <w:rPr>
          <w:rFonts w:hint="default" w:ascii="Times New Roman" w:hAnsi="Times New Roman" w:eastAsia="宋体" w:cs="Times New Roman"/>
          <w:color w:val="auto"/>
          <w:sz w:val="44"/>
          <w:szCs w:val="44"/>
        </w:rPr>
      </w:pPr>
      <w:bookmarkStart w:id="0" w:name="说明书摘要"/>
      <w:r>
        <w:rPr>
          <w:rFonts w:hint="default" w:ascii="Times New Roman" w:hAnsi="Times New Roman" w:eastAsia="宋体" w:cs="Times New Roman"/>
          <w:color w:val="auto"/>
          <w:sz w:val="44"/>
          <w:szCs w:val="44"/>
        </w:rPr>
        <w:t>说明书摘要</w:t>
      </w:r>
    </w:p>
    <w:p w14:paraId="7BC6E87C">
      <w:pPr>
        <w:pStyle w:val="2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本发明涉及一种基于多源风险自适应与混合智能重分配的无人船任务分配方法，属于无人自主协同控制技术领域。针对异构无人船集群在复杂动态海况下风险感知弱、动态适配性差的问题，本发明构建涵盖漂移、海况、能力匹配及能量的多源风险评估模型，提取11维风险态势特征，通过XGBoost分类器实现四种作业策略的自适应切换。采用改进共识捆绑拍卖算法完成分布式初始分配，通过风险分层捆绑与非对称共识机制消解任务冲突。在执行阶段，搭建快速初筛、经验迁移、保守门控、滚验复核的四层递进式重分配架构。本发明具备精细化风险感知与全场景自适应能力，可广泛应用于海上搜救等复杂海洋作业场景。</w:t>
      </w:r>
    </w:p>
    <w:bookmarkEnd w:id="0"/>
    <w:p w14:paraId="50466339">
      <w:pPr>
        <w:pStyle w:val="2"/>
        <w:rPr>
          <w:rFonts w:hint="default" w:ascii="Times New Roman" w:hAnsi="Times New Roman" w:eastAsia="宋体" w:cs="Times New Roman"/>
          <w:color w:val="auto"/>
          <w:sz w:val="26"/>
          <w:szCs w:val="26"/>
        </w:rPr>
      </w:pPr>
      <w:bookmarkStart w:id="1" w:name="权利要求书"/>
    </w:p>
    <w:p w14:paraId="4F664829">
      <w:pPr>
        <w:pStyle w:val="2"/>
        <w:rPr>
          <w:rFonts w:hint="default" w:ascii="Times New Roman" w:hAnsi="Times New Roman" w:eastAsia="宋体" w:cs="Times New Roman"/>
          <w:color w:val="auto"/>
          <w:sz w:val="26"/>
          <w:szCs w:val="26"/>
        </w:rPr>
      </w:pPr>
    </w:p>
    <w:p w14:paraId="6A52DBFF">
      <w:pPr>
        <w:pStyle w:val="2"/>
        <w:rPr>
          <w:rFonts w:hint="default" w:ascii="Times New Roman" w:hAnsi="Times New Roman" w:eastAsia="宋体" w:cs="Times New Roman"/>
          <w:color w:val="auto"/>
          <w:sz w:val="26"/>
          <w:szCs w:val="26"/>
        </w:rPr>
      </w:pPr>
    </w:p>
    <w:p w14:paraId="15AD961B">
      <w:pPr>
        <w:pStyle w:val="2"/>
        <w:rPr>
          <w:rFonts w:hint="default" w:ascii="Times New Roman" w:hAnsi="Times New Roman" w:eastAsia="宋体" w:cs="Times New Roman"/>
          <w:color w:val="auto"/>
          <w:sz w:val="26"/>
          <w:szCs w:val="26"/>
        </w:rPr>
      </w:pPr>
    </w:p>
    <w:p w14:paraId="74EF95F0">
      <w:pPr>
        <w:pStyle w:val="2"/>
        <w:rPr>
          <w:rFonts w:hint="default" w:ascii="Times New Roman" w:hAnsi="Times New Roman" w:eastAsia="宋体" w:cs="Times New Roman"/>
          <w:color w:val="auto"/>
          <w:sz w:val="26"/>
          <w:szCs w:val="26"/>
        </w:rPr>
      </w:pPr>
    </w:p>
    <w:p w14:paraId="427F93D6">
      <w:pPr>
        <w:pStyle w:val="2"/>
        <w:rPr>
          <w:rFonts w:hint="default" w:ascii="Times New Roman" w:hAnsi="Times New Roman" w:eastAsia="宋体" w:cs="Times New Roman"/>
          <w:color w:val="auto"/>
          <w:sz w:val="26"/>
          <w:szCs w:val="26"/>
        </w:rPr>
      </w:pPr>
    </w:p>
    <w:p w14:paraId="2976D3CE">
      <w:pPr>
        <w:pStyle w:val="2"/>
        <w:rPr>
          <w:rFonts w:hint="default" w:ascii="Times New Roman" w:hAnsi="Times New Roman" w:eastAsia="宋体" w:cs="Times New Roman"/>
          <w:color w:val="auto"/>
          <w:sz w:val="26"/>
          <w:szCs w:val="26"/>
        </w:rPr>
      </w:pPr>
    </w:p>
    <w:p w14:paraId="72C1E654">
      <w:pPr>
        <w:pStyle w:val="2"/>
        <w:rPr>
          <w:rFonts w:hint="default" w:ascii="Times New Roman" w:hAnsi="Times New Roman" w:eastAsia="宋体" w:cs="Times New Roman"/>
          <w:color w:val="auto"/>
          <w:sz w:val="26"/>
          <w:szCs w:val="26"/>
        </w:rPr>
      </w:pPr>
    </w:p>
    <w:p w14:paraId="024F8CF1">
      <w:pPr>
        <w:pStyle w:val="2"/>
        <w:rPr>
          <w:rFonts w:hint="default" w:ascii="Times New Roman" w:hAnsi="Times New Roman" w:eastAsia="宋体" w:cs="Times New Roman"/>
          <w:color w:val="auto"/>
          <w:sz w:val="26"/>
          <w:szCs w:val="26"/>
        </w:rPr>
      </w:pPr>
    </w:p>
    <w:p w14:paraId="7E9F818F">
      <w:pPr>
        <w:pStyle w:val="2"/>
        <w:rPr>
          <w:rFonts w:hint="default" w:ascii="Times New Roman" w:hAnsi="Times New Roman" w:eastAsia="宋体" w:cs="Times New Roman"/>
          <w:color w:val="auto"/>
          <w:sz w:val="26"/>
          <w:szCs w:val="26"/>
        </w:rPr>
      </w:pPr>
    </w:p>
    <w:p w14:paraId="0E0D549E">
      <w:pPr>
        <w:pStyle w:val="2"/>
        <w:rPr>
          <w:rFonts w:hint="default" w:ascii="Times New Roman" w:hAnsi="Times New Roman" w:eastAsia="宋体" w:cs="Times New Roman"/>
          <w:color w:val="auto"/>
          <w:sz w:val="26"/>
          <w:szCs w:val="26"/>
        </w:rPr>
      </w:pPr>
    </w:p>
    <w:p w14:paraId="330588CF">
      <w:pPr>
        <w:pStyle w:val="2"/>
        <w:rPr>
          <w:rFonts w:hint="default" w:ascii="Times New Roman" w:hAnsi="Times New Roman" w:eastAsia="宋体" w:cs="Times New Roman"/>
          <w:color w:val="auto"/>
          <w:sz w:val="26"/>
          <w:szCs w:val="26"/>
        </w:rPr>
      </w:pPr>
    </w:p>
    <w:p w14:paraId="5F5B1BC9">
      <w:pPr>
        <w:pStyle w:val="2"/>
        <w:rPr>
          <w:rFonts w:hint="default" w:ascii="Times New Roman" w:hAnsi="Times New Roman" w:eastAsia="宋体" w:cs="Times New Roman"/>
          <w:color w:val="auto"/>
          <w:sz w:val="26"/>
          <w:szCs w:val="26"/>
        </w:rPr>
      </w:pPr>
    </w:p>
    <w:p w14:paraId="7A5C39A1">
      <w:pPr>
        <w:pStyle w:val="2"/>
        <w:rPr>
          <w:rFonts w:hint="default" w:ascii="Times New Roman" w:hAnsi="Times New Roman" w:eastAsia="宋体" w:cs="Times New Roman"/>
          <w:color w:val="auto"/>
          <w:sz w:val="26"/>
          <w:szCs w:val="26"/>
        </w:rPr>
      </w:pPr>
    </w:p>
    <w:p w14:paraId="5CE398E8">
      <w:pPr>
        <w:pStyle w:val="2"/>
        <w:rPr>
          <w:rFonts w:hint="default" w:ascii="Times New Roman" w:hAnsi="Times New Roman" w:eastAsia="宋体" w:cs="Times New Roman"/>
          <w:color w:val="auto"/>
          <w:sz w:val="26"/>
          <w:szCs w:val="26"/>
        </w:rPr>
      </w:pPr>
    </w:p>
    <w:p w14:paraId="654510C2">
      <w:pPr>
        <w:pStyle w:val="2"/>
        <w:rPr>
          <w:rFonts w:hint="default" w:ascii="Times New Roman" w:hAnsi="Times New Roman" w:eastAsia="宋体" w:cs="Times New Roman"/>
          <w:color w:val="auto"/>
          <w:sz w:val="26"/>
          <w:szCs w:val="26"/>
        </w:rPr>
      </w:pPr>
    </w:p>
    <w:p w14:paraId="7737AE39">
      <w:pPr>
        <w:pStyle w:val="2"/>
        <w:rPr>
          <w:rFonts w:hint="default" w:ascii="Times New Roman" w:hAnsi="Times New Roman" w:eastAsia="宋体" w:cs="Times New Roman"/>
          <w:color w:val="auto"/>
          <w:sz w:val="26"/>
          <w:szCs w:val="26"/>
        </w:rPr>
      </w:pPr>
    </w:p>
    <w:p w14:paraId="0AFA47EF">
      <w:pPr>
        <w:pStyle w:val="2"/>
        <w:jc w:val="center"/>
        <w:rPr>
          <w:rFonts w:hint="default" w:ascii="Times New Roman" w:hAnsi="Times New Roman" w:eastAsia="宋体" w:cs="Times New Roman"/>
          <w:color w:val="auto"/>
          <w:sz w:val="44"/>
          <w:szCs w:val="44"/>
        </w:rPr>
      </w:pPr>
      <w:r>
        <w:rPr>
          <w:rFonts w:hint="default" w:ascii="Times New Roman" w:hAnsi="Times New Roman" w:eastAsia="宋体" w:cs="Times New Roman"/>
          <w:color w:val="auto"/>
          <w:sz w:val="44"/>
          <w:szCs w:val="44"/>
        </w:rPr>
        <w:t>权利要求书</w:t>
      </w:r>
    </w:p>
    <w:p w14:paraId="0DD1198E">
      <w:pPr>
        <w:pStyle w:val="2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1．一种基于多源风险自适应与混合智能重分配的无人船任务分配方法，其特征在于，包括以下步骤：</w:t>
      </w:r>
    </w:p>
    <w:p w14:paraId="25D4CDF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S1、数据初始化与预处理：获取异构无人船集群中每艘无人船的状态数据和任务环境数据；</w:t>
      </w:r>
    </w:p>
    <w:p w14:paraId="0C546F21">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S2、多源风险评估与态势特征构建：基于预处理后数据，计算包含漂移风险、海况风险、能力匹配风险和能量风险的多源风险评估值，构建风险态势特征向量；</w:t>
      </w:r>
    </w:p>
    <w:p w14:paraId="0682DC0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S3、基于风险态势分类器的自适应策略选择：将所述风险态势特征向量输入预训练的风险态势分类器，输出风险态势类别，自适应选择对应的分配策略参数；</w:t>
      </w:r>
    </w:p>
    <w:p w14:paraId="706A801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4、风险自适应分布式任务分配：各无人船基于所述分配策略参数构建综合效用函数，通过分布式通信与协商机制，迭代执行捆绑构建与冲突共识消解过程；所述捆绑构建过程中按照任务风险等级进行分层排序，高风险任务优先加入任务包；所述冲突共识消解过程中，若多个无人船竞标同一任务且出价差值小于共识容忍阈值，则触发非对称共识机制，根据能力冗余度进行决胜；</w:t>
      </w:r>
    </w:p>
    <w:p w14:paraId="4840741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S5、硬时间窗约束检查与动态剪枝：对分配方案执行硬时间窗可行性校验，将违反截止时间约束的任务从任务包中移除；</w:t>
      </w:r>
    </w:p>
    <w:p w14:paraId="0298654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S6、混合智能动态重分配：在执行过程中持续监测风险态势变化，通过快速初筛、经验迁移评估、保守门控检测三层递进判断后，对判定为需要重分配的事件执行局部影响域内的增量修复，形成重分配方案；</w:t>
      </w:r>
    </w:p>
    <w:p w14:paraId="55A3061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S7、基于安全滚验的重分配方案复核：对所述重分配方案进行局部模拟验证，仅当实际风险指标更低、完成率不降低且满足时间窗约束时接受，否则保留当前方案；</w:t>
      </w:r>
    </w:p>
    <w:p w14:paraId="19AFB5B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S8、输出最优分配方案：输出每艘无人船的最终任务序列、执行时刻表和综合评价指标。</w:t>
      </w:r>
    </w:p>
    <w:p w14:paraId="5E8A2633">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2．根据权利要求1所述的方法，其特征在于，所述无人船状态数据包括：当前位置坐标、航行速度、最大航程、最大执行时间、能力类型和能量状态。</w:t>
      </w:r>
    </w:p>
    <w:p w14:paraId="6157F0B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3．根据权利要求1所述的方法，其特征在于，所述任务环境数据包括：地理位置坐标、时间窗起止时间、执行时长、任务类型、优先级和遇险人数。</w:t>
      </w:r>
    </w:p>
    <w:p w14:paraId="4AE6BF2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4．根据权利要求1所述的方法，其特征在于，所述多源风险评估具体包括：</w:t>
      </w:r>
    </w:p>
    <w:p w14:paraId="624029A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S21、漂移风险评估：基于流场和风场数据，采用Leeway漂移公式计算遇险目标在任务窗口内的漂移轨迹偏移量；</w:t>
      </w:r>
    </w:p>
    <w:p w14:paraId="7A19B931">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S22、海况风险评估：基于海况等级和能见度数据计算海况风险系数；</w:t>
      </w:r>
    </w:p>
    <w:p w14:paraId="3D76E63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S23、能力匹配风险评估：基于无人船能力类型与任务需求类型的匹配关系计算匹配风险系数；</w:t>
      </w:r>
    </w:p>
    <w:p w14:paraId="1F8BAA3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S24、能量风险评估：基于无人船当前能量状态、任务执行能耗和航行能耗计算能量风险系数；</w:t>
      </w:r>
    </w:p>
    <w:p w14:paraId="22ACE9F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S25、风险态势特征构建：将上述风险评估值归一化，结合任务紧迫度、任务密度和无人船冗余度，构建11维风险态势特征向量。</w:t>
      </w:r>
    </w:p>
    <w:p w14:paraId="58FA950F">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5．根据权利要求1所述的方法，其特征在于，所述风险态势分类器采用XGBoost模型，输出包括激进模式、均衡模式、保守模式和超保守模式四种风险态势类别，不同类别对应不同的分配策略参数，所述分配策略参数包括完成任务权重α、规避风险权重β和共识容忍阈值τ，其中α+β=1。</w:t>
      </w:r>
    </w:p>
    <w:p w14:paraId="19C835C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6．根据权利要求1所述的方法，其特征在于，所述风险自适应分布式任务分配中，捆绑构建过程的综合效用函数为：</w:t>
      </w:r>
    </w:p>
    <w:p w14:paraId="26472063">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bid</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α·V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β·cost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bonus</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up>
            <m:r>
              <m:rPr>
                <m:nor/>
              </m:rPr>
              <w:rPr>
                <w:rFonts w:hint="default" w:ascii="Times New Roman" w:hAnsi="Times New Roman" w:eastAsia="宋体" w:cs="Times New Roman"/>
                <w:i/>
                <w:color w:val="auto"/>
                <w:sz w:val="26"/>
                <w:szCs w:val="26"/>
              </w:rPr>
              <m:t>urgency</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p>
    <w:p w14:paraId="4D941AA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其中，bid</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为无人船</w:t>
      </w:r>
      <m:oMath>
        <m:r>
          <m:rPr>
            <m:nor/>
          </m:rPr>
          <w:rPr>
            <w:rFonts w:hint="default" w:ascii="Times New Roman" w:hAnsi="Times New Roman" w:eastAsia="宋体" w:cs="Times New Roman"/>
            <w:i/>
            <w:color w:val="auto"/>
            <w:sz w:val="26"/>
            <w:szCs w:val="26"/>
          </w:rPr>
          <m:t>i</m:t>
        </m:r>
      </m:oMath>
      <w:r>
        <w:rPr>
          <w:rFonts w:hint="default" w:ascii="Times New Roman" w:hAnsi="Times New Roman" w:eastAsia="宋体" w:cs="Times New Roman"/>
          <w:color w:val="auto"/>
          <w:sz w:val="26"/>
          <w:szCs w:val="26"/>
        </w:rPr>
        <w:t>对任务</w:t>
      </w:r>
      <m:oMath>
        <m:r>
          <m:rPr>
            <m:nor/>
          </m:rPr>
          <w:rPr>
            <w:rFonts w:hint="default" w:ascii="Times New Roman" w:hAnsi="Times New Roman" w:eastAsia="宋体" w:cs="Times New Roman"/>
            <w:i/>
            <w:color w:val="auto"/>
            <w:sz w:val="26"/>
            <w:szCs w:val="26"/>
          </w:rPr>
          <m:t>j</m:t>
        </m:r>
      </m:oMath>
      <w:r>
        <w:rPr>
          <w:rFonts w:hint="default" w:ascii="Times New Roman" w:hAnsi="Times New Roman" w:eastAsia="宋体" w:cs="Times New Roman"/>
          <w:color w:val="auto"/>
          <w:sz w:val="26"/>
          <w:szCs w:val="26"/>
        </w:rPr>
        <w:t>的竞标值，V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为任务</w:t>
      </w:r>
      <m:oMath>
        <m:r>
          <m:rPr>
            <m:nor/>
          </m:rPr>
          <w:rPr>
            <w:rFonts w:hint="default" w:ascii="Times New Roman" w:hAnsi="Times New Roman" w:eastAsia="宋体" w:cs="Times New Roman"/>
            <w:i/>
            <w:color w:val="auto"/>
            <w:sz w:val="26"/>
            <w:szCs w:val="26"/>
          </w:rPr>
          <m:t>j</m:t>
        </m:r>
      </m:oMath>
      <w:r>
        <w:rPr>
          <w:rFonts w:hint="default" w:ascii="Times New Roman" w:hAnsi="Times New Roman" w:eastAsia="宋体" w:cs="Times New Roman"/>
          <w:color w:val="auto"/>
          <w:sz w:val="26"/>
          <w:szCs w:val="26"/>
        </w:rPr>
        <w:t>的收益值，cost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为航行代价，bonus</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up>
            <m:r>
              <m:rPr>
                <m:nor/>
              </m:rPr>
              <w:rPr>
                <w:rFonts w:hint="default" w:ascii="Times New Roman" w:hAnsi="Times New Roman" w:eastAsia="宋体" w:cs="Times New Roman"/>
                <w:i/>
                <w:color w:val="auto"/>
                <w:sz w:val="26"/>
                <w:szCs w:val="26"/>
              </w:rPr>
              <m:t>urgency</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为时间窗紧迫度奖励，R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为多源风险评估值；α、β为由所述风险态势类别对应的分配策略参数。</w:t>
      </w:r>
    </w:p>
    <w:p w14:paraId="26D7CF2D">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7．根据权利要求6所述的方法，其特征在于，所述捆绑构建过程中，按照任务风险等级进行分层排序，高风险任务优先加入任务包；任务风险等级由R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的阈值判定：R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&gt;0.7为高风险，0.4&lt;R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≤0.7为中风险，R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≤0.4为低风险。</w:t>
      </w:r>
    </w:p>
    <w:p w14:paraId="35075731">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8．根据权利要求1所述的方法，其特征在于，所述非对称共识机制具体为：各无人船通过通信共享出价向量和任务获胜者向量；若多个无人船竞标同一任务，将该任务分配给出价最高者；若出价差值小于共识容忍阈值τ，则根据能力冗余度进行决胜，能力冗余度定义为船舶具备的额外能力类型数量，能力冗余度更高的船舶获得该任务。</w:t>
      </w:r>
    </w:p>
    <w:p w14:paraId="1962F72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9．根据权利要求1所述的方法，其特征在于，所述混合智能动态重分配具体包括：</w:t>
      </w:r>
    </w:p>
    <w:p w14:paraId="1ECEFB6C">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S91、风险事件监测：持续监测风险态势特征向量的变化量，若变化量超过预设触发阈值θ</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trigger</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则判定为风险事件；</w:t>
      </w:r>
    </w:p>
    <w:p w14:paraId="4A5D1F11">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S92、快速初筛：将当前风险态势特征向量输入预训练的XGBoost重分配初筛模型，输出初筛判断及置信度c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xgb</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61D5979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S93、经验迁移评估：对于置信度c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xgb</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低于预设阈值θ</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conf</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的样本，调用预训练的经验迁移评估器进行辅助判断；</w:t>
      </w:r>
    </w:p>
    <w:p w14:paraId="051E4349">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S94、保守门控检测：通过保守门控机制检测预测不确定性，若不确定性u超过预设门限θ</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gate</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，则判定为需要执行安全滚验；</w:t>
      </w:r>
    </w:p>
    <w:p w14:paraId="0F6A62E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S95、局部影响域重分配：识别受风险事件影响的无人船集合和任务集合，在h跳影响域内执行增量式重分配。</w:t>
      </w:r>
    </w:p>
    <w:p w14:paraId="1482357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10．根据权利要求9所述的方法，其特征在于，所述经验迁移评估器采用基于实例的迁移学习方法，通过计算目标样本与源域样本之间的欧氏距离确定相似度，选择相似度最高的k个源域样本进行加权投票，权重视为相似度的归一化值。</w:t>
      </w:r>
    </w:p>
    <w:p w14:paraId="51674459">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11．根据权利要求9所述的方法，其特征在于，所述保守门控机制基于Conformal Prediction理论，通过在校准集上计算非一致性得分分布，对预测集合大小进行校准；预测不确定性u定义为预测集合大小的归一化值。</w:t>
      </w:r>
    </w:p>
    <w:p w14:paraId="64A5A4FC">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12．根据权利要求1所述的方法，其特征在于，所述硬时间窗约束为：对于任务序列中的每个任务，到达时间T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arrival</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必须满足T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arrival</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end</m:t>
            </m:r>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；若T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arrival</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&lt;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start</m:t>
            </m:r>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，则等待至最早开始时间再执行；若违反截止时间约束，将该任务从任务序列中移除并重置竞标值为负无穷大。</w:t>
      </w:r>
    </w:p>
    <w:p w14:paraId="08BB89F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13．根据权利要求1所述的方法，其特征在于，所述综合评价指标包括：加权成功率、绝对完成率、平均风险、高风险失败率和多目标综合得分。</w:t>
      </w:r>
    </w:p>
    <w:p w14:paraId="16032CD3">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14．根据权利要求1所述的方法，其特征在于，还包括以下优化步骤中的至少一项：</w:t>
      </w:r>
    </w:p>
    <w:p w14:paraId="52863E2D">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S61、双层路径优化：采用贪心构造与局部搜索结合的双层策略对任务执行序列进行优化，生成满足时间窗约束的可行路径；</w:t>
      </w:r>
    </w:p>
    <w:p w14:paraId="3152823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S62、基于紧迫度的未分配任务插入：识别未被分配的任务，按时间窗紧迫度降序排列，在满足硬时间窗约束的条件下选择边际成本增量最小的位置插入；</w:t>
      </w:r>
    </w:p>
    <w:p w14:paraId="57191B2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S63、多船负载均衡调整：识别高负载与低负载船舶，在满足能力匹配与时间窗约束的前提下执行任务转移。</w:t>
      </w:r>
    </w:p>
    <w:p w14:paraId="32C2EB26">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15．根据权利要求14所述的方法，其特征在于，所述时间窗紧迫度指标定义为：</w:t>
      </w:r>
    </w:p>
    <w:p w14:paraId="3D8FFFA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urgency</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1 /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end</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start</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+ 1)</w:t>
      </w:r>
    </w:p>
    <w:p w14:paraId="14FF612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时间窗越窄的任务紧迫性越高。</w:t>
      </w:r>
    </w:p>
    <w:p w14:paraId="236F2BE1">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16．根据权利要求14所述的方法，其特征在于，所述利用贪心最近邻算法生成满足时间窗的初始可行路径具体包括：初始化已访问任务集合为空，当前位置为无人船起始位置；在未访问任务中，计算每个任务的预计到达时间，判断是否满足硬时间窗约束，选择满足约束且距离当前位置最近的任务加入路径；更新当前位置和当前时间；重复直至无法添加新任务。</w:t>
      </w:r>
    </w:p>
    <w:p w14:paraId="66C2A7D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17．根据权利要求14所述的方法，其特征在于，所述局部搜索机制通过2-opt反转操作实现路径优化：对于长度n的路径，遍历所有边对(i,j)，其中i&lt;j，删除边(i,i+1)和(j,j+1)，反转子路径i+1至j，若新路径总距离减小且满足所有时间窗约束则接受该操作。</w:t>
      </w:r>
    </w:p>
    <w:p w14:paraId="4C580AC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18．根据权利要求14所述的方法，其特征在于，所述边际成本增量Δcost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的计算具体为：对于将任务j插入到船舶i的路径位置k，若k=0（插入到开头），则Δcost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r>
              <m:rPr>
                <m:nor/>
                <m:sty m:val="p"/>
              </m:rPr>
              <w:rPr>
                <w:rFonts w:hint="default" w:ascii="Times New Roman" w:hAnsi="Times New Roman" w:eastAsia="宋体" w:cs="Times New Roman"/>
                <w:i w:val="0"/>
                <w:color w:val="auto"/>
                <w:sz w:val="26"/>
                <w:szCs w:val="26"/>
              </w:rPr>
              <m:t>0</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dist(s</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 dist(t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[1]) − dist(s</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[1])；若0&lt;k&lt;|path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|（插入到中间），则Δcost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dist(path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[k], 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 dist(t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[k+1]) − dist(path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[k], 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[k+1])；若k=|path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|（插入到末尾），则Δcost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pat</m:t>
            </m:r>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h</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dist(path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bookmarkEnd w:id="1"/>
    <w:p w14:paraId="3B70F972">
      <w:pPr>
        <w:pStyle w:val="2"/>
        <w:jc w:val="center"/>
        <w:rPr>
          <w:rFonts w:hint="default" w:ascii="Times New Roman" w:hAnsi="Times New Roman" w:eastAsia="宋体" w:cs="Times New Roman"/>
          <w:color w:val="auto"/>
          <w:sz w:val="44"/>
          <w:szCs w:val="44"/>
        </w:rPr>
      </w:pPr>
      <w:bookmarkStart w:id="2" w:name="说明书"/>
      <w:r>
        <w:rPr>
          <w:rFonts w:hint="default" w:ascii="Times New Roman" w:hAnsi="Times New Roman" w:eastAsia="宋体" w:cs="Times New Roman"/>
          <w:color w:val="auto"/>
          <w:sz w:val="44"/>
          <w:szCs w:val="44"/>
        </w:rPr>
        <w:t>说明书</w:t>
      </w:r>
    </w:p>
    <w:p w14:paraId="09849FC0">
      <w:pPr>
        <w:pStyle w:val="4"/>
        <w:rPr>
          <w:rFonts w:hint="default" w:ascii="Times New Roman" w:hAnsi="Times New Roman" w:eastAsia="宋体" w:cs="Times New Roman"/>
          <w:color w:val="auto"/>
          <w:sz w:val="26"/>
          <w:szCs w:val="26"/>
        </w:rPr>
      </w:pPr>
      <w:bookmarkStart w:id="3" w:name="技术领域"/>
      <w:r>
        <w:rPr>
          <w:rFonts w:hint="default" w:ascii="Times New Roman" w:hAnsi="Times New Roman" w:eastAsia="宋体" w:cs="Times New Roman"/>
          <w:color w:val="auto"/>
          <w:sz w:val="26"/>
          <w:szCs w:val="26"/>
        </w:rPr>
        <w:t>技术领域</w:t>
      </w:r>
    </w:p>
    <w:p w14:paraId="015809FE">
      <w:pPr>
        <w:pStyle w:val="23"/>
        <w:ind w:firstLine="720" w:firstLineChars="0"/>
        <w:rPr>
          <w:rFonts w:hint="default" w:ascii="Times New Roman" w:hAnsi="Times New Roman" w:eastAsia="宋体" w:cs="Times New Roman"/>
          <w:color w:val="auto"/>
          <w:sz w:val="26"/>
          <w:szCs w:val="26"/>
        </w:rPr>
      </w:pPr>
      <w:bookmarkStart w:id="22" w:name="_GoBack"/>
      <w:bookmarkEnd w:id="22"/>
      <w:r>
        <w:rPr>
          <w:rFonts w:hint="default" w:ascii="Times New Roman" w:hAnsi="Times New Roman" w:eastAsia="宋体" w:cs="Times New Roman"/>
          <w:color w:val="auto"/>
          <w:sz w:val="26"/>
          <w:szCs w:val="26"/>
        </w:rPr>
        <w:t>本发明涉及无人自主协同控制技术领域，尤其是涉及一种基于多源风险自适应与混合智能重分配的无人船任务分配方法，适用于海上搜救、巡逻监测、物资运输等复杂海洋环境下的异构无人船集群任务调度。</w:t>
      </w:r>
    </w:p>
    <w:bookmarkEnd w:id="3"/>
    <w:p w14:paraId="44FAE158">
      <w:pPr>
        <w:pStyle w:val="4"/>
        <w:rPr>
          <w:rFonts w:hint="default" w:ascii="Times New Roman" w:hAnsi="Times New Roman" w:eastAsia="宋体" w:cs="Times New Roman"/>
          <w:color w:val="auto"/>
          <w:sz w:val="26"/>
          <w:szCs w:val="26"/>
        </w:rPr>
      </w:pPr>
      <w:bookmarkStart w:id="4" w:name="背景技术"/>
      <w:r>
        <w:rPr>
          <w:rFonts w:hint="default" w:ascii="Times New Roman" w:hAnsi="Times New Roman" w:eastAsia="宋体" w:cs="Times New Roman"/>
          <w:color w:val="auto"/>
          <w:sz w:val="26"/>
          <w:szCs w:val="26"/>
        </w:rPr>
        <w:t>背景技术</w:t>
      </w:r>
    </w:p>
    <w:p w14:paraId="6F3D928E">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随着无人船技术的快速发展，异构无人船集群在海上搜救、巡逻监测、物资运输等领域得到广泛应用。如何高效、合理地将大量任务分配给不同能力的无人船，在满足时间窗约束的前提下最大化任务完成率并有效控制海洋环境带来的多源风险，是一个极具挑战性的NP-hard组合优化问题。</w:t>
      </w:r>
    </w:p>
    <w:p w14:paraId="5FB0928B">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传统任务分配方法主要包括集中式方法和分布式方法。集中式方法如遗传算法、粒子群优化等，需要中央控制器收集全局信息，存在通信负担重、实时性差、单点故障风险高等问题。分布式方法如共识捆绑拍卖算法（Consensus-Based Bundle Algorithm, CBBA）通过各智能体自主决策和通信协商达成一致，具有可扩展性强、鲁棒性好的优势。</w:t>
      </w:r>
    </w:p>
    <w:p w14:paraId="753D2186">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然而，现有技术仍存在以下不足：</w:t>
      </w:r>
    </w:p>
    <w:p w14:paraId="6204C9C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风险感知与自适应能力不足。现有CBBA算法多以距离或任务收益作为竞标依据，未充分考虑漂移、海况突变、能力失配、能源紧张等海洋环境风险因素。部分方法虽引入惩罚项处理风险，但采用固定权重，无法根据实时风险态势动态调整策略。</w:t>
      </w:r>
    </w:p>
    <w:p w14:paraId="47BBAD6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（2）动态重分配机制缺失。执行过程中出现突发风险事件或新增任务时，现有方法缺乏高效、安全的动态重分配机制。部分方法采用全局重算，计算开销大；部分方法引入重规划但缺乏风险判断和安全性复核。</w:t>
      </w:r>
    </w:p>
    <w:p w14:paraId="7A465C9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（3）分类器外推可靠性不足。引入机器学习分类器辅助决策的方法，在跨场景外推时可靠性不足，缺乏不确定性量化和安全兜底机制。</w:t>
      </w:r>
    </w:p>
    <w:p w14:paraId="4F7AF44C">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（4）硬时间窗约束处理不当。现有方法多采用软约束方式，通过惩罚函数降低违反时间窗任务的优先级，生成的方案可能在物理上不可执行。</w:t>
      </w:r>
    </w:p>
    <w:p w14:paraId="78612B27">
      <w:pPr>
        <w:pStyle w:val="3"/>
        <w:rPr>
          <w:rFonts w:hint="default" w:ascii="Times New Roman" w:hAnsi="Times New Roman" w:eastAsia="宋体" w:cs="Times New Roman"/>
          <w:color w:val="auto"/>
          <w:sz w:val="26"/>
          <w:szCs w:val="26"/>
        </w:rPr>
      </w:pPr>
    </w:p>
    <w:p w14:paraId="123BC860">
      <w:pPr>
        <w:pStyle w:val="3"/>
        <w:rPr>
          <w:rFonts w:hint="eastAsia" w:ascii="Times New Roman" w:hAnsi="Times New Roman" w:eastAsia="宋体" w:cs="Times New Roman"/>
          <w:color w:val="auto"/>
          <w:sz w:val="26"/>
          <w:szCs w:val="26"/>
          <w:highlight w:val="yellow"/>
          <w:lang w:val="en-US" w:eastAsia="zh-CN"/>
        </w:rPr>
      </w:pPr>
      <w:r>
        <w:rPr>
          <w:rFonts w:hint="eastAsia" w:ascii="Times New Roman" w:hAnsi="Times New Roman" w:eastAsia="宋体" w:cs="Times New Roman"/>
          <w:color w:val="auto"/>
          <w:sz w:val="26"/>
          <w:szCs w:val="26"/>
          <w:highlight w:val="yellow"/>
          <w:lang w:val="en-US" w:eastAsia="zh-CN"/>
        </w:rPr>
        <w:t>下面一段是否属于有争议内容？</w:t>
      </w:r>
    </w:p>
    <w:p w14:paraId="0131BDAC">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针对上述问题，已有相关研究成果。中国专利CN116149370A通过聚类改进CBBA，但聚类策略主要基于空间距离，未综合考虑任务优先级和时间约束。中国专利CN116993073A引入时间窗约束，但采用单一优化目标且未建立重分配机制。中国专利CN121189684A采用HDBSCAN聚类和遗传算法包裹CBBA，但计算开销大且采用软约束逻辑。中国专利CN114610058B引入任务时序分层，但以最小化平均执行时间为单一目标，缺乏实时重分配。中国专利CN118171579A提出多目标优化，但主要针对静态仓储场景。</w:t>
      </w:r>
    </w:p>
    <w:p w14:paraId="2EBD519D">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综上所述，亟需一种融合多源风险感知、自适应策略切换、硬时间窗约束与混合智能重分配的分布式任务分配方法。</w:t>
      </w:r>
    </w:p>
    <w:bookmarkEnd w:id="4"/>
    <w:p w14:paraId="01D2384E">
      <w:pPr>
        <w:pStyle w:val="4"/>
        <w:rPr>
          <w:rFonts w:hint="default" w:ascii="Times New Roman" w:hAnsi="Times New Roman" w:eastAsia="宋体" w:cs="Times New Roman"/>
          <w:color w:val="auto"/>
          <w:sz w:val="26"/>
          <w:szCs w:val="26"/>
        </w:rPr>
      </w:pPr>
      <w:bookmarkStart w:id="5" w:name="发明内容"/>
      <w:r>
        <w:rPr>
          <w:rFonts w:hint="default" w:ascii="Times New Roman" w:hAnsi="Times New Roman" w:eastAsia="宋体" w:cs="Times New Roman"/>
          <w:color w:val="auto"/>
          <w:sz w:val="26"/>
          <w:szCs w:val="26"/>
        </w:rPr>
        <w:t>发明内容</w:t>
      </w:r>
    </w:p>
    <w:p w14:paraId="16A8943C">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本发明的目的是提供一种基于多源风险自适应与混合智能重分配的无人船任务分配方法，解决现有技术中风险感知不足、动态重分配缺失、分类器外推可靠性不足、时间窗约束处理不当等问题。</w:t>
      </w:r>
    </w:p>
    <w:p w14:paraId="2BDB70DE">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本发明的目的通过以下技术方案实现：</w:t>
      </w:r>
    </w:p>
    <w:p w14:paraId="14FB876A">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一种基于多源风险自适应与混合智能重分配的无人船任务分配方法，包括以下步骤：</w:t>
      </w:r>
    </w:p>
    <w:p w14:paraId="543498C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S1、数据初始化与预处理：</w:t>
      </w:r>
      <w:r>
        <w:rPr>
          <w:rFonts w:hint="default" w:ascii="Times New Roman" w:hAnsi="Times New Roman" w:eastAsia="宋体" w:cs="Times New Roman"/>
          <w:color w:val="auto"/>
          <w:sz w:val="26"/>
          <w:szCs w:val="26"/>
        </w:rPr>
        <w:t xml:space="preserve"> 获取异构无人船集群中每艘无人船的状态数据和任务环境数据。</w:t>
      </w:r>
    </w:p>
    <w:p w14:paraId="7ED90F3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S2、多源风险评估与态势特征构建：</w:t>
      </w:r>
      <w:r>
        <w:rPr>
          <w:rFonts w:hint="default" w:ascii="Times New Roman" w:hAnsi="Times New Roman" w:eastAsia="宋体" w:cs="Times New Roman"/>
          <w:color w:val="auto"/>
          <w:sz w:val="26"/>
          <w:szCs w:val="26"/>
        </w:rPr>
        <w:t xml:space="preserve"> 基于预处理数据，计算包含漂移风险、海况风险、能力匹配风险和能量风险的多源风险评估值，构建11维风险态势特征向量。</w:t>
      </w:r>
    </w:p>
    <w:p w14:paraId="6852799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S3、基于风险态势分类器的自适应策略选择：</w:t>
      </w:r>
      <w:r>
        <w:rPr>
          <w:rFonts w:hint="default" w:ascii="Times New Roman" w:hAnsi="Times New Roman" w:eastAsia="宋体" w:cs="Times New Roman"/>
          <w:color w:val="auto"/>
          <w:sz w:val="26"/>
          <w:szCs w:val="26"/>
        </w:rPr>
        <w:t xml:space="preserve"> 将风险态势特征向量输入预训练的XGBoost风险态势分类器，输出四种风险态势类别之一，自适应选择对应的分配策略参数。</w:t>
      </w:r>
    </w:p>
    <w:p w14:paraId="73F2BCC9">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S4、风险自适应分布式任务分配：</w:t>
      </w:r>
      <w:r>
        <w:rPr>
          <w:rFonts w:hint="default" w:ascii="Times New Roman" w:hAnsi="Times New Roman" w:eastAsia="宋体" w:cs="Times New Roman"/>
          <w:color w:val="auto"/>
          <w:sz w:val="26"/>
          <w:szCs w:val="26"/>
        </w:rPr>
        <w:t xml:space="preserve"> 各无人船基于分配策略参数构建综合效用函数，通过分布式通信与协商机制，迭代执行捆绑构建与冲突共识消解过程，生成满足时序与能力约束的初始分配方案。</w:t>
      </w:r>
    </w:p>
    <w:p w14:paraId="7046143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S5、硬时间窗约束检查与动态剪枝：</w:t>
      </w:r>
      <w:r>
        <w:rPr>
          <w:rFonts w:hint="default" w:ascii="Times New Roman" w:hAnsi="Times New Roman" w:eastAsia="宋体" w:cs="Times New Roman"/>
          <w:color w:val="auto"/>
          <w:sz w:val="26"/>
          <w:szCs w:val="26"/>
        </w:rPr>
        <w:t xml:space="preserve"> 对初始分配方案执行严格的硬时间窗可行性校验，将违反约束的任务从任务包中移除并重置竞标值。</w:t>
      </w:r>
    </w:p>
    <w:p w14:paraId="0D6B1B8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S6、混合智能动态重分配：</w:t>
      </w:r>
      <w:r>
        <w:rPr>
          <w:rFonts w:hint="default" w:ascii="Times New Roman" w:hAnsi="Times New Roman" w:eastAsia="宋体" w:cs="Times New Roman"/>
          <w:color w:val="auto"/>
          <w:sz w:val="26"/>
          <w:szCs w:val="26"/>
        </w:rPr>
        <w:t xml:space="preserve"> 在执行过程中持续监测风险态势变化，通过四层递进式架构实现动态重分配。</w:t>
      </w:r>
    </w:p>
    <w:p w14:paraId="386BDD5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S7、基于安全滚验的重分配方案复核：</w:t>
      </w:r>
      <w:r>
        <w:rPr>
          <w:rFonts w:hint="default" w:ascii="Times New Roman" w:hAnsi="Times New Roman" w:eastAsia="宋体" w:cs="Times New Roman"/>
          <w:color w:val="auto"/>
          <w:sz w:val="26"/>
          <w:szCs w:val="26"/>
        </w:rPr>
        <w:t xml:space="preserve"> 对重分配方案进行局部模拟验证，仅当实际风险更低、完成率不降且满足时间窗约束时接受。</w:t>
      </w:r>
    </w:p>
    <w:p w14:paraId="7B1DDDB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S8、输出最优分配方案：</w:t>
      </w:r>
      <w:r>
        <w:rPr>
          <w:rFonts w:hint="default" w:ascii="Times New Roman" w:hAnsi="Times New Roman" w:eastAsia="宋体" w:cs="Times New Roman"/>
          <w:color w:val="auto"/>
          <w:sz w:val="26"/>
          <w:szCs w:val="26"/>
        </w:rPr>
        <w:t xml:space="preserve"> 输出每艘无人船的最终任务序列、详细执行时刻表和综合评价指标。</w:t>
      </w:r>
    </w:p>
    <w:p w14:paraId="376E7A0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在优选实施方式中，本发明还包括以下优化步骤中的至少一项：</w:t>
      </w:r>
    </w:p>
    <w:p w14:paraId="38B9FE33">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（1）双层路径优化：采用贪心最近邻构造生成满足时间窗的初始可行路径，嵌入2-opt局部搜索机制进行迭代优化；</w:t>
      </w:r>
    </w:p>
    <w:p w14:paraId="7E743B7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（2）基于紧迫度的未分配任务插入：对未分配任务按时间窗紧迫度降序排列，选择边际成本增量最小的可行位置插入；</w:t>
      </w:r>
    </w:p>
    <w:p w14:paraId="0903345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（3）多船负载均衡调整：识别高负载与低负载船舶，在满足约束的前提下执行任务转移。</w:t>
      </w:r>
    </w:p>
    <w:bookmarkEnd w:id="5"/>
    <w:p w14:paraId="49B39006">
      <w:pPr>
        <w:pStyle w:val="4"/>
        <w:rPr>
          <w:rFonts w:hint="default" w:ascii="Times New Roman" w:hAnsi="Times New Roman" w:eastAsia="宋体" w:cs="Times New Roman"/>
          <w:color w:val="auto"/>
          <w:sz w:val="26"/>
          <w:szCs w:val="26"/>
        </w:rPr>
      </w:pPr>
      <w:bookmarkStart w:id="6" w:name="有益效果"/>
      <w:r>
        <w:rPr>
          <w:rFonts w:hint="default" w:ascii="Times New Roman" w:hAnsi="Times New Roman" w:eastAsia="宋体" w:cs="Times New Roman"/>
          <w:color w:val="auto"/>
          <w:sz w:val="26"/>
          <w:szCs w:val="26"/>
        </w:rPr>
        <w:t>有益效果</w:t>
      </w:r>
    </w:p>
    <w:p w14:paraId="1D37B456">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与现有技术相比，本发明具有以下有益效果：</w:t>
      </w:r>
    </w:p>
    <w:p w14:paraId="28A7DA9C">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多源风险全面感知与自适应决策。本发明综合考虑漂移、海况、能力匹配和能量四个风险维度，通过XGBoost分类器将风险态势分为四种模式并自适应调整策略，在低风险时追求高完成率，在高风险时优先保障安全性。</w:t>
      </w:r>
    </w:p>
    <w:p w14:paraId="32C0C92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2）四层混合智能重分配机制保障动态安全性。本发明提出快速初筛、经验迁移评估、保守门控检测和局部滚验安全复核四层递进式重分配机制，形成“快速初筛—迁移辅助—不确定性门控—安全兜底”的完整安全链路。</w:t>
      </w:r>
    </w:p>
    <w:p w14:paraId="63305D8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（3）硬时间窗约束确保任务时效性。本发明在任务分配和动态重分配各阶段均严格检查时间窗可行性，彻底杜绝时间窗违反现象。</w:t>
      </w:r>
    </w:p>
    <w:p w14:paraId="6FD3C041">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（4）分布式架构与局部重分配兼顾效率与鲁棒性。本发明采用改进CBBA算法的分布式架构，局部影响域增量修复相比全局重算大幅降低计算开销。</w:t>
      </w:r>
    </w:p>
    <w:p w14:paraId="48B60C6C">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（5）通信鲁棒性强。通过非对称共识机制中的出价差值容错仲裁和局部影响域内仅同步局部信息，有效降低了分布式协商过程中的通信交互量，在通信延迟、丢包等不利条件下保持稳定。</w:t>
      </w:r>
    </w:p>
    <w:p w14:paraId="1C8EEF4D">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（6）多层次路径优化与未分配任务处理提高综合效能。本发明通过贪心构造、局部搜索、路径重构和未分配任务贪心插入的多层次优化策略，有效提高任务完成率并缩短航行距离。</w:t>
      </w:r>
    </w:p>
    <w:p w14:paraId="34295E9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（7）半真实场景验证增强可信度。基于NOAA NDBC浮标数据和AIS船舶轨迹数据构建多个半真实验证场景，增强了方法在真实海域条件下的可信度。</w:t>
      </w:r>
    </w:p>
    <w:bookmarkEnd w:id="6"/>
    <w:p w14:paraId="4F2E42C2">
      <w:pPr>
        <w:pStyle w:val="4"/>
        <w:rPr>
          <w:rFonts w:hint="default" w:ascii="Times New Roman" w:hAnsi="Times New Roman" w:eastAsia="宋体" w:cs="Times New Roman"/>
          <w:color w:val="auto"/>
          <w:sz w:val="26"/>
          <w:szCs w:val="26"/>
        </w:rPr>
      </w:pPr>
      <w:bookmarkStart w:id="7" w:name="附图说明"/>
      <w:r>
        <w:rPr>
          <w:rFonts w:hint="default" w:ascii="Times New Roman" w:hAnsi="Times New Roman" w:eastAsia="宋体" w:cs="Times New Roman"/>
          <w:color w:val="auto"/>
          <w:sz w:val="26"/>
          <w:szCs w:val="26"/>
        </w:rPr>
        <w:t>附图说明</w:t>
      </w:r>
    </w:p>
    <w:p w14:paraId="394967F4">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图1为本发明的方法流程图，包含S1-S8核心步骤及优选优化步骤；</w:t>
      </w:r>
    </w:p>
    <w:p w14:paraId="6E694BE6">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图2为本发明中多源风险评估与风险态势特征构建示意图，展示漂移、海况、能力匹配、能量四类风险来源及11维特征向量的形成过程；</w:t>
      </w:r>
    </w:p>
    <w:p w14:paraId="7054EAB7">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图3为本发明中风险态势分类器自适应策略选择流程图，展示XGBoost模型输入11维特征、输出四类策略模式的完整流程；</w:t>
      </w:r>
    </w:p>
    <w:p w14:paraId="1BC38BEC">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图4为本发明中四层混合智能重分配机制流程图，展示快速初筛、经验迁移、保守门控、滚验复核的递进关系与判定逻辑；</w:t>
      </w:r>
    </w:p>
    <w:p w14:paraId="7B9F2378">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图5为本发明中风险自适应分布式任务分配流程图，展示捆绑构建、冲突共识消解、非对称共识触发的迭代过程；</w:t>
      </w:r>
    </w:p>
    <w:p w14:paraId="29D98A5A">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图6为本发明中硬时间窗约束检查与动态剪枝流程图，展示到达时间计算、时间窗校验、违反任务移除的完整逻辑。</w:t>
      </w:r>
    </w:p>
    <w:bookmarkEnd w:id="7"/>
    <w:p w14:paraId="50F2040F">
      <w:pPr>
        <w:pStyle w:val="4"/>
        <w:rPr>
          <w:rFonts w:hint="default" w:ascii="Times New Roman" w:hAnsi="Times New Roman" w:eastAsia="宋体" w:cs="Times New Roman"/>
          <w:color w:val="auto"/>
          <w:sz w:val="26"/>
          <w:szCs w:val="26"/>
        </w:rPr>
      </w:pPr>
      <w:bookmarkStart w:id="8" w:name="具体实施方式"/>
      <w:r>
        <w:rPr>
          <w:rFonts w:hint="default" w:ascii="Times New Roman" w:hAnsi="Times New Roman" w:eastAsia="宋体" w:cs="Times New Roman"/>
          <w:color w:val="auto"/>
          <w:sz w:val="26"/>
          <w:szCs w:val="26"/>
        </w:rPr>
        <w:t>具体实施方式</w:t>
      </w:r>
    </w:p>
    <w:p w14:paraId="61BD86B8">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下面结合附图和具体实施例对本发明进行详细说明。本实施例以本发明技术方案为前提进行实施，给出了详细的实施方式和具体的操作过程，但本发明的保护范围不限于下述的实施例。</w:t>
      </w:r>
    </w:p>
    <w:p w14:paraId="51A33A09">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本实施例提供一种基于多源风险自适应与混合智能重分配的无人船任务分配方法，包括以下步骤：</w:t>
      </w:r>
    </w:p>
    <w:p w14:paraId="4901E491">
      <w:pPr>
        <w:pStyle w:val="5"/>
        <w:rPr>
          <w:rFonts w:hint="default" w:ascii="Times New Roman" w:hAnsi="Times New Roman" w:eastAsia="宋体" w:cs="Times New Roman"/>
          <w:color w:val="auto"/>
          <w:sz w:val="26"/>
          <w:szCs w:val="26"/>
        </w:rPr>
      </w:pPr>
      <w:bookmarkStart w:id="9" w:name="s1数据初始化与预处理"/>
      <w:r>
        <w:rPr>
          <w:rFonts w:hint="default" w:ascii="Times New Roman" w:hAnsi="Times New Roman" w:eastAsia="宋体" w:cs="Times New Roman"/>
          <w:color w:val="auto"/>
          <w:sz w:val="26"/>
          <w:szCs w:val="26"/>
        </w:rPr>
        <w:t>S1、数据初始化与预处理</w:t>
      </w:r>
    </w:p>
    <w:p w14:paraId="267FF853">
      <w:pPr>
        <w:pStyle w:val="2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获取异构无人船集群中每艘无人船的状态数据和任务环境数据。</w:t>
      </w:r>
    </w:p>
    <w:p w14:paraId="03C2AD66">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本实施例中，无人船状态数据包括无人船i的当前位置坐标(x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s</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y</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s</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)、航行速度v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、最大航程R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、最大执行时间T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max</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、能力类型type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和能量状态E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[0,1]。能力类型分为四类：A类快速侦查型、B类均衡通用型、C类长航时型、D类综合救援型。</w:t>
      </w:r>
    </w:p>
    <w:p w14:paraId="58E5F4CF">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任务环境数据包括任务j的地理位置坐标(x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y</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)、时间窗起止时间(TW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start</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end</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)、执行时长d</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、任务类型type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1,2,3（搜索侦查、物资补给、伤员撤离）、优先级p</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和遇险人数n</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survivors</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13BA465B">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预处理包括：缺失数据的填补、异常数据的剔除以及重复数据的清理，并对数据进行标准化或归一化转换。</w:t>
      </w:r>
    </w:p>
    <w:p w14:paraId="5430E62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计算任务间距离矩阵D</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ℝ</w:t>
      </w:r>
      <m:oMath>
        <m:sSup>
          <m:sSupPr>
            <m:ctrlPr>
              <w:rPr>
                <w:rFonts w:hint="default" w:ascii="Cambria Math" w:hAnsi="Cambria Math" w:eastAsia="宋体" w:cs="Times New Roman"/>
                <w:color w:val="auto"/>
                <w:sz w:val="26"/>
                <w:szCs w:val="26"/>
              </w:rPr>
            </m:ctrlPr>
          </m:s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p>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n</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n</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p>
        </m:sSup>
      </m:oMath>
      <w:r>
        <w:rPr>
          <w:rFonts w:hint="default" w:ascii="Times New Roman" w:hAnsi="Times New Roman" w:eastAsia="宋体" w:cs="Times New Roman"/>
          <w:color w:val="auto"/>
          <w:sz w:val="26"/>
          <w:szCs w:val="26"/>
        </w:rPr>
        <w:t>：</w:t>
      </w:r>
    </w:p>
    <w:p w14:paraId="733269A1">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dist(i,j) = √((x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m:oMath>
        <m:sSup>
          <m:sSupPr>
            <m:ctrlPr>
              <w:rPr>
                <w:rFonts w:hint="default" w:ascii="Cambria Math" w:hAnsi="Cambria Math" w:eastAsia="宋体" w:cs="Times New Roman"/>
                <w:color w:val="auto"/>
                <w:sz w:val="26"/>
                <w:szCs w:val="26"/>
              </w:rPr>
            </m:ctrlPr>
          </m:s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p>
            <m:r>
              <m:rPr>
                <m:nor/>
                <m:sty m:val="p"/>
              </m:rPr>
              <w:rPr>
                <w:rFonts w:hint="default" w:ascii="Times New Roman" w:hAnsi="Times New Roman" w:eastAsia="宋体" w:cs="Times New Roman"/>
                <w:i w:val="0"/>
                <w:color w:val="auto"/>
                <w:sz w:val="26"/>
                <w:szCs w:val="26"/>
              </w:rPr>
              <m:t>2</m:t>
            </m:r>
            <m:ctrlPr>
              <w:rPr>
                <w:rFonts w:hint="default" w:ascii="Cambria Math" w:hAnsi="Cambria Math" w:eastAsia="宋体" w:cs="Times New Roman"/>
                <w:color w:val="auto"/>
                <w:sz w:val="26"/>
                <w:szCs w:val="26"/>
              </w:rPr>
            </m:ctrlPr>
          </m:sup>
        </m:sSup>
      </m:oMath>
      <w:r>
        <w:rPr>
          <w:rFonts w:hint="default" w:ascii="Times New Roman" w:hAnsi="Times New Roman" w:eastAsia="宋体" w:cs="Times New Roman"/>
          <w:color w:val="auto"/>
          <w:sz w:val="26"/>
          <w:szCs w:val="26"/>
        </w:rPr>
        <w:t xml:space="preserve"> + (y</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y</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m:oMath>
        <m:sSup>
          <m:sSupPr>
            <m:ctrlPr>
              <w:rPr>
                <w:rFonts w:hint="default" w:ascii="Cambria Math" w:hAnsi="Cambria Math" w:eastAsia="宋体" w:cs="Times New Roman"/>
                <w:color w:val="auto"/>
                <w:sz w:val="26"/>
                <w:szCs w:val="26"/>
              </w:rPr>
            </m:ctrlPr>
          </m:s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p>
            <m:r>
              <m:rPr>
                <m:nor/>
                <m:sty m:val="p"/>
              </m:rPr>
              <w:rPr>
                <w:rFonts w:hint="default" w:ascii="Times New Roman" w:hAnsi="Times New Roman" w:eastAsia="宋体" w:cs="Times New Roman"/>
                <w:i w:val="0"/>
                <w:color w:val="auto"/>
                <w:sz w:val="26"/>
                <w:szCs w:val="26"/>
              </w:rPr>
              <m:t>2</m:t>
            </m:r>
            <m:ctrlPr>
              <w:rPr>
                <w:rFonts w:hint="default" w:ascii="Cambria Math" w:hAnsi="Cambria Math" w:eastAsia="宋体" w:cs="Times New Roman"/>
                <w:color w:val="auto"/>
                <w:sz w:val="26"/>
                <w:szCs w:val="26"/>
              </w:rPr>
            </m:ctrlPr>
          </m:sup>
        </m:sSup>
      </m:oMath>
      <w:r>
        <w:rPr>
          <w:rFonts w:hint="default" w:ascii="Times New Roman" w:hAnsi="Times New Roman" w:eastAsia="宋体" w:cs="Times New Roman"/>
          <w:color w:val="auto"/>
          <w:sz w:val="26"/>
          <w:szCs w:val="26"/>
        </w:rPr>
        <w:t>)</w:t>
      </w:r>
    </w:p>
    <w:p w14:paraId="1A4F27F3">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计算船舶到任务距离矩阵D</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ℝ</w:t>
      </w:r>
      <m:oMath>
        <m:sSup>
          <m:sSupPr>
            <m:ctrlPr>
              <w:rPr>
                <w:rFonts w:hint="default" w:ascii="Cambria Math" w:hAnsi="Cambria Math" w:eastAsia="宋体" w:cs="Times New Roman"/>
                <w:color w:val="auto"/>
                <w:sz w:val="26"/>
                <w:szCs w:val="26"/>
              </w:rPr>
            </m:ctrlPr>
          </m:s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p>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n</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n</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p>
        </m:sSup>
      </m:oMath>
      <w:r>
        <w:rPr>
          <w:rFonts w:hint="default" w:ascii="Times New Roman" w:hAnsi="Times New Roman" w:eastAsia="宋体" w:cs="Times New Roman"/>
          <w:color w:val="auto"/>
          <w:sz w:val="26"/>
          <w:szCs w:val="26"/>
        </w:rPr>
        <w:t>：</w:t>
      </w:r>
    </w:p>
    <w:p w14:paraId="0F0B7F2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dist(s</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 √((x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s</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m:oMath>
        <m:sSup>
          <m:sSupPr>
            <m:ctrlPr>
              <w:rPr>
                <w:rFonts w:hint="default" w:ascii="Cambria Math" w:hAnsi="Cambria Math" w:eastAsia="宋体" w:cs="Times New Roman"/>
                <w:color w:val="auto"/>
                <w:sz w:val="26"/>
                <w:szCs w:val="26"/>
              </w:rPr>
            </m:ctrlPr>
          </m:s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p>
            <m:r>
              <m:rPr>
                <m:nor/>
                <m:sty m:val="p"/>
              </m:rPr>
              <w:rPr>
                <w:rFonts w:hint="default" w:ascii="Times New Roman" w:hAnsi="Times New Roman" w:eastAsia="宋体" w:cs="Times New Roman"/>
                <w:i w:val="0"/>
                <w:color w:val="auto"/>
                <w:sz w:val="26"/>
                <w:szCs w:val="26"/>
              </w:rPr>
              <m:t>2</m:t>
            </m:r>
            <m:ctrlPr>
              <w:rPr>
                <w:rFonts w:hint="default" w:ascii="Cambria Math" w:hAnsi="Cambria Math" w:eastAsia="宋体" w:cs="Times New Roman"/>
                <w:color w:val="auto"/>
                <w:sz w:val="26"/>
                <w:szCs w:val="26"/>
              </w:rPr>
            </m:ctrlPr>
          </m:sup>
        </m:sSup>
      </m:oMath>
      <w:r>
        <w:rPr>
          <w:rFonts w:hint="default" w:ascii="Times New Roman" w:hAnsi="Times New Roman" w:eastAsia="宋体" w:cs="Times New Roman"/>
          <w:color w:val="auto"/>
          <w:sz w:val="26"/>
          <w:szCs w:val="26"/>
        </w:rPr>
        <w:t xml:space="preserve"> + (y</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s</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y</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m:oMath>
        <m:sSup>
          <m:sSupPr>
            <m:ctrlPr>
              <w:rPr>
                <w:rFonts w:hint="default" w:ascii="Cambria Math" w:hAnsi="Cambria Math" w:eastAsia="宋体" w:cs="Times New Roman"/>
                <w:color w:val="auto"/>
                <w:sz w:val="26"/>
                <w:szCs w:val="26"/>
              </w:rPr>
            </m:ctrlPr>
          </m:s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p>
            <m:r>
              <m:rPr>
                <m:nor/>
                <m:sty m:val="p"/>
              </m:rPr>
              <w:rPr>
                <w:rFonts w:hint="default" w:ascii="Times New Roman" w:hAnsi="Times New Roman" w:eastAsia="宋体" w:cs="Times New Roman"/>
                <w:i w:val="0"/>
                <w:color w:val="auto"/>
                <w:sz w:val="26"/>
                <w:szCs w:val="26"/>
              </w:rPr>
              <m:t>2</m:t>
            </m:r>
            <m:ctrlPr>
              <w:rPr>
                <w:rFonts w:hint="default" w:ascii="Cambria Math" w:hAnsi="Cambria Math" w:eastAsia="宋体" w:cs="Times New Roman"/>
                <w:color w:val="auto"/>
                <w:sz w:val="26"/>
                <w:szCs w:val="26"/>
              </w:rPr>
            </m:ctrlPr>
          </m:sup>
        </m:sSup>
      </m:oMath>
      <w:r>
        <w:rPr>
          <w:rFonts w:hint="default" w:ascii="Times New Roman" w:hAnsi="Times New Roman" w:eastAsia="宋体" w:cs="Times New Roman"/>
          <w:color w:val="auto"/>
          <w:sz w:val="26"/>
          <w:szCs w:val="26"/>
        </w:rPr>
        <w:t>)</w:t>
      </w:r>
    </w:p>
    <w:p w14:paraId="3346C697">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能力匹配矩阵C ∈ 0,1</w:t>
      </w:r>
      <m:oMath>
        <m:sSup>
          <m:sSupPr>
            <m:ctrlPr>
              <w:rPr>
                <w:rFonts w:hint="default" w:ascii="Cambria Math" w:hAnsi="Cambria Math" w:eastAsia="宋体" w:cs="Times New Roman"/>
                <w:color w:val="auto"/>
                <w:sz w:val="26"/>
                <w:szCs w:val="26"/>
              </w:rPr>
            </m:ctrlPr>
          </m:s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p>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n</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n</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p>
        </m:sSup>
      </m:oMath>
      <w:r>
        <w:rPr>
          <w:rFonts w:hint="default" w:ascii="Times New Roman" w:hAnsi="Times New Roman" w:eastAsia="宋体" w:cs="Times New Roman"/>
          <w:color w:val="auto"/>
          <w:sz w:val="26"/>
          <w:szCs w:val="26"/>
        </w:rPr>
        <w:t>定义为：若无人船i具备执行任务j所需的能力类型，则C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=1，否则C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=0。能力匹配对应关系如表1所示：</w:t>
      </w:r>
    </w:p>
    <w:p w14:paraId="2CFCB9F0">
      <w:pPr>
        <w:pStyle w:val="31"/>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船-任务能力匹配对应关系</w:t>
      </w:r>
    </w:p>
    <w:tbl>
      <w:tblPr>
        <w:tblStyle w:val="28"/>
        <w:tblW w:w="0" w:type="pct"/>
        <w:tblCaption w:val="船-任务能力匹配对应关系"/>
        <w:tblInd w:w="0" w:type="dxa"/>
        <w:tblLayout w:type="autofit"/>
        <w:tblCellMar>
          <w:top w:w="0" w:type="dxa"/>
          <w:left w:w="108" w:type="dxa"/>
          <w:bottom w:w="0" w:type="dxa"/>
          <w:right w:w="108" w:type="dxa"/>
        </w:tblCellMar>
      </w:tblPr>
      <w:tblGrid>
        <w:gridCol w:w="1930"/>
        <w:gridCol w:w="2145"/>
        <w:gridCol w:w="2145"/>
        <w:gridCol w:w="2145"/>
      </w:tblGrid>
      <w:tr w14:paraId="396FF794">
        <w:tblPrEx>
          <w:tblCellMar>
            <w:top w:w="0" w:type="dxa"/>
            <w:left w:w="108" w:type="dxa"/>
            <w:bottom w:w="0" w:type="dxa"/>
            <w:right w:w="108" w:type="dxa"/>
          </w:tblCellMar>
        </w:tblPrEx>
        <w:tc>
          <w:p w14:paraId="74582B9C">
            <w:pPr>
              <w:rPr>
                <w:rFonts w:hint="default" w:ascii="Times New Roman" w:hAnsi="Times New Roman" w:eastAsia="宋体" w:cs="Times New Roman"/>
                <w:color w:val="auto"/>
                <w:sz w:val="26"/>
                <w:szCs w:val="26"/>
              </w:rPr>
            </w:pPr>
          </w:p>
        </w:tc>
        <w:tc>
          <w:p w14:paraId="7036AEB0">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搜索侦查(类型1)</w:t>
            </w:r>
          </w:p>
        </w:tc>
        <w:tc>
          <w:p w14:paraId="6376148A">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物资补给(类型2)</w:t>
            </w:r>
          </w:p>
        </w:tc>
        <w:tc>
          <w:p w14:paraId="07A0DDBA">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伤员撤离(类型3)</w:t>
            </w:r>
          </w:p>
        </w:tc>
      </w:tr>
      <w:tr w14:paraId="2D43BEC3">
        <w:tblPrEx>
          <w:tblCellMar>
            <w:top w:w="0" w:type="dxa"/>
            <w:left w:w="108" w:type="dxa"/>
            <w:bottom w:w="0" w:type="dxa"/>
            <w:right w:w="108" w:type="dxa"/>
          </w:tblCellMar>
        </w:tblPrEx>
        <w:tc>
          <w:p w14:paraId="0FF6F547">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A类(快速侦查)</w:t>
            </w:r>
          </w:p>
        </w:tc>
        <w:tc>
          <w:p w14:paraId="483B90F0">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c>
          <w:p w14:paraId="1EA36E02">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c>
          <w:p w14:paraId="065D9CA6">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r>
      <w:tr w14:paraId="3D30607E">
        <w:tblPrEx>
          <w:tblCellMar>
            <w:top w:w="0" w:type="dxa"/>
            <w:left w:w="108" w:type="dxa"/>
            <w:bottom w:w="0" w:type="dxa"/>
            <w:right w:w="108" w:type="dxa"/>
          </w:tblCellMar>
        </w:tblPrEx>
        <w:tc>
          <w:p w14:paraId="14E153F8">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B类(均衡通用)</w:t>
            </w:r>
          </w:p>
        </w:tc>
        <w:tc>
          <w:p w14:paraId="4C0907BF">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c>
          <w:p w14:paraId="24AE685B">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c>
          <w:p w14:paraId="3E9162A9">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r>
      <w:tr w14:paraId="499E575B">
        <w:tblPrEx>
          <w:tblCellMar>
            <w:top w:w="0" w:type="dxa"/>
            <w:left w:w="108" w:type="dxa"/>
            <w:bottom w:w="0" w:type="dxa"/>
            <w:right w:w="108" w:type="dxa"/>
          </w:tblCellMar>
        </w:tblPrEx>
        <w:tc>
          <w:p w14:paraId="1F553306">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C类(长航时)</w:t>
            </w:r>
          </w:p>
        </w:tc>
        <w:tc>
          <w:p w14:paraId="287148C9">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c>
          <w:p w14:paraId="6A16627A">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c>
          <w:p w14:paraId="367ED7A6">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r>
      <w:tr w14:paraId="1B0C93B2">
        <w:tblPrEx>
          <w:tblCellMar>
            <w:top w:w="0" w:type="dxa"/>
            <w:left w:w="108" w:type="dxa"/>
            <w:bottom w:w="0" w:type="dxa"/>
            <w:right w:w="108" w:type="dxa"/>
          </w:tblCellMar>
        </w:tblPrEx>
        <w:tc>
          <w:p w14:paraId="1EBACFB7">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D类(综合救援)</w:t>
            </w:r>
          </w:p>
        </w:tc>
        <w:tc>
          <w:p w14:paraId="04484C19">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c>
          <w:p w14:paraId="0B003540">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c>
          <w:p w14:paraId="2FFE43F5">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t>
            </w:r>
          </w:p>
        </w:tc>
      </w:tr>
      <w:bookmarkEnd w:id="9"/>
    </w:tbl>
    <w:p w14:paraId="5D4F6B66">
      <w:pPr>
        <w:pStyle w:val="5"/>
        <w:rPr>
          <w:rFonts w:hint="default" w:ascii="Times New Roman" w:hAnsi="Times New Roman" w:eastAsia="宋体" w:cs="Times New Roman"/>
          <w:color w:val="auto"/>
          <w:sz w:val="26"/>
          <w:szCs w:val="26"/>
        </w:rPr>
      </w:pPr>
      <w:bookmarkStart w:id="10" w:name="s2多源风险评估与态势特征构建"/>
      <w:r>
        <w:rPr>
          <w:rFonts w:hint="default" w:ascii="Times New Roman" w:hAnsi="Times New Roman" w:eastAsia="宋体" w:cs="Times New Roman"/>
          <w:color w:val="auto"/>
          <w:sz w:val="26"/>
          <w:szCs w:val="26"/>
        </w:rPr>
        <w:t>S2、多源风险评估与态势特征构建</w:t>
      </w:r>
    </w:p>
    <w:p w14:paraId="1A7D2BAA">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基于预处理后数据，计算包含漂移风险、海况风险、能力匹配风险和能量风险的多源风险评估值，构建风险态势特征向量。</w:t>
      </w:r>
    </w:p>
    <w:p w14:paraId="4E3473D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S21、漂移风险评估</w:t>
      </w:r>
    </w:p>
    <w:p w14:paraId="43D269BE">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基于海洋环境中的流场和风场数据，采用Leeway漂移公式计算遇险目标在任务窗口内的漂移轨迹偏移量：</w:t>
      </w:r>
    </w:p>
    <w:p w14:paraId="377E3857">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p</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drift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(t) = p</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0</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0</m:t>
            </m:r>
            <m:ctrlPr>
              <w:rPr>
                <w:rFonts w:hint="default" w:ascii="Cambria Math" w:hAnsi="Cambria Math" w:eastAsia="宋体" w:cs="Times New Roman"/>
                <w:color w:val="auto"/>
                <w:sz w:val="26"/>
                <w:szCs w:val="26"/>
              </w:rPr>
            </m:ctrlPr>
          </m:sub>
          <m:sup>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current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(τ) + λ·v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wind</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(τ)) dτ</w:t>
      </w:r>
    </w:p>
    <w:p w14:paraId="42CF768B">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其中，p</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0</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为遇险目标初始位置，v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current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为流场速度矢量，v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wind</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为风场速度矢量，λ为Leeway系数（取0.03-0.05）。</w:t>
      </w:r>
    </w:p>
    <w:p w14:paraId="793BE086">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漂移风险评估值定义为漂移偏移量与任务半径的比值：</w:t>
      </w:r>
    </w:p>
    <w:p w14:paraId="4F25BE2C">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drift</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||p</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drift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end</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 p</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0</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 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task</m:t>
            </m:r>
            <m:ctrlPr>
              <w:rPr>
                <w:rFonts w:hint="default" w:ascii="Cambria Math" w:hAnsi="Cambria Math" w:eastAsia="宋体" w:cs="Times New Roman"/>
                <w:color w:val="auto"/>
                <w:sz w:val="26"/>
                <w:szCs w:val="26"/>
              </w:rPr>
            </m:ctrlPr>
          </m:sub>
        </m:sSub>
      </m:oMath>
    </w:p>
    <w:p w14:paraId="1CF44E46">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task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为任务的有效半径，R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drift</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越大则漂移风险越高。</w:t>
      </w:r>
    </w:p>
    <w:p w14:paraId="41BCFF43">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S22、海况风险评估</w:t>
      </w:r>
    </w:p>
    <w:p w14:paraId="2EC7AB1D">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基于海况等级SS ∈ 1,2,3,4,5,6和能见度数据Vis</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[0,1]，计算海况风险系数：</w:t>
      </w:r>
    </w:p>
    <w:p w14:paraId="3D19642F">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sea</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(SS/6) · (1 + 0.3 · (1 − Vis</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6358635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海况等级越高、能见度越低则海况风险越高。</w:t>
      </w:r>
    </w:p>
    <w:p w14:paraId="5DB84F8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S23、能力匹配风险评估</w:t>
      </w:r>
    </w:p>
    <w:p w14:paraId="0B7DC479">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基于无人船能力类型与任务需求类型的匹配关系，计算能力匹配风险系数：</w:t>
      </w:r>
    </w:p>
    <w:p w14:paraId="62C65A5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matc</m:t>
            </m:r>
            <m:r>
              <m:rPr>
                <m:nor/>
                <m:sty m:val="p"/>
              </m:rPr>
              <w:rPr>
                <w:rFonts w:hint="default" w:ascii="Times New Roman" w:hAnsi="Times New Roman" w:eastAsia="宋体" w:cs="Times New Roman"/>
                <w:i w:val="0"/>
                <w:color w:val="auto"/>
                <w:sz w:val="26"/>
                <w:szCs w:val="26"/>
              </w:rPr>
              <m:t>h</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0 （若C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=1）；R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matc</m:t>
            </m:r>
            <m:r>
              <m:rPr>
                <m:nor/>
                <m:sty m:val="p"/>
              </m:rPr>
              <w:rPr>
                <w:rFonts w:hint="default" w:ascii="Times New Roman" w:hAnsi="Times New Roman" w:eastAsia="宋体" w:cs="Times New Roman"/>
                <w:i w:val="0"/>
                <w:color w:val="auto"/>
                <w:sz w:val="26"/>
                <w:szCs w:val="26"/>
              </w:rPr>
              <m:t>h</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1 （若C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=0）</w:t>
      </w:r>
    </w:p>
    <w:p w14:paraId="603B617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若无人船不具备执行对应任务类型的能力，则能力匹配风险为最高值。</w:t>
      </w:r>
    </w:p>
    <w:p w14:paraId="73C4A123">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S24、能量风险评估</w:t>
      </w:r>
    </w:p>
    <w:p w14:paraId="6E1CA859">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基于无人船的当前能量状态E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、任务执行能耗和航行能耗，计算能量风险系数：</w:t>
      </w:r>
    </w:p>
    <w:p w14:paraId="799050D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energy</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exp(−E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consume</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73DF6B4B">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consume</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为无人船i执行任务j并返回的预估能耗，E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越低、E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consume</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越高则能量风险越高。</w:t>
      </w:r>
    </w:p>
    <w:p w14:paraId="3F6DB20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S25、风险态势特征构建</w:t>
      </w:r>
    </w:p>
    <w:p w14:paraId="01E87A18">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将所述漂移风险评估值R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drift</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、海况风险评估值R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sea</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、能力匹配风险评估值R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matc</m:t>
            </m:r>
            <m:r>
              <m:rPr>
                <m:nor/>
                <m:sty m:val="p"/>
              </m:rPr>
              <w:rPr>
                <w:rFonts w:hint="default" w:ascii="Times New Roman" w:hAnsi="Times New Roman" w:eastAsia="宋体" w:cs="Times New Roman"/>
                <w:i w:val="0"/>
                <w:color w:val="auto"/>
                <w:sz w:val="26"/>
                <w:szCs w:val="26"/>
              </w:rPr>
              <m:t>h</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和能量风险评估值R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energy</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进行归一化处理，并结合任务紧迫度、任务密度和无人船冗余度，构建11维风险态势特征向量：</w:t>
      </w:r>
    </w:p>
    <w:p w14:paraId="7DA35D5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f = [R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drift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sea</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matc</m:t>
            </m:r>
            <m:r>
              <m:rPr>
                <m:nor/>
                <m:sty m:val="p"/>
              </m:rPr>
              <w:rPr>
                <w:rFonts w:hint="default" w:ascii="Times New Roman" w:hAnsi="Times New Roman" w:eastAsia="宋体" w:cs="Times New Roman"/>
                <w:i w:val="0"/>
                <w:color w:val="auto"/>
                <w:sz w:val="26"/>
                <w:szCs w:val="26"/>
              </w:rPr>
              <m:t>h</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energy</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U</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task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ρ</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task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ρ</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vessel</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σ</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drift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σ</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sea</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urgency</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ΔE]</w:t>
      </w:r>
    </w:p>
    <w:p w14:paraId="76A5084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matc</m:t>
            </m:r>
            <m:r>
              <m:rPr>
                <m:nor/>
                <m:sty m:val="p"/>
              </m:rPr>
              <w:rPr>
                <w:rFonts w:hint="default" w:ascii="Times New Roman" w:hAnsi="Times New Roman" w:eastAsia="宋体" w:cs="Times New Roman"/>
                <w:i w:val="0"/>
                <w:color w:val="auto"/>
                <w:sz w:val="26"/>
                <w:szCs w:val="26"/>
              </w:rPr>
              <m:t>h</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和R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energy</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分别为所有船舶-任务对的平均匹配风险和平均能量风险，U</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task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为任务紧迫度，ρ</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task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为任务密度，ρ</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vessel</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为船舶密度，σ</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drift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和σ</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sea</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分别为漂移风险和海况风险的标准差，T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urgency</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为时间窗紧迫度，ΔE为平均能量变化率。</w:t>
      </w:r>
    </w:p>
    <w:bookmarkEnd w:id="10"/>
    <w:p w14:paraId="5EEA0EA5">
      <w:pPr>
        <w:pStyle w:val="5"/>
        <w:rPr>
          <w:rFonts w:hint="default" w:ascii="Times New Roman" w:hAnsi="Times New Roman" w:eastAsia="宋体" w:cs="Times New Roman"/>
          <w:color w:val="auto"/>
          <w:sz w:val="26"/>
          <w:szCs w:val="26"/>
        </w:rPr>
      </w:pPr>
      <w:bookmarkStart w:id="11" w:name="s3基于风险态势分类器的自适应策略选择"/>
      <w:r>
        <w:rPr>
          <w:rFonts w:hint="default" w:ascii="Times New Roman" w:hAnsi="Times New Roman" w:eastAsia="宋体" w:cs="Times New Roman"/>
          <w:color w:val="auto"/>
          <w:sz w:val="26"/>
          <w:szCs w:val="26"/>
        </w:rPr>
        <w:t>S3、基于风险态势分类器的自适应策略选择</w:t>
      </w:r>
    </w:p>
    <w:p w14:paraId="511B9ECE">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将所述风险态势特征向量输入预训练的风险态势分类器，所述分类器输出风险态势类别，根据所述风险态势类别自适应选择对应的分配策略参数。</w:t>
      </w:r>
    </w:p>
    <w:p w14:paraId="07E0C913">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本实施例中，风险态势分类器采用XGBoost模型，输出四种风险态势类别：激进模式（0）、均衡模式（1）、保守模式（2）和超保守模式（3）。</w:t>
      </w:r>
    </w:p>
    <w:p w14:paraId="7406DB9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不同风险态势类别对应的分配策略参数如表2所示：</w:t>
      </w:r>
    </w:p>
    <w:p w14:paraId="17B29FEB">
      <w:pPr>
        <w:pStyle w:val="31"/>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风险态势类别与策略参数映射表</w:t>
      </w:r>
    </w:p>
    <w:tbl>
      <w:tblPr>
        <w:tblStyle w:val="28"/>
        <w:tblW w:w="0" w:type="pct"/>
        <w:tblCaption w:val="风险态势类别与策略参数映射表"/>
        <w:tblInd w:w="0" w:type="dxa"/>
        <w:tblLayout w:type="autofit"/>
        <w:tblCellMar>
          <w:top w:w="0" w:type="dxa"/>
          <w:left w:w="108" w:type="dxa"/>
          <w:bottom w:w="0" w:type="dxa"/>
          <w:right w:w="108" w:type="dxa"/>
        </w:tblCellMar>
      </w:tblPr>
      <w:tblGrid>
        <w:gridCol w:w="736"/>
        <w:gridCol w:w="1516"/>
        <w:gridCol w:w="1913"/>
        <w:gridCol w:w="1909"/>
        <w:gridCol w:w="1881"/>
      </w:tblGrid>
      <w:tr w14:paraId="529F7216">
        <w:tblPrEx>
          <w:tblCellMar>
            <w:top w:w="0" w:type="dxa"/>
            <w:left w:w="108" w:type="dxa"/>
            <w:bottom w:w="0" w:type="dxa"/>
            <w:right w:w="108" w:type="dxa"/>
          </w:tblCellMar>
        </w:tblPrEx>
        <w:tc>
          <w:p w14:paraId="526BFAF7">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类别</w:t>
            </w:r>
          </w:p>
        </w:tc>
        <w:tc>
          <w:p w14:paraId="166E83D9">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模式名称</w:t>
            </w:r>
          </w:p>
        </w:tc>
        <w:tc>
          <w:p w14:paraId="37AB2A66">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完成任务权重α</w:t>
            </w:r>
          </w:p>
        </w:tc>
        <w:tc>
          <w:p w14:paraId="7DDD87BF">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规避风险权重β</w:t>
            </w:r>
          </w:p>
        </w:tc>
        <w:tc>
          <w:p w14:paraId="0A27A2EF">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共识容忍阈值τ</w:t>
            </w:r>
          </w:p>
        </w:tc>
      </w:tr>
      <w:tr w14:paraId="1D6B5CD8">
        <w:tblPrEx>
          <w:tblCellMar>
            <w:top w:w="0" w:type="dxa"/>
            <w:left w:w="108" w:type="dxa"/>
            <w:bottom w:w="0" w:type="dxa"/>
            <w:right w:w="108" w:type="dxa"/>
          </w:tblCellMar>
        </w:tblPrEx>
        <w:tc>
          <w:p w14:paraId="346E6AE0">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w:t>
            </w:r>
          </w:p>
        </w:tc>
        <w:tc>
          <w:p w14:paraId="7DB9A20F">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激进模式</w:t>
            </w:r>
          </w:p>
        </w:tc>
        <w:tc>
          <w:p w14:paraId="2390AB4F">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0.94</w:t>
            </w:r>
          </w:p>
        </w:tc>
        <w:tc>
          <w:p w14:paraId="33712F30">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0.06</w:t>
            </w:r>
          </w:p>
        </w:tc>
        <w:tc>
          <w:p w14:paraId="6C4DE979">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0.04</w:t>
            </w:r>
          </w:p>
        </w:tc>
      </w:tr>
      <w:tr w14:paraId="59D4D340">
        <w:tblPrEx>
          <w:tblCellMar>
            <w:top w:w="0" w:type="dxa"/>
            <w:left w:w="108" w:type="dxa"/>
            <w:bottom w:w="0" w:type="dxa"/>
            <w:right w:w="108" w:type="dxa"/>
          </w:tblCellMar>
        </w:tblPrEx>
        <w:tc>
          <w:p w14:paraId="1503C897">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w:t>
            </w:r>
          </w:p>
        </w:tc>
        <w:tc>
          <w:p w14:paraId="7BFF11D3">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均衡模式</w:t>
            </w:r>
          </w:p>
        </w:tc>
        <w:tc>
          <w:p w14:paraId="2D09CA36">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0.80</w:t>
            </w:r>
          </w:p>
        </w:tc>
        <w:tc>
          <w:p w14:paraId="082437A2">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0.20</w:t>
            </w:r>
          </w:p>
        </w:tc>
        <w:tc>
          <w:p w14:paraId="223BE640">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0.08</w:t>
            </w:r>
          </w:p>
        </w:tc>
      </w:tr>
      <w:tr w14:paraId="77886D49">
        <w:tblPrEx>
          <w:tblCellMar>
            <w:top w:w="0" w:type="dxa"/>
            <w:left w:w="108" w:type="dxa"/>
            <w:bottom w:w="0" w:type="dxa"/>
            <w:right w:w="108" w:type="dxa"/>
          </w:tblCellMar>
        </w:tblPrEx>
        <w:tc>
          <w:p w14:paraId="33A0C933">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2</w:t>
            </w:r>
          </w:p>
        </w:tc>
        <w:tc>
          <w:p w14:paraId="2FDB5C19">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保守模式</w:t>
            </w:r>
          </w:p>
        </w:tc>
        <w:tc>
          <w:p w14:paraId="25D1755C">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0.66</w:t>
            </w:r>
          </w:p>
        </w:tc>
        <w:tc>
          <w:p w14:paraId="1A31F75A">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0.34</w:t>
            </w:r>
          </w:p>
        </w:tc>
        <w:tc>
          <w:p w14:paraId="1748108F">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0.14</w:t>
            </w:r>
          </w:p>
        </w:tc>
      </w:tr>
      <w:tr w14:paraId="2A19C956">
        <w:tblPrEx>
          <w:tblCellMar>
            <w:top w:w="0" w:type="dxa"/>
            <w:left w:w="108" w:type="dxa"/>
            <w:bottom w:w="0" w:type="dxa"/>
            <w:right w:w="108" w:type="dxa"/>
          </w:tblCellMar>
        </w:tblPrEx>
        <w:tc>
          <w:p w14:paraId="63D2AFF1">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3</w:t>
            </w:r>
          </w:p>
        </w:tc>
        <w:tc>
          <w:p w14:paraId="0ECD93B9">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超保守模式</w:t>
            </w:r>
          </w:p>
        </w:tc>
        <w:tc>
          <w:p w14:paraId="308E74BF">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0.52</w:t>
            </w:r>
          </w:p>
        </w:tc>
        <w:tc>
          <w:p w14:paraId="2C7D18D4">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0.48</w:t>
            </w:r>
          </w:p>
        </w:tc>
        <w:tc>
          <w:p w14:paraId="57C6DD06">
            <w:pPr>
              <w:pStyle w:val="24"/>
              <w:jc w:val="center"/>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0.20</w:t>
            </w:r>
          </w:p>
        </w:tc>
      </w:tr>
    </w:tbl>
    <w:p w14:paraId="037D54C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分类器的训练过程如下：</w:t>
      </w:r>
    </w:p>
    <w:p w14:paraId="7C72D220">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首先，通过仿真生成大量风险态势样本，每个样本包含11维风险态势特征向量和对应的最优策略标签。策略标签通过规则标签和滚验标签混合生成（mixed模式）：规则标签基于风险阈值判断（R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drift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&gt;0.6或R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sea</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gt;0.5时倾向保守模式），滚验标签通过模拟不同策略的实际表现选择最优策略。采用mixed模式确保分类器既能学习领域知识，又能适应复杂场景。训练集包含14,400个风险态势样本，通过5折交叉验证进行超参数调优。</w:t>
      </w:r>
    </w:p>
    <w:p w14:paraId="34C9C107">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本实施例中，风险态势分类器的预测流程为：</w:t>
      </w:r>
    </w:p>
    <w:p w14:paraId="5CAA6AE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mode = arg max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m:t>
            </m:r>
            <m:r>
              <m:rPr>
                <m:nor/>
                <m:sty m:val="p"/>
              </m:rPr>
              <w:rPr>
                <w:rFonts w:hint="default" w:ascii="Times New Roman" w:hAnsi="Times New Roman" w:eastAsia="宋体" w:cs="Times New Roman"/>
                <w:b w:val="0"/>
                <w:i w:val="0"/>
                <w:color w:val="auto"/>
                <w:sz w:val="26"/>
                <w:szCs w:val="26"/>
              </w:rPr>
              <m:t>∈</m:t>
            </m:r>
            <m:r>
              <m:rPr>
                <m:nor/>
                <m:sty m:val="p"/>
              </m:rPr>
              <w:rPr>
                <w:rFonts w:hint="default" w:ascii="Times New Roman" w:hAnsi="Times New Roman" w:eastAsia="宋体" w:cs="Times New Roman"/>
                <w:i w:val="0"/>
                <w:color w:val="auto"/>
                <w:sz w:val="26"/>
                <w:szCs w:val="26"/>
              </w:rPr>
              <m:t>0</m:t>
            </m:r>
            <m:r>
              <m:rPr>
                <m:nor/>
                <m:sty m:val="p"/>
              </m:rPr>
              <w:rPr>
                <w:rFonts w:hint="default" w:ascii="Times New Roman" w:hAnsi="Times New Roman" w:eastAsia="宋体" w:cs="Times New Roman"/>
                <w:b w:val="0"/>
                <w:i w:val="0"/>
                <w:color w:val="auto"/>
                <w:sz w:val="26"/>
                <w:szCs w:val="26"/>
              </w:rPr>
              <m:t>,</m:t>
            </m:r>
            <m:r>
              <m:rPr>
                <m:nor/>
                <m:sty m:val="p"/>
              </m:rPr>
              <w:rPr>
                <w:rFonts w:hint="default" w:ascii="Times New Roman" w:hAnsi="Times New Roman" w:eastAsia="宋体" w:cs="Times New Roman"/>
                <w:i w:val="0"/>
                <w:color w:val="auto"/>
                <w:sz w:val="26"/>
                <w:szCs w:val="26"/>
              </w:rPr>
              <m:t>1</m:t>
            </m:r>
            <m:r>
              <m:rPr>
                <m:nor/>
                <m:sty m:val="p"/>
              </m:rPr>
              <w:rPr>
                <w:rFonts w:hint="default" w:ascii="Times New Roman" w:hAnsi="Times New Roman" w:eastAsia="宋体" w:cs="Times New Roman"/>
                <w:b w:val="0"/>
                <w:i w:val="0"/>
                <w:color w:val="auto"/>
                <w:sz w:val="26"/>
                <w:szCs w:val="26"/>
              </w:rPr>
              <m:t>,</m:t>
            </m:r>
            <m:r>
              <m:rPr>
                <m:nor/>
                <m:sty m:val="p"/>
              </m:rPr>
              <w:rPr>
                <w:rFonts w:hint="default" w:ascii="Times New Roman" w:hAnsi="Times New Roman" w:eastAsia="宋体" w:cs="Times New Roman"/>
                <w:i w:val="0"/>
                <w:color w:val="auto"/>
                <w:sz w:val="26"/>
                <w:szCs w:val="26"/>
              </w:rPr>
              <m:t>2</m:t>
            </m:r>
            <m:r>
              <m:rPr>
                <m:nor/>
                <m:sty m:val="p"/>
              </m:rPr>
              <w:rPr>
                <w:rFonts w:hint="default" w:ascii="Times New Roman" w:hAnsi="Times New Roman" w:eastAsia="宋体" w:cs="Times New Roman"/>
                <w:b w:val="0"/>
                <w:i w:val="0"/>
                <w:color w:val="auto"/>
                <w:sz w:val="26"/>
                <w:szCs w:val="26"/>
              </w:rPr>
              <m:t>,</m:t>
            </m:r>
            <m:r>
              <m:rPr>
                <m:nor/>
                <m:sty m:val="p"/>
              </m:rPr>
              <w:rPr>
                <w:rFonts w:hint="default" w:ascii="Times New Roman" w:hAnsi="Times New Roman" w:eastAsia="宋体" w:cs="Times New Roman"/>
                <w:i w:val="0"/>
                <w:color w:val="auto"/>
                <w:sz w:val="26"/>
                <w:szCs w:val="26"/>
              </w:rPr>
              <m:t>3</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P(m|f)</w:t>
      </w:r>
    </w:p>
    <w:p w14:paraId="126B7EF7">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其中P(m|f)为XGBoost模型输出的类别概率分布。获得风险态势类别后，从表2中读取对应的分配策略参数(α, β, τ)。</w:t>
      </w:r>
    </w:p>
    <w:bookmarkEnd w:id="11"/>
    <w:p w14:paraId="62F349C9">
      <w:pPr>
        <w:pStyle w:val="5"/>
        <w:rPr>
          <w:rFonts w:hint="default" w:ascii="Times New Roman" w:hAnsi="Times New Roman" w:eastAsia="宋体" w:cs="Times New Roman"/>
          <w:color w:val="auto"/>
          <w:sz w:val="26"/>
          <w:szCs w:val="26"/>
        </w:rPr>
      </w:pPr>
      <w:bookmarkStart w:id="12" w:name="s4风险自适应分布式任务分配"/>
      <w:r>
        <w:rPr>
          <w:rFonts w:hint="default" w:ascii="Times New Roman" w:hAnsi="Times New Roman" w:eastAsia="宋体" w:cs="Times New Roman"/>
          <w:color w:val="auto"/>
          <w:sz w:val="26"/>
          <w:szCs w:val="26"/>
        </w:rPr>
        <w:t>S4、风险自适应分布式任务分配</w:t>
      </w:r>
    </w:p>
    <w:p w14:paraId="51C57407">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各无人船作为智能代理，基于所述分配策略参数构建综合效用函数，通过分布式通信与协商机制，迭代执行捆绑构建与冲突共识消解过程。</w:t>
      </w:r>
    </w:p>
    <w:p w14:paraId="23C8200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S41、候选任务集定义</w:t>
      </w:r>
    </w:p>
    <w:p w14:paraId="5D5272C5">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为每艘无人船划分高优先级的候选任务集，以缩小搜索空间。</w:t>
      </w:r>
    </w:p>
    <w:p w14:paraId="0E63379D">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S42、捆绑构建</w:t>
      </w:r>
    </w:p>
    <w:p w14:paraId="308FFBC3">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在每一轮迭代中，各无人船基于综合效用函数计算候选任务的竞标值。所述综合效用函数为：</w:t>
      </w:r>
    </w:p>
    <w:p w14:paraId="76BA827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bid</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α·V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β·cost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bonus</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up>
            <m:r>
              <m:rPr>
                <m:nor/>
              </m:rPr>
              <w:rPr>
                <w:rFonts w:hint="default" w:ascii="Times New Roman" w:hAnsi="Times New Roman" w:eastAsia="宋体" w:cs="Times New Roman"/>
                <w:i/>
                <w:color w:val="auto"/>
                <w:sz w:val="26"/>
                <w:szCs w:val="26"/>
              </w:rPr>
              <m:t>urgency</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p>
    <w:p w14:paraId="6202A193">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其中，bid</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为无人船i对任务j的竞标值，V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为任务j的收益值（高/中/低优先级分别对应300/200/100），cost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为航行增量距离代价，bonus</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up>
            <m:r>
              <m:rPr>
                <m:nor/>
              </m:rPr>
              <w:rPr>
                <w:rFonts w:hint="default" w:ascii="Times New Roman" w:hAnsi="Times New Roman" w:eastAsia="宋体" w:cs="Times New Roman"/>
                <w:i/>
                <w:color w:val="auto"/>
                <w:sz w:val="26"/>
                <w:szCs w:val="26"/>
              </w:rPr>
              <m:t>urgency</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为时间窗紧迫度奖励，R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为无人船i执行任务j的多源风险评估值，α、β为分配策略参数。</w:t>
      </w:r>
    </w:p>
    <w:p w14:paraId="3EC2F6E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时间窗紧迫度奖励的计算公式为：</w:t>
      </w:r>
    </w:p>
    <w:p w14:paraId="0B1D5397">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bonus</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up>
            <m:r>
              <m:rPr>
                <m:nor/>
              </m:rPr>
              <w:rPr>
                <w:rFonts w:hint="default" w:ascii="Times New Roman" w:hAnsi="Times New Roman" w:eastAsia="宋体" w:cs="Times New Roman"/>
                <w:i/>
                <w:color w:val="auto"/>
                <w:sz w:val="26"/>
                <w:szCs w:val="26"/>
              </w:rPr>
              <m:t>urgency</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10 /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end</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arrival</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+ 1)</w:t>
      </w:r>
    </w:p>
    <w:p w14:paraId="17C26F0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end</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为任务j的时间窗截止时间，T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arrival</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为无人船i预计到达任务j的时刻，剩余缓冲时间越短奖励越高。</w:t>
      </w:r>
    </w:p>
    <w:p w14:paraId="43E4F81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在捆绑构建过程中，按照任务风险等级进行分层排序，高风险任务优先加入任务包。具体地，任务风险等级由R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的阈值决定：R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&gt;0.7为高风险，0.4&lt;R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≤0.7为中风险，R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≤0.4为低风险。捆绑构建时，首先遍历所有高风险任务，其次中风险任务，最后低风险任务。</w:t>
      </w:r>
    </w:p>
    <w:p w14:paraId="509E29B7">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捆绑构建过程的具体步骤为：</w:t>
      </w:r>
    </w:p>
    <w:p w14:paraId="17FC41E9">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初始化每艘船舶i的任务包bundle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∅，竞标向量b</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ℝ</w:t>
      </w:r>
      <m:oMath>
        <m:sSup>
          <m:sSupPr>
            <m:ctrlPr>
              <w:rPr>
                <w:rFonts w:hint="default" w:ascii="Cambria Math" w:hAnsi="Cambria Math" w:eastAsia="宋体" w:cs="Times New Roman"/>
                <w:color w:val="auto"/>
                <w:sz w:val="26"/>
                <w:szCs w:val="26"/>
              </w:rPr>
            </m:ctrlPr>
          </m:s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p>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n</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p>
        </m:sSup>
      </m:oMath>
      <w:r>
        <w:rPr>
          <w:rFonts w:hint="default" w:ascii="Times New Roman" w:hAnsi="Times New Roman" w:eastAsia="宋体" w:cs="Times New Roman"/>
          <w:color w:val="auto"/>
          <w:sz w:val="26"/>
          <w:szCs w:val="26"/>
        </w:rPr>
        <w:t>（初始为零向量）；</w:t>
      </w:r>
    </w:p>
    <w:p w14:paraId="59596A5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对于每艘船舶i，在其候选任务集C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中按风险分层顺序选择出价最高的任务：</w:t>
      </w:r>
    </w:p>
    <w:p w14:paraId="2EEF8EB1">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j* = arg max$_{j∈C_i \textbackslash bundle_i}$ bid</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ctrlPr>
              <w:rPr>
                <w:rFonts w:hint="default" w:ascii="Cambria Math" w:hAnsi="Cambria Math" w:eastAsia="宋体" w:cs="Times New Roman"/>
                <w:color w:val="auto"/>
                <w:sz w:val="26"/>
                <w:szCs w:val="26"/>
              </w:rPr>
            </m:ctrlPr>
          </m:sub>
        </m:sSub>
      </m:oMath>
    </w:p>
    <w:p w14:paraId="629E5AAB">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若该任务已被其他船舶竞标，则比较竞标值，若本船出价更高则将任务加入任务包；</w:t>
      </w:r>
    </w:p>
    <w:p w14:paraId="1C4026E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重复此过程直至任务包达到最大容量或候选任务集中无可竞标的任务。</w:t>
      </w:r>
    </w:p>
    <w:p w14:paraId="763E502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S43、冲突共识消解与非对称共识机制</w:t>
      </w:r>
    </w:p>
    <w:p w14:paraId="5A44C297">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各无人船通过通信共享出价向量b</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和任务获胜者向量w，按照冲突消解规则更新任务归属。</w:t>
      </w:r>
    </w:p>
    <w:p w14:paraId="0EBDBD4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对于每个任务j，若存在多个船舶竞标，则确定出价最高的船舶：</w:t>
      </w:r>
    </w:p>
    <w:p w14:paraId="47C262A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i* = arg max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r>
              <m:rPr>
                <m:nor/>
                <m:sty m:val="p"/>
              </m:rPr>
              <w:rPr>
                <w:rFonts w:hint="default" w:ascii="Times New Roman" w:hAnsi="Times New Roman" w:eastAsia="宋体" w:cs="Times New Roman"/>
                <w:b w:val="0"/>
                <w:i w:val="0"/>
                <w:color w:val="auto"/>
                <w:sz w:val="26"/>
                <w:szCs w:val="26"/>
              </w:rPr>
              <m:t>∈</m:t>
            </m:r>
            <m:r>
              <m:rPr>
                <m:nor/>
                <m:sty m:val="p"/>
              </m:rPr>
              <w:rPr>
                <w:rFonts w:hint="default" w:ascii="Times New Roman" w:hAnsi="Times New Roman" w:eastAsia="宋体" w:cs="Times New Roman"/>
                <w:i w:val="0"/>
                <w:color w:val="auto"/>
                <w:sz w:val="26"/>
                <w:szCs w:val="26"/>
              </w:rPr>
              <m:t>1</m:t>
            </m:r>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n</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b</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(j) | 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(j)=i</w:t>
      </w:r>
    </w:p>
    <w:p w14:paraId="44EC17F1">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更新全局获胜者向量w(j)=i*。</w:t>
      </w:r>
    </w:p>
    <w:p w14:paraId="6DEB983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若出价差值小于共识容忍阈值τ，即：</w:t>
      </w:r>
    </w:p>
    <w:p w14:paraId="0AB027EF">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|b</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1</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(j) − b</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2</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(j)| &lt; τ</w:t>
      </w:r>
    </w:p>
    <w:p w14:paraId="0086152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则触发</w:t>
      </w:r>
      <w:r>
        <w:rPr>
          <w:rFonts w:hint="default" w:ascii="Times New Roman" w:hAnsi="Times New Roman" w:eastAsia="宋体" w:cs="Times New Roman"/>
          <w:b/>
          <w:bCs/>
          <w:color w:val="auto"/>
          <w:sz w:val="26"/>
          <w:szCs w:val="26"/>
        </w:rPr>
        <w:t>非对称共识机制</w:t>
      </w:r>
      <w:r>
        <w:rPr>
          <w:rFonts w:hint="default" w:ascii="Times New Roman" w:hAnsi="Times New Roman" w:eastAsia="宋体" w:cs="Times New Roman"/>
          <w:color w:val="auto"/>
          <w:sz w:val="26"/>
          <w:szCs w:val="26"/>
        </w:rPr>
        <w:t>，根据能力冗余度进行决胜。能力冗余度定义为船舶具备的额外能力类型数量（如D类船具备3种能力，冗余度最高；A类船仅具备1种能力，冗余度最低）。能力冗余度更高的船舶获得任务。</w:t>
      </w:r>
    </w:p>
    <w:p w14:paraId="0CF5E503">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对于其他竞标者i≠i*，将任务j从其任务包中移除并重置出价：</w:t>
      </w:r>
    </w:p>
    <w:p w14:paraId="08390A76">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bundle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bundle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j</w:t>
      </w:r>
    </w:p>
    <w:p w14:paraId="3DFF15F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b</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(j) ← 0</w:t>
      </w:r>
    </w:p>
    <w:p w14:paraId="1B4C073D">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S44、收敛判定</w:t>
      </w:r>
    </w:p>
    <w:p w14:paraId="7C93027D">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收敛条件为迭代次数不少于10次、任务获胜者不再变化且出价变化量小于10</w:t>
      </w:r>
      <m:oMath>
        <m:sSup>
          <m:sSupPr>
            <m:ctrlPr>
              <w:rPr>
                <w:rFonts w:hint="default" w:ascii="Cambria Math" w:hAnsi="Cambria Math" w:eastAsia="宋体" w:cs="Times New Roman"/>
                <w:color w:val="auto"/>
                <w:sz w:val="26"/>
                <w:szCs w:val="26"/>
              </w:rPr>
            </m:ctrlPr>
          </m:s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p>
            <m:r>
              <m:rPr>
                <m:nor/>
                <m:sty m:val="p"/>
              </m:rPr>
              <w:rPr>
                <w:rFonts w:hint="default" w:ascii="Times New Roman" w:hAnsi="Times New Roman" w:eastAsia="宋体" w:cs="Times New Roman"/>
                <w:b w:val="0"/>
                <w:i w:val="0"/>
                <w:color w:val="auto"/>
                <w:sz w:val="26"/>
                <w:szCs w:val="26"/>
              </w:rPr>
              <m:t>−</m:t>
            </m:r>
            <m:r>
              <m:rPr>
                <m:nor/>
                <m:sty m:val="p"/>
              </m:rPr>
              <w:rPr>
                <w:rFonts w:hint="default" w:ascii="Times New Roman" w:hAnsi="Times New Roman" w:eastAsia="宋体" w:cs="Times New Roman"/>
                <w:i w:val="0"/>
                <w:color w:val="auto"/>
                <w:sz w:val="26"/>
                <w:szCs w:val="26"/>
              </w:rPr>
              <m:t>6</m:t>
            </m:r>
            <m:ctrlPr>
              <w:rPr>
                <w:rFonts w:hint="default" w:ascii="Cambria Math" w:hAnsi="Cambria Math" w:eastAsia="宋体" w:cs="Times New Roman"/>
                <w:color w:val="auto"/>
                <w:sz w:val="26"/>
                <w:szCs w:val="26"/>
              </w:rPr>
            </m:ctrlPr>
          </m:sup>
        </m:sSup>
      </m:oMath>
      <w:r>
        <w:rPr>
          <w:rFonts w:hint="default" w:ascii="Times New Roman" w:hAnsi="Times New Roman" w:eastAsia="宋体" w:cs="Times New Roman"/>
          <w:color w:val="auto"/>
          <w:sz w:val="26"/>
          <w:szCs w:val="26"/>
        </w:rPr>
        <w:t>。若满足收敛条件，则输出初始任务分配方案；否则继续进行下一轮迭代。</w:t>
      </w:r>
    </w:p>
    <w:bookmarkEnd w:id="12"/>
    <w:p w14:paraId="5CC657BE">
      <w:pPr>
        <w:pStyle w:val="5"/>
        <w:rPr>
          <w:rFonts w:hint="default" w:ascii="Times New Roman" w:hAnsi="Times New Roman" w:eastAsia="宋体" w:cs="Times New Roman"/>
          <w:color w:val="auto"/>
          <w:sz w:val="26"/>
          <w:szCs w:val="26"/>
        </w:rPr>
      </w:pPr>
      <w:bookmarkStart w:id="13" w:name="s5硬时间窗约束检查与动态剪枝"/>
      <w:r>
        <w:rPr>
          <w:rFonts w:hint="default" w:ascii="Times New Roman" w:hAnsi="Times New Roman" w:eastAsia="宋体" w:cs="Times New Roman"/>
          <w:color w:val="auto"/>
          <w:sz w:val="26"/>
          <w:szCs w:val="26"/>
        </w:rPr>
        <w:t>S5、硬时间窗约束检查与动态剪枝</w:t>
      </w:r>
    </w:p>
    <w:p w14:paraId="22A2FC0C">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在任务分配过程中及初始分配方案生成后，执行严格的硬时间窗可行性校验。</w:t>
      </w:r>
    </w:p>
    <w:p w14:paraId="040A0289">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对于任务序列中的每个任务，实时计算到达时间（ETA）。具体地，对于无人船i的任务序列中的第k个任务j</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660AC5DB">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arrival</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start</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dist(s</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1</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（k=1时） 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arrival</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complete</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r>
                  <m:rPr>
                    <m:nor/>
                    <m:sty m:val="p"/>
                  </m:rPr>
                  <w:rPr>
                    <w:rFonts w:hint="default" w:ascii="Times New Roman" w:hAnsi="Times New Roman" w:eastAsia="宋体" w:cs="Times New Roman"/>
                    <w:b w:val="0"/>
                    <w:i w:val="0"/>
                    <w:color w:val="auto"/>
                    <w:sz w:val="26"/>
                    <w:szCs w:val="26"/>
                  </w:rPr>
                  <m:t>−</m:t>
                </m:r>
                <m:r>
                  <m:rPr>
                    <m:nor/>
                    <m:sty m:val="p"/>
                  </m:rPr>
                  <w:rPr>
                    <w:rFonts w:hint="default" w:ascii="Times New Roman" w:hAnsi="Times New Roman" w:eastAsia="宋体" w:cs="Times New Roman"/>
                    <w:i w:val="0"/>
                    <w:color w:val="auto"/>
                    <w:sz w:val="26"/>
                    <w:szCs w:val="26"/>
                  </w:rPr>
                  <m:t>1</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dist(t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r>
                  <m:rPr>
                    <m:nor/>
                    <m:sty m:val="p"/>
                  </m:rPr>
                  <w:rPr>
                    <w:rFonts w:hint="default" w:ascii="Times New Roman" w:hAnsi="Times New Roman" w:eastAsia="宋体" w:cs="Times New Roman"/>
                    <w:b w:val="0"/>
                    <w:i w:val="0"/>
                    <w:color w:val="auto"/>
                    <w:sz w:val="26"/>
                    <w:szCs w:val="26"/>
                  </w:rPr>
                  <m:t>−</m:t>
                </m:r>
                <m:r>
                  <m:rPr>
                    <m:nor/>
                    <m:sty m:val="p"/>
                  </m:rPr>
                  <w:rPr>
                    <w:rFonts w:hint="default" w:ascii="Times New Roman" w:hAnsi="Times New Roman" w:eastAsia="宋体" w:cs="Times New Roman"/>
                    <w:i w:val="0"/>
                    <w:color w:val="auto"/>
                    <w:sz w:val="26"/>
                    <w:szCs w:val="26"/>
                  </w:rPr>
                  <m:t>1</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（k&gt;1时）</w:t>
      </w:r>
    </w:p>
    <w:p w14:paraId="2404398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start</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为无人船i的起始时间，T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complete</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r>
                  <m:rPr>
                    <m:nor/>
                    <m:sty m:val="p"/>
                  </m:rPr>
                  <w:rPr>
                    <w:rFonts w:hint="default" w:ascii="Times New Roman" w:hAnsi="Times New Roman" w:eastAsia="宋体" w:cs="Times New Roman"/>
                    <w:b w:val="0"/>
                    <w:i w:val="0"/>
                    <w:color w:val="auto"/>
                    <w:sz w:val="26"/>
                    <w:szCs w:val="26"/>
                  </w:rPr>
                  <m:t>−</m:t>
                </m:r>
                <m:r>
                  <m:rPr>
                    <m:nor/>
                    <m:sty m:val="p"/>
                  </m:rPr>
                  <w:rPr>
                    <w:rFonts w:hint="default" w:ascii="Times New Roman" w:hAnsi="Times New Roman" w:eastAsia="宋体" w:cs="Times New Roman"/>
                    <w:i w:val="0"/>
                    <w:color w:val="auto"/>
                    <w:sz w:val="26"/>
                    <w:szCs w:val="26"/>
                  </w:rPr>
                  <m:t>1</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为第k-1个任务的完成时间。</w:t>
      </w:r>
    </w:p>
    <w:p w14:paraId="04DFB4AB">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所述硬时间窗约束为：</w:t>
      </w:r>
    </w:p>
    <w:p w14:paraId="351FC80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arrival</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end</m:t>
            </m:r>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p>
    <w:p w14:paraId="1B4F7A9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若T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arrival</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&lt;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start</m:t>
            </m:r>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，则等待至最早开始时间再执行：</w:t>
      </w:r>
    </w:p>
    <w:p w14:paraId="0D4B2F6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start</m:t>
            </m:r>
            <m:r>
              <m:rPr>
                <m:nor/>
                <m:sty m:val="p"/>
              </m:rPr>
              <w:rPr>
                <w:rFonts w:hint="default" w:ascii="Times New Roman" w:hAnsi="Times New Roman" w:eastAsia="宋体" w:cs="Times New Roman"/>
                <w:b w:val="0"/>
                <w:i w:val="0"/>
                <w:color w:val="auto"/>
                <w:sz w:val="26"/>
                <w:szCs w:val="26"/>
              </w:rPr>
              <m:t>_</m:t>
            </m:r>
            <m:r>
              <m:rPr>
                <m:nor/>
              </m:rPr>
              <w:rPr>
                <w:rFonts w:hint="default" w:ascii="Times New Roman" w:hAnsi="Times New Roman" w:eastAsia="宋体" w:cs="Times New Roman"/>
                <w:i/>
                <w:color w:val="auto"/>
                <w:sz w:val="26"/>
                <w:szCs w:val="26"/>
              </w:rPr>
              <m:t>exec</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max(T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arrival</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start</m:t>
            </m:r>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4DDCA5A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若违反截止时间约束T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arrival</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&gt;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end</m:t>
            </m:r>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，则触发动态剪枝机制：将对应任务从任务序列中移除并重置其竞标值为−∞，即直接予以剔除，而非仅作为惩罚项处理。</w:t>
      </w:r>
    </w:p>
    <w:p w14:paraId="11D6078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对于满足时间窗约束的任务，计算完成时间：</w:t>
      </w:r>
    </w:p>
    <w:p w14:paraId="145C29D1">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complete</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T</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start</m:t>
            </m:r>
            <m:r>
              <m:rPr>
                <m:nor/>
                <m:sty m:val="p"/>
              </m:rPr>
              <w:rPr>
                <w:rFonts w:hint="default" w:ascii="Times New Roman" w:hAnsi="Times New Roman" w:eastAsia="宋体" w:cs="Times New Roman"/>
                <w:b w:val="0"/>
                <w:i w:val="0"/>
                <w:color w:val="auto"/>
                <w:sz w:val="26"/>
                <w:szCs w:val="26"/>
              </w:rPr>
              <m:t>_</m:t>
            </m:r>
            <m:r>
              <m:rPr>
                <m:nor/>
              </m:rPr>
              <w:rPr>
                <w:rFonts w:hint="default" w:ascii="Times New Roman" w:hAnsi="Times New Roman" w:eastAsia="宋体" w:cs="Times New Roman"/>
                <w:i/>
                <w:color w:val="auto"/>
                <w:sz w:val="26"/>
                <w:szCs w:val="26"/>
              </w:rPr>
              <m:t>exec</m:t>
            </m:r>
            <m:ctrlPr>
              <w:rPr>
                <w:rFonts w:hint="default" w:ascii="Cambria Math" w:hAnsi="Cambria Math" w:eastAsia="宋体" w:cs="Times New Roman"/>
                <w:color w:val="auto"/>
                <w:sz w:val="26"/>
                <w:szCs w:val="26"/>
              </w:rPr>
            </m:ctrlPr>
          </m:sub>
          <m:sup>
            <m:r>
              <m:rPr>
                <m:nor/>
                <m:sty m:val="p"/>
              </m:rPr>
              <w:rPr>
                <w:rFonts w:hint="default" w:ascii="Times New Roman" w:hAnsi="Times New Roman" w:eastAsia="宋体" w:cs="Times New Roman"/>
                <w:b w:val="0"/>
                <w:i w:val="0"/>
                <w:color w:val="auto"/>
                <w:sz w:val="26"/>
                <w:szCs w:val="26"/>
              </w:rPr>
              <m:t>(</m:t>
            </m:r>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 d</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sSub>
              <m:sSubPr>
                <m:ctrlPr>
                  <w:rPr>
                    <w:rFonts w:hint="default" w:ascii="Cambria Math" w:hAnsi="Cambria Math" w:eastAsia="宋体" w:cs="Times New Roman"/>
                    <w:color w:val="auto"/>
                    <w:sz w:val="26"/>
                    <w:szCs w:val="26"/>
                  </w:rPr>
                </m:ctrlPr>
              </m:sSubPr>
              <m:e>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b>
            </m:sSub>
            <m:ctrlPr>
              <w:rPr>
                <w:rFonts w:hint="default" w:ascii="Cambria Math" w:hAnsi="Cambria Math" w:eastAsia="宋体" w:cs="Times New Roman"/>
                <w:color w:val="auto"/>
                <w:sz w:val="26"/>
                <w:szCs w:val="26"/>
              </w:rPr>
            </m:ctrlPr>
          </m:sub>
        </m:sSub>
      </m:oMath>
    </w:p>
    <w:p w14:paraId="40280567">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然后更新当前时间并继续检查下一个任务。通过该硬约束检查机制，确保所有最终分配的任务都能在规定时间窗内完成，彻底杜绝时间窗违反现象。</w:t>
      </w:r>
    </w:p>
    <w:bookmarkEnd w:id="13"/>
    <w:p w14:paraId="37D127BA">
      <w:pPr>
        <w:pStyle w:val="5"/>
        <w:rPr>
          <w:rFonts w:hint="default" w:ascii="Times New Roman" w:hAnsi="Times New Roman" w:eastAsia="宋体" w:cs="Times New Roman"/>
          <w:color w:val="auto"/>
          <w:sz w:val="26"/>
          <w:szCs w:val="26"/>
        </w:rPr>
      </w:pPr>
      <w:bookmarkStart w:id="14" w:name="s6混合智能动态重分配"/>
      <w:r>
        <w:rPr>
          <w:rFonts w:hint="default" w:ascii="Times New Roman" w:hAnsi="Times New Roman" w:eastAsia="宋体" w:cs="Times New Roman"/>
          <w:color w:val="auto"/>
          <w:sz w:val="26"/>
          <w:szCs w:val="26"/>
        </w:rPr>
        <w:t>S6、混合智能动态重分配</w:t>
      </w:r>
    </w:p>
    <w:p w14:paraId="1A547371">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在执行过程中，持续监测风险态势变化，当检测到风险事件或新增任务时，通过四层递进式机制进行动态重分配。为防止频繁风险波动导致的重分配震荡，本实施例设定最小重分配触发间隔Δt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min</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（取5分钟），若与上次重分配时间间隔小于Δt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min</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则不触发新的重分配。</w:t>
      </w:r>
    </w:p>
    <w:p w14:paraId="13B65D17">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S61、风险事件监测</w:t>
      </w:r>
    </w:p>
    <w:p w14:paraId="615E78DF">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持续计算风险态势特征向量f(t)，若||f(t) − f(t−Δt)||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2</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&gt; θ</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trigger</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，则判定为风险事件，其中θ</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trigger</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为预设触发阈值。</w:t>
      </w:r>
    </w:p>
    <w:p w14:paraId="5CD0B4E7">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S62、XGBoost快速初筛</w:t>
      </w:r>
    </w:p>
    <w:p w14:paraId="0A2B6A9C">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将当前风险态势特征向量f(t)输入预训练的XGBoost重分配初筛模型，输出是否需要触发重分配的初筛判断ŷ</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xgb</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及置信度c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xgb</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15F27EB9">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XGBoost重分配初筛模型的训练过程如下：基于仿真生成的3,000个重分配样本进行训练，每个样本包含风险态势特征向量和对应的重分配标签（通过滚验评估生成）。模型采用二分类交叉熵损失函数，通过5折交叉验证进行超参数调优。</w:t>
      </w:r>
    </w:p>
    <w:p w14:paraId="5C88E613">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S63、经验迁移评估</w:t>
      </w:r>
    </w:p>
    <w:p w14:paraId="4B7AD872">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对于所述初筛模型输出置信度c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xgb</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低于预设阈值θ</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conf</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的样本，调用预训练的经验迁移评估器进行辅助判断。</w:t>
      </w:r>
    </w:p>
    <w:p w14:paraId="3483CF08">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所述经验迁移评估器采用基于实例的迁移学习方法，通过计算目标样本与源域样本之间的欧氏距离确定相似度：</w:t>
      </w:r>
    </w:p>
    <w:p w14:paraId="1DAE930B">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sim(x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target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 1 / (1 + ||x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target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2</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5AB6BAB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选择相似度最高的k个源域样本进行加权投票，输出迁移评估结果ŷ</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etre</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1A16B96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ŷ</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etre</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sign(∑</w:t>
      </w:r>
      <m:oMath>
        <m:sSubSup>
          <m:sSubSupPr>
            <m:ctrlPr>
              <w:rPr>
                <w:rFonts w:hint="default" w:ascii="Cambria Math" w:hAnsi="Cambria Math" w:eastAsia="宋体" w:cs="Times New Roman"/>
                <w:color w:val="auto"/>
                <w:sz w:val="26"/>
                <w:szCs w:val="26"/>
              </w:rPr>
            </m:ctrlPr>
          </m:sSubSup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m:t>
            </m:r>
            <m:r>
              <m:rPr>
                <m:nor/>
                <m:sty m:val="p"/>
              </m:rPr>
              <w:rPr>
                <w:rFonts w:hint="default" w:ascii="Times New Roman" w:hAnsi="Times New Roman" w:eastAsia="宋体" w:cs="Times New Roman"/>
                <w:b w:val="0"/>
                <w:i w:val="0"/>
                <w:color w:val="auto"/>
                <w:sz w:val="26"/>
                <w:szCs w:val="26"/>
              </w:rPr>
              <m:t>=</m:t>
            </m:r>
            <m:r>
              <m:rPr>
                <m:nor/>
                <m:sty m:val="p"/>
              </m:rPr>
              <w:rPr>
                <w:rFonts w:hint="default" w:ascii="Times New Roman" w:hAnsi="Times New Roman" w:eastAsia="宋体" w:cs="Times New Roman"/>
                <w:i w:val="0"/>
                <w:color w:val="auto"/>
                <w:sz w:val="26"/>
                <w:szCs w:val="26"/>
              </w:rPr>
              <m:t>1</m:t>
            </m:r>
            <m:ctrlPr>
              <w:rPr>
                <w:rFonts w:hint="default" w:ascii="Cambria Math" w:hAnsi="Cambria Math" w:eastAsia="宋体" w:cs="Times New Roman"/>
                <w:color w:val="auto"/>
                <w:sz w:val="26"/>
                <w:szCs w:val="26"/>
              </w:rPr>
            </m:ctrlPr>
          </m:sub>
          <m:sup>
            <m:r>
              <m:rPr>
                <m:nor/>
              </m:rPr>
              <w:rPr>
                <w:rFonts w:hint="default" w:ascii="Times New Roman" w:hAnsi="Times New Roman" w:eastAsia="宋体" w:cs="Times New Roman"/>
                <w:i/>
                <w:color w:val="auto"/>
                <w:sz w:val="26"/>
                <w:szCs w:val="26"/>
              </w:rPr>
              <m:t>k</m:t>
            </m:r>
            <m:ctrlPr>
              <w:rPr>
                <w:rFonts w:hint="default" w:ascii="Cambria Math" w:hAnsi="Cambria Math" w:eastAsia="宋体" w:cs="Times New Roman"/>
                <w:color w:val="auto"/>
                <w:sz w:val="26"/>
                <w:szCs w:val="26"/>
              </w:rPr>
            </m:ctrlPr>
          </m:sup>
        </m:sSubSup>
      </m:oMath>
      <w:r>
        <w:rPr>
          <w:rFonts w:hint="default" w:ascii="Times New Roman" w:hAnsi="Times New Roman" w:eastAsia="宋体" w:cs="Times New Roman"/>
          <w:color w:val="auto"/>
          <w:sz w:val="26"/>
          <w:szCs w:val="26"/>
        </w:rPr>
        <w:t xml:space="preserve"> sim(x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target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 y</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m</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45C1D60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权重视为相似度的归一化值。源域样本来源于已标注的历史风险场景数据，通过迁移学习解决了跨场景域适配问题。</w:t>
      </w:r>
    </w:p>
    <w:p w14:paraId="18084046">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S64、保守门控检测</w:t>
      </w:r>
    </w:p>
    <w:p w14:paraId="423DDC4B">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通过保守门控机制检测所述初筛模型或所述经验迁移评估器的预测不确定性。保守门控基于Conformal Prediction理论，通过在校准集上计算非一致性得分分布，对预测集合大小进行校准。</w:t>
      </w:r>
    </w:p>
    <w:p w14:paraId="63E78353">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预测不确定性u定义为预测集合大小的归一化值，即：</w:t>
      </w:r>
    </w:p>
    <w:p w14:paraId="6D7D109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u = |Ŷ(x)| / |Y|</w:t>
      </w:r>
    </w:p>
    <w:p w14:paraId="6226C6CD">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其中Ŷ(x)为预测集合，Y为所有可能标签的集合。若预测不确定性u &gt; θ</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gate</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超过预设门限，则判定为需要执行安全滚验。</w:t>
      </w:r>
    </w:p>
    <w:p w14:paraId="069BBDCC">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S65、局部影响域重分配</w:t>
      </w:r>
    </w:p>
    <w:p w14:paraId="4B0C7A43">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对于判定为需要重分配的事件，识别受所述风险事件影响的无人船集合V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impact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和任务集合T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impact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。无人船影响域定义为距离风险事件中心h跳通信范围内的船舶集合，任务影响域定义为这些船舶当前任务包中受风险事件影响的任务集合。</w:t>
      </w:r>
    </w:p>
    <w:p w14:paraId="1D8EC2AE">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在局部影响域内执行增量式重分配，仅对受影响船舶的任务包进行修复，不影响未受影响的船舶和任务。增量式重分配的具体步骤为：释放受影响船舶的当前任务包，保留未受影响船舶的分配方案，在局部影响域内重新执行CBBA分配流程（步骤S4），形成局部重分配方案。</w:t>
      </w:r>
    </w:p>
    <w:bookmarkEnd w:id="14"/>
    <w:p w14:paraId="005A26D4">
      <w:pPr>
        <w:pStyle w:val="5"/>
        <w:rPr>
          <w:rFonts w:hint="default" w:ascii="Times New Roman" w:hAnsi="Times New Roman" w:eastAsia="宋体" w:cs="Times New Roman"/>
          <w:color w:val="auto"/>
          <w:sz w:val="26"/>
          <w:szCs w:val="26"/>
        </w:rPr>
      </w:pPr>
      <w:bookmarkStart w:id="15" w:name="s7基于安全滚验的重分配方案复核"/>
      <w:r>
        <w:rPr>
          <w:rFonts w:hint="default" w:ascii="Times New Roman" w:hAnsi="Times New Roman" w:eastAsia="宋体" w:cs="Times New Roman"/>
          <w:color w:val="auto"/>
          <w:sz w:val="26"/>
          <w:szCs w:val="26"/>
        </w:rPr>
        <w:t>S7、基于安全滚验的重分配方案复核</w:t>
      </w:r>
    </w:p>
    <w:p w14:paraId="19762145">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对步骤S6生成的所述重分配方案，通过局部滚验安全复核机制进行验证。</w:t>
      </w:r>
    </w:p>
    <w:p w14:paraId="4227C87E">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对于所述重分配方案，模拟执行所述重分配方案中的任务序列，计算实际到达时间、实际风险指标R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actual</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和实际完成率C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actual</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34072FE3">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若满足以下条件则接受所述重分配方案：</w:t>
      </w:r>
    </w:p>
    <w:p w14:paraId="21E9328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（1）R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actual</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&lt; 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current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，即实际风险指标低于当前方案的对应指标；</w:t>
      </w:r>
    </w:p>
    <w:p w14:paraId="1EAD8722">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（2）C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actual</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C</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current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，即实际完成率不低于当前方案的完成率；</w:t>
      </w:r>
    </w:p>
    <w:p w14:paraId="13F6B76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（3）所有任务满足硬时间窗约束；</w:t>
      </w:r>
    </w:p>
    <w:p w14:paraId="091A93CE">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否则，拒绝所述重分配方案并保留当前方案。</w:t>
      </w:r>
    </w:p>
    <w:bookmarkEnd w:id="15"/>
    <w:p w14:paraId="189C51AB">
      <w:pPr>
        <w:pStyle w:val="5"/>
        <w:rPr>
          <w:rFonts w:hint="default" w:ascii="Times New Roman" w:hAnsi="Times New Roman" w:eastAsia="宋体" w:cs="Times New Roman"/>
          <w:color w:val="auto"/>
          <w:sz w:val="26"/>
          <w:szCs w:val="26"/>
        </w:rPr>
      </w:pPr>
      <w:bookmarkStart w:id="16" w:name="s8输出最优分配方案"/>
      <w:r>
        <w:rPr>
          <w:rFonts w:hint="default" w:ascii="Times New Roman" w:hAnsi="Times New Roman" w:eastAsia="宋体" w:cs="Times New Roman"/>
          <w:color w:val="auto"/>
          <w:sz w:val="26"/>
          <w:szCs w:val="26"/>
        </w:rPr>
        <w:t>S8、输出最优分配方案</w:t>
      </w:r>
    </w:p>
    <w:p w14:paraId="38DBDDDB">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经过步骤S1-S7处理后，输出包含每艘无人船的最终任务序列、详细执行时刻表、总航行距离和综合评价指标的最优任务分配方案。</w:t>
      </w:r>
    </w:p>
    <w:p w14:paraId="12D3CAF9">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综合评价指标包括：</w:t>
      </w:r>
    </w:p>
    <w:p w14:paraId="468C464B">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加权成功率：</w:t>
      </w:r>
    </w:p>
    <w:p w14:paraId="15EF5EFD">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WSR = ∑</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p</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success</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p</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p>
    <w:p w14:paraId="2B03F96C">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其中p</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为任务j的优先级，success</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为任务j是否成功完成。</w:t>
      </w:r>
    </w:p>
    <w:p w14:paraId="07B7902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绝对完成率：</w:t>
      </w:r>
    </w:p>
    <w:p w14:paraId="67BC61A6">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ACR = n</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completed</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n</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oMath>
    </w:p>
    <w:p w14:paraId="60F3187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其中n</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completed</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为已完成任务数，n</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为任务总数。</w:t>
      </w:r>
    </w:p>
    <w:p w14:paraId="4855148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平均风险：</w:t>
      </w:r>
    </w:p>
    <w:p w14:paraId="465B8571">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AVG_RISK = (1/n</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assigned</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 ∑</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assigned</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p>
    <w:p w14:paraId="36D418A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其中R</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为任务j的风险值。</w:t>
      </w:r>
    </w:p>
    <w:p w14:paraId="7DFD72B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高风险失败率：</w:t>
      </w:r>
    </w:p>
    <w:p w14:paraId="51A5EBA6">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HRFR = n</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h</m:t>
            </m:r>
            <m:r>
              <m:rPr>
                <m:nor/>
              </m:rPr>
              <w:rPr>
                <w:rFonts w:hint="default" w:ascii="Times New Roman" w:hAnsi="Times New Roman" w:eastAsia="宋体" w:cs="Times New Roman"/>
                <w:i/>
                <w:color w:val="auto"/>
                <w:sz w:val="26"/>
                <w:szCs w:val="26"/>
              </w:rPr>
              <m:t>ig</m:t>
            </m:r>
            <m:r>
              <m:rPr>
                <m:nor/>
                <m:sty m:val="p"/>
              </m:rPr>
              <w:rPr>
                <w:rFonts w:hint="default" w:ascii="Times New Roman" w:hAnsi="Times New Roman" w:eastAsia="宋体" w:cs="Times New Roman"/>
                <w:i w:val="0"/>
                <w:color w:val="auto"/>
                <w:sz w:val="26"/>
                <w:szCs w:val="26"/>
              </w:rPr>
              <m:t>h</m:t>
            </m:r>
            <m:r>
              <m:rPr>
                <m:nor/>
                <m:sty m:val="p"/>
              </m:rPr>
              <w:rPr>
                <w:rFonts w:hint="default" w:ascii="Times New Roman" w:hAnsi="Times New Roman" w:eastAsia="宋体" w:cs="Times New Roman"/>
                <w:b w:val="0"/>
                <w:i w:val="0"/>
                <w:color w:val="auto"/>
                <w:sz w:val="26"/>
                <w:szCs w:val="26"/>
              </w:rPr>
              <m:t>_</m:t>
            </m:r>
            <m:r>
              <m:rPr>
                <m:nor/>
              </m:rPr>
              <w:rPr>
                <w:rFonts w:hint="default" w:ascii="Times New Roman" w:hAnsi="Times New Roman" w:eastAsia="宋体" w:cs="Times New Roman"/>
                <w:i/>
                <w:color w:val="auto"/>
                <w:sz w:val="26"/>
                <w:szCs w:val="26"/>
              </w:rPr>
              <m:t>risk</m:t>
            </m:r>
            <m:r>
              <m:rPr>
                <m:nor/>
                <m:sty m:val="p"/>
              </m:rPr>
              <w:rPr>
                <w:rFonts w:hint="default" w:ascii="Times New Roman" w:hAnsi="Times New Roman" w:eastAsia="宋体" w:cs="Times New Roman"/>
                <w:b w:val="0"/>
                <w:i w:val="0"/>
                <w:color w:val="auto"/>
                <w:sz w:val="26"/>
                <w:szCs w:val="26"/>
              </w:rPr>
              <m:t>_</m:t>
            </m:r>
            <m:r>
              <m:rPr>
                <m:nor/>
              </m:rPr>
              <w:rPr>
                <w:rFonts w:hint="default" w:ascii="Times New Roman" w:hAnsi="Times New Roman" w:eastAsia="宋体" w:cs="Times New Roman"/>
                <w:i/>
                <w:color w:val="auto"/>
                <w:sz w:val="26"/>
                <w:szCs w:val="26"/>
              </w:rPr>
              <m:t>failed</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n</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h</m:t>
            </m:r>
            <m:r>
              <m:rPr>
                <m:nor/>
              </m:rPr>
              <w:rPr>
                <w:rFonts w:hint="default" w:ascii="Times New Roman" w:hAnsi="Times New Roman" w:eastAsia="宋体" w:cs="Times New Roman"/>
                <w:i/>
                <w:color w:val="auto"/>
                <w:sz w:val="26"/>
                <w:szCs w:val="26"/>
              </w:rPr>
              <m:t>ig</m:t>
            </m:r>
            <m:r>
              <m:rPr>
                <m:nor/>
                <m:sty m:val="p"/>
              </m:rPr>
              <w:rPr>
                <w:rFonts w:hint="default" w:ascii="Times New Roman" w:hAnsi="Times New Roman" w:eastAsia="宋体" w:cs="Times New Roman"/>
                <w:i w:val="0"/>
                <w:color w:val="auto"/>
                <w:sz w:val="26"/>
                <w:szCs w:val="26"/>
              </w:rPr>
              <m:t>h</m:t>
            </m:r>
            <m:r>
              <m:rPr>
                <m:nor/>
                <m:sty m:val="p"/>
              </m:rPr>
              <w:rPr>
                <w:rFonts w:hint="default" w:ascii="Times New Roman" w:hAnsi="Times New Roman" w:eastAsia="宋体" w:cs="Times New Roman"/>
                <w:b w:val="0"/>
                <w:i w:val="0"/>
                <w:color w:val="auto"/>
                <w:sz w:val="26"/>
                <w:szCs w:val="26"/>
              </w:rPr>
              <m:t>_</m:t>
            </m:r>
            <m:r>
              <m:rPr>
                <m:nor/>
              </m:rPr>
              <w:rPr>
                <w:rFonts w:hint="default" w:ascii="Times New Roman" w:hAnsi="Times New Roman" w:eastAsia="宋体" w:cs="Times New Roman"/>
                <w:i/>
                <w:color w:val="auto"/>
                <w:sz w:val="26"/>
                <w:szCs w:val="26"/>
              </w:rPr>
              <m:t>risk</m:t>
            </m:r>
            <m:ctrlPr>
              <w:rPr>
                <w:rFonts w:hint="default" w:ascii="Cambria Math" w:hAnsi="Cambria Math" w:eastAsia="宋体" w:cs="Times New Roman"/>
                <w:color w:val="auto"/>
                <w:sz w:val="26"/>
                <w:szCs w:val="26"/>
              </w:rPr>
            </m:ctrlPr>
          </m:sub>
        </m:sSub>
      </m:oMath>
    </w:p>
    <w:p w14:paraId="0738B979">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其中n</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h</m:t>
            </m:r>
            <m:r>
              <m:rPr>
                <m:nor/>
              </m:rPr>
              <w:rPr>
                <w:rFonts w:hint="default" w:ascii="Times New Roman" w:hAnsi="Times New Roman" w:eastAsia="宋体" w:cs="Times New Roman"/>
                <w:i/>
                <w:color w:val="auto"/>
                <w:sz w:val="26"/>
                <w:szCs w:val="26"/>
              </w:rPr>
              <m:t>ig</m:t>
            </m:r>
            <m:r>
              <m:rPr>
                <m:nor/>
                <m:sty m:val="p"/>
              </m:rPr>
              <w:rPr>
                <w:rFonts w:hint="default" w:ascii="Times New Roman" w:hAnsi="Times New Roman" w:eastAsia="宋体" w:cs="Times New Roman"/>
                <w:i w:val="0"/>
                <w:color w:val="auto"/>
                <w:sz w:val="26"/>
                <w:szCs w:val="26"/>
              </w:rPr>
              <m:t>h</m:t>
            </m:r>
            <m:r>
              <m:rPr>
                <m:nor/>
                <m:sty m:val="p"/>
              </m:rPr>
              <w:rPr>
                <w:rFonts w:hint="default" w:ascii="Times New Roman" w:hAnsi="Times New Roman" w:eastAsia="宋体" w:cs="Times New Roman"/>
                <w:b w:val="0"/>
                <w:i w:val="0"/>
                <w:color w:val="auto"/>
                <w:sz w:val="26"/>
                <w:szCs w:val="26"/>
              </w:rPr>
              <m:t>_</m:t>
            </m:r>
            <m:r>
              <m:rPr>
                <m:nor/>
              </m:rPr>
              <w:rPr>
                <w:rFonts w:hint="default" w:ascii="Times New Roman" w:hAnsi="Times New Roman" w:eastAsia="宋体" w:cs="Times New Roman"/>
                <w:i/>
                <w:color w:val="auto"/>
                <w:sz w:val="26"/>
                <w:szCs w:val="26"/>
              </w:rPr>
              <m:t>risk</m:t>
            </m:r>
            <m:r>
              <m:rPr>
                <m:nor/>
                <m:sty m:val="p"/>
              </m:rPr>
              <w:rPr>
                <w:rFonts w:hint="default" w:ascii="Times New Roman" w:hAnsi="Times New Roman" w:eastAsia="宋体" w:cs="Times New Roman"/>
                <w:b w:val="0"/>
                <w:i w:val="0"/>
                <w:color w:val="auto"/>
                <w:sz w:val="26"/>
                <w:szCs w:val="26"/>
              </w:rPr>
              <m:t>_</m:t>
            </m:r>
            <m:r>
              <m:rPr>
                <m:nor/>
              </m:rPr>
              <w:rPr>
                <w:rFonts w:hint="default" w:ascii="Times New Roman" w:hAnsi="Times New Roman" w:eastAsia="宋体" w:cs="Times New Roman"/>
                <w:i/>
                <w:color w:val="auto"/>
                <w:sz w:val="26"/>
                <w:szCs w:val="26"/>
              </w:rPr>
              <m:t>failed</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为高风险任务中失败的数量，n</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h</m:t>
            </m:r>
            <m:r>
              <m:rPr>
                <m:nor/>
              </m:rPr>
              <w:rPr>
                <w:rFonts w:hint="default" w:ascii="Times New Roman" w:hAnsi="Times New Roman" w:eastAsia="宋体" w:cs="Times New Roman"/>
                <w:i/>
                <w:color w:val="auto"/>
                <w:sz w:val="26"/>
                <w:szCs w:val="26"/>
              </w:rPr>
              <m:t>ig</m:t>
            </m:r>
            <m:r>
              <m:rPr>
                <m:nor/>
                <m:sty m:val="p"/>
              </m:rPr>
              <w:rPr>
                <w:rFonts w:hint="default" w:ascii="Times New Roman" w:hAnsi="Times New Roman" w:eastAsia="宋体" w:cs="Times New Roman"/>
                <w:i w:val="0"/>
                <w:color w:val="auto"/>
                <w:sz w:val="26"/>
                <w:szCs w:val="26"/>
              </w:rPr>
              <m:t>h</m:t>
            </m:r>
            <m:r>
              <m:rPr>
                <m:nor/>
                <m:sty m:val="p"/>
              </m:rPr>
              <w:rPr>
                <w:rFonts w:hint="default" w:ascii="Times New Roman" w:hAnsi="Times New Roman" w:eastAsia="宋体" w:cs="Times New Roman"/>
                <w:b w:val="0"/>
                <w:i w:val="0"/>
                <w:color w:val="auto"/>
                <w:sz w:val="26"/>
                <w:szCs w:val="26"/>
              </w:rPr>
              <m:t>_</m:t>
            </m:r>
            <m:r>
              <m:rPr>
                <m:nor/>
              </m:rPr>
              <w:rPr>
                <w:rFonts w:hint="default" w:ascii="Times New Roman" w:hAnsi="Times New Roman" w:eastAsia="宋体" w:cs="Times New Roman"/>
                <w:i/>
                <w:color w:val="auto"/>
                <w:sz w:val="26"/>
                <w:szCs w:val="26"/>
              </w:rPr>
              <m:t>risk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为高风险任务总数。</w:t>
      </w:r>
    </w:p>
    <w:p w14:paraId="431BEB5D">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多目标综合得分：</w:t>
      </w:r>
    </w:p>
    <w:p w14:paraId="357E14B7">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MO_SCORE = 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1</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·WSR + 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2</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·ACR − 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3</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·AVG_RISK − 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4</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·ENERGY_RISK</w:t>
      </w:r>
    </w:p>
    <w:p w14:paraId="1FD21F8C">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其中w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1</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=0.30、w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2</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=0.25、w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3</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=0.25、w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4</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=0.20为权重系数。</w:t>
      </w:r>
    </w:p>
    <w:bookmarkEnd w:id="8"/>
    <w:bookmarkEnd w:id="16"/>
    <w:p w14:paraId="5118577C">
      <w:pPr>
        <w:pStyle w:val="4"/>
        <w:rPr>
          <w:rFonts w:hint="default" w:ascii="Times New Roman" w:hAnsi="Times New Roman" w:eastAsia="宋体" w:cs="Times New Roman"/>
          <w:color w:val="auto"/>
          <w:sz w:val="26"/>
          <w:szCs w:val="26"/>
        </w:rPr>
      </w:pPr>
      <w:bookmarkStart w:id="17" w:name="优选实施方式优化步骤"/>
      <w:r>
        <w:rPr>
          <w:rFonts w:hint="default" w:ascii="Times New Roman" w:hAnsi="Times New Roman" w:eastAsia="宋体" w:cs="Times New Roman"/>
          <w:color w:val="auto"/>
          <w:sz w:val="26"/>
          <w:szCs w:val="26"/>
        </w:rPr>
        <w:t>优选实施方式——优化步骤</w:t>
      </w:r>
    </w:p>
    <w:p w14:paraId="14697C0C">
      <w:pPr>
        <w:pStyle w:val="2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在优选实施方式中，本发明还包括以下优化步骤中的至少一项：</w:t>
      </w:r>
    </w:p>
    <w:p w14:paraId="081FCA02">
      <w:pPr>
        <w:pStyle w:val="5"/>
        <w:rPr>
          <w:rFonts w:hint="default" w:ascii="Times New Roman" w:hAnsi="Times New Roman" w:eastAsia="宋体" w:cs="Times New Roman"/>
          <w:color w:val="auto"/>
          <w:sz w:val="26"/>
          <w:szCs w:val="26"/>
        </w:rPr>
      </w:pPr>
      <w:bookmarkStart w:id="18" w:name="s9双层路径优化"/>
      <w:r>
        <w:rPr>
          <w:rFonts w:hint="default" w:ascii="Times New Roman" w:hAnsi="Times New Roman" w:eastAsia="宋体" w:cs="Times New Roman"/>
          <w:color w:val="auto"/>
          <w:sz w:val="26"/>
          <w:szCs w:val="26"/>
        </w:rPr>
        <w:t>S9、双层路径优化</w:t>
      </w:r>
    </w:p>
    <w:p w14:paraId="738CE0B7">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采用贪心构造与局部搜索结合的双层策略对每艘无人船的任务执行序列进行优化。</w:t>
      </w:r>
    </w:p>
    <w:p w14:paraId="2A7F371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S91、初始路径构造</w:t>
      </w:r>
    </w:p>
    <w:p w14:paraId="6862AC30">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利用贪心最近邻算法生成满足硬时间窗约束的初始可行路径。对于每艘船舶，初始化已访问任务集合为空，当前位置为船舶起始位置，当前时间为零。在构建过程中，遍历未访问任务集合，计算当前位置到各候选任务的预计到达时间。执行硬时间窗校验，剔除所有到达时间超过任务截止时间的不可行任务。在剩余的可行任务候选中，选择距离当前位置最近的任务加入路径，更新当前位置及当前时间（取到达时间与任务最早开始时间的较大值加上执行时长）。重复此过程直至无法添加新任务，形成初始路径。</w:t>
      </w:r>
    </w:p>
    <w:p w14:paraId="088B05AF">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S92、路径迭代改良</w:t>
      </w:r>
    </w:p>
    <w:p w14:paraId="1E1DFED5">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在初始路径的基础上，引入2-opt局部搜索机制进行迭代优化。对于长度n的路径，遍历所有可能的边对组合，选择位置i和位置j的两条边，其中i&lt;j。执行移动操作：删除边(i,i+1)和(j,j+1)，反转子路径i+1至j，形成新的连接方式。计算原路径总距离和操作后路径总距离的差值，得到距离增益。若距离增益大于零且新路径满足所有任务的时间窗约束，则接受对应的移动操作。重复进行迭代搜索，直至达到最大迭代次数或无法找到更优解。</w:t>
      </w:r>
    </w:p>
    <w:p w14:paraId="23D6ECA0">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该双层策略首先保证了生成的路径在物理上绝对可行（不违反时间窗），随后通过局部搜索消除了贪心算法可能产生的路径交叉现象，在不破坏时序约束的前提下显著缩短了总航行距离。</w:t>
      </w:r>
    </w:p>
    <w:bookmarkEnd w:id="18"/>
    <w:p w14:paraId="0AAC7A06">
      <w:pPr>
        <w:pStyle w:val="5"/>
        <w:rPr>
          <w:rFonts w:hint="default" w:ascii="Times New Roman" w:hAnsi="Times New Roman" w:eastAsia="宋体" w:cs="Times New Roman"/>
          <w:color w:val="auto"/>
          <w:sz w:val="26"/>
          <w:szCs w:val="26"/>
        </w:rPr>
      </w:pPr>
      <w:bookmarkStart w:id="19" w:name="s10基于紧迫度的未分配任务插入"/>
      <w:r>
        <w:rPr>
          <w:rFonts w:hint="default" w:ascii="Times New Roman" w:hAnsi="Times New Roman" w:eastAsia="宋体" w:cs="Times New Roman"/>
          <w:color w:val="auto"/>
          <w:sz w:val="26"/>
          <w:szCs w:val="26"/>
        </w:rPr>
        <w:t>S10、基于紧迫度的未分配任务插入</w:t>
      </w:r>
    </w:p>
    <w:p w14:paraId="7701DC5C">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识别在步骤S4阶段未被分配的任务。为了优先解决调度难度大的任务，对未分配任务按时间窗紧迫度指标排序。紧迫度定义为时间窗宽度加一的倒数：</w:t>
      </w:r>
    </w:p>
    <w:p w14:paraId="61DE37BB">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urgency</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1 /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end</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TW</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start</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+ 1)</w:t>
      </w:r>
    </w:p>
    <w:p w14:paraId="14677F3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时间窗越窄的任务紧迫性越高，按紧迫性降序处理未分配任务。</w:t>
      </w:r>
    </w:p>
    <w:p w14:paraId="7DD3CC1F">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采用贪心插入策略尝试插入到各无人船的任务序列中。对于将任务j插入到船舶i的路径位置k，计算边际成本增量Δcost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18E3E52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若k=0（插入到开头）：</w:t>
      </w:r>
    </w:p>
    <w:p w14:paraId="2B5D0BD7">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Δcost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r>
              <m:rPr>
                <m:nor/>
                <m:sty m:val="p"/>
              </m:rPr>
              <w:rPr>
                <w:rFonts w:hint="default" w:ascii="Times New Roman" w:hAnsi="Times New Roman" w:eastAsia="宋体" w:cs="Times New Roman"/>
                <w:i w:val="0"/>
                <w:color w:val="auto"/>
                <w:sz w:val="26"/>
                <w:szCs w:val="26"/>
              </w:rPr>
              <m:t>0</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dist(s</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 dist(t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[1]) − dist(s</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[1])</w:t>
      </w:r>
    </w:p>
    <w:p w14:paraId="0C8076A8">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若0&lt;k&lt;|path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|（插入到中间）：</w:t>
      </w:r>
    </w:p>
    <w:p w14:paraId="4D9C0DE5">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Δcost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ijk</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dist(path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[k], 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 dist(t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[k+1]) − dist(path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[k], 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[k+1])</w:t>
      </w:r>
    </w:p>
    <w:p w14:paraId="78C126AB">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若k=|path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|（插入到末尾）：</w:t>
      </w:r>
    </w:p>
    <w:p w14:paraId="4F6605D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Δcost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ij</m:t>
            </m:r>
            <m:r>
              <m:rPr>
                <m:nor/>
                <m:sty m:val="p"/>
              </m:rPr>
              <w:rPr>
                <w:rFonts w:hint="default" w:ascii="Times New Roman" w:hAnsi="Times New Roman" w:eastAsia="宋体" w:cs="Times New Roman"/>
                <w:b w:val="0"/>
                <w:i w:val="0"/>
                <w:color w:val="auto"/>
                <w:sz w:val="26"/>
                <w:szCs w:val="26"/>
              </w:rPr>
              <m:t>,|</m:t>
            </m:r>
            <m:r>
              <m:rPr>
                <m:nor/>
              </m:rPr>
              <w:rPr>
                <w:rFonts w:hint="default" w:ascii="Times New Roman" w:hAnsi="Times New Roman" w:eastAsia="宋体" w:cs="Times New Roman"/>
                <w:i/>
                <w:color w:val="auto"/>
                <w:sz w:val="26"/>
                <w:szCs w:val="26"/>
              </w:rPr>
              <m:t>pat</m:t>
            </m:r>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h</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r>
              <m:rPr>
                <m:nor/>
                <m:sty m:val="p"/>
              </m:rPr>
              <w:rPr>
                <w:rFonts w:hint="default" w:ascii="Times New Roman" w:hAnsi="Times New Roman" w:eastAsia="宋体" w:cs="Times New Roman"/>
                <w:b w:val="0"/>
                <w:i w:val="0"/>
                <w:color w:val="auto"/>
                <w:sz w:val="26"/>
                <w:szCs w:val="26"/>
              </w:rPr>
              <m:t>|</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dist(path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[|path</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t</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j</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w:t>
      </w:r>
    </w:p>
    <w:p w14:paraId="007A78D4">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对每个插入位置构造临时路径并执行时间窗约束检查，判定其可行性。在所有可行插入方案中，选择边际成本增量最小的方案。</w:t>
      </w:r>
    </w:p>
    <w:p w14:paraId="48625C57">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若找到可行插入方案，更新路径和任务包。重复此过程直至无法插入更多任务。</w:t>
      </w:r>
    </w:p>
    <w:bookmarkEnd w:id="19"/>
    <w:p w14:paraId="6117D1F9">
      <w:pPr>
        <w:pStyle w:val="5"/>
        <w:rPr>
          <w:rFonts w:hint="default" w:ascii="Times New Roman" w:hAnsi="Times New Roman" w:eastAsia="宋体" w:cs="Times New Roman"/>
          <w:color w:val="auto"/>
          <w:sz w:val="26"/>
          <w:szCs w:val="26"/>
        </w:rPr>
      </w:pPr>
      <w:bookmarkStart w:id="20" w:name="s11多船负载均衡调整"/>
      <w:r>
        <w:rPr>
          <w:rFonts w:hint="default" w:ascii="Times New Roman" w:hAnsi="Times New Roman" w:eastAsia="宋体" w:cs="Times New Roman"/>
          <w:color w:val="auto"/>
          <w:sz w:val="26"/>
          <w:szCs w:val="26"/>
        </w:rPr>
        <w:t>S11、多船负载均衡调整</w:t>
      </w:r>
    </w:p>
    <w:p w14:paraId="62AEB858">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计算各无人船的任务负载量L</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|bundle</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|，识别高负载船舶V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sty m:val="p"/>
              </m:rPr>
              <w:rPr>
                <w:rFonts w:hint="default" w:ascii="Times New Roman" w:hAnsi="Times New Roman" w:eastAsia="宋体" w:cs="Times New Roman"/>
                <w:i w:val="0"/>
                <w:color w:val="auto"/>
                <w:sz w:val="26"/>
                <w:szCs w:val="26"/>
              </w:rPr>
              <m:t>h</m:t>
            </m:r>
            <m:r>
              <m:rPr>
                <m:nor/>
              </m:rPr>
              <w:rPr>
                <w:rFonts w:hint="default" w:ascii="Times New Roman" w:hAnsi="Times New Roman" w:eastAsia="宋体" w:cs="Times New Roman"/>
                <w:i/>
                <w:color w:val="auto"/>
                <w:sz w:val="26"/>
                <w:szCs w:val="26"/>
              </w:rPr>
              <m:t>ig</m:t>
            </m:r>
            <m:r>
              <m:rPr>
                <m:nor/>
                <m:sty m:val="p"/>
              </m:rPr>
              <w:rPr>
                <w:rFonts w:hint="default" w:ascii="Times New Roman" w:hAnsi="Times New Roman" w:eastAsia="宋体" w:cs="Times New Roman"/>
                <w:i w:val="0"/>
                <w:color w:val="auto"/>
                <w:sz w:val="26"/>
                <w:szCs w:val="26"/>
              </w:rPr>
              <m:t>h</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i | L</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&gt; L̅·1.2和低负载船舶V</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low</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i | L</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&lt; L̅·0.8，其中L̅为平均负载量。</w:t>
      </w:r>
    </w:p>
    <w:p w14:paraId="519038EA">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在满足能力匹配与时间窗约束的前提下，执行任务转移操作：将高负载船舶任务序列中处于末端或后部的任务重新分配给低负载船舶。对于待转移任务，在低负载船舶的路径中寻找边际成本增量最小且满足时间窗约束的插入位置，若存在可行位置则执行转移。</w:t>
      </w:r>
    </w:p>
    <w:p w14:paraId="0F00BDD9">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负载均衡调整收敛条件为：|L</w:t>
      </w:r>
      <m:oMath>
        <m:sSub>
          <m:sSubPr>
            <m:ctrlPr>
              <w:rPr>
                <w:rFonts w:hint="default" w:ascii="Cambria Math" w:hAnsi="Cambria Math" w:eastAsia="宋体" w:cs="Times New Roman"/>
                <w:color w:val="auto"/>
                <w:sz w:val="26"/>
                <w:szCs w:val="26"/>
              </w:rPr>
            </m:ctrlPr>
          </m:sSubPr>
          <m:e>
            <m:r>
              <m:rPr>
                <m:nor/>
                <m:sty m:val="p"/>
              </m:rPr>
              <w:rPr>
                <w:rFonts w:hint="default" w:ascii="Times New Roman" w:hAnsi="Times New Roman" w:eastAsia="宋体" w:cs="Times New Roman"/>
                <w:i w:val="0"/>
                <w:color w:val="auto"/>
                <w:sz w:val="26"/>
                <w:szCs w:val="26"/>
              </w:rPr>
              <m:t>​</m:t>
            </m:r>
            <m:ctrlPr>
              <w:rPr>
                <w:rFonts w:hint="default" w:ascii="Cambria Math" w:hAnsi="Cambria Math" w:eastAsia="宋体" w:cs="Times New Roman"/>
                <w:color w:val="auto"/>
                <w:sz w:val="26"/>
                <w:szCs w:val="26"/>
              </w:rPr>
            </m:ctrlPr>
          </m:e>
          <m:sub>
            <m:r>
              <m:rPr>
                <m:nor/>
              </m:rPr>
              <w:rPr>
                <w:rFonts w:hint="default" w:ascii="Times New Roman" w:hAnsi="Times New Roman" w:eastAsia="宋体" w:cs="Times New Roman"/>
                <w:i/>
                <w:color w:val="auto"/>
                <w:sz w:val="26"/>
                <w:szCs w:val="26"/>
              </w:rPr>
              <m:t>i</m:t>
            </m:r>
            <m:ctrlPr>
              <w:rPr>
                <w:rFonts w:hint="default" w:ascii="Cambria Math" w:hAnsi="Cambria Math" w:eastAsia="宋体" w:cs="Times New Roman"/>
                <w:color w:val="auto"/>
                <w:sz w:val="26"/>
                <w:szCs w:val="26"/>
              </w:rPr>
            </m:ctrlPr>
          </m:sub>
        </m:sSub>
      </m:oMath>
      <w:r>
        <w:rPr>
          <w:rFonts w:hint="default" w:ascii="Times New Roman" w:hAnsi="Times New Roman" w:eastAsia="宋体" w:cs="Times New Roman"/>
          <w:color w:val="auto"/>
          <w:sz w:val="26"/>
          <w:szCs w:val="26"/>
        </w:rPr>
        <w:t xml:space="preserve"> − L̅| &lt; 0.1·L̅，即各船舶负载量与平均负载量的偏差不超过平均负载量的10%时，停止调整。</w:t>
      </w:r>
    </w:p>
    <w:bookmarkEnd w:id="17"/>
    <w:bookmarkEnd w:id="20"/>
    <w:p w14:paraId="0059A347">
      <w:pPr>
        <w:pStyle w:val="4"/>
        <w:rPr>
          <w:rFonts w:hint="default" w:ascii="Times New Roman" w:hAnsi="Times New Roman" w:eastAsia="宋体" w:cs="Times New Roman"/>
          <w:color w:val="auto"/>
          <w:sz w:val="26"/>
          <w:szCs w:val="26"/>
        </w:rPr>
      </w:pPr>
      <w:bookmarkStart w:id="21" w:name="实验验证"/>
      <w:r>
        <w:rPr>
          <w:rFonts w:hint="default" w:ascii="Times New Roman" w:hAnsi="Times New Roman" w:eastAsia="宋体" w:cs="Times New Roman"/>
          <w:color w:val="auto"/>
          <w:sz w:val="26"/>
          <w:szCs w:val="26"/>
        </w:rPr>
        <w:t>实验验证</w:t>
      </w:r>
    </w:p>
    <w:p w14:paraId="511BDA93">
      <w:pPr>
        <w:pStyle w:val="2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为全面验证RA-CBBA-D算法在海上无人船遇险搜救任务中的有效性和适用性，设计了T1-T5五级梯度仿真场景以及3个半真实海事场景（旧金山湾、长江口、墨西哥湾长窗口），并与standard_CBBA、aCBBA、CBBA_lr、CBBA_pr、CBBA_relay及中心式GA算法共6类基线进行对比测试。各基线算法的核心机制简述如下：standard_CBBA为标准共识捆绑拍卖；aCBBA采用异步通信机制；CBBA_lr和CBBA_pr分别采用局部重规划和部分重规划策略；CBBA_relay考虑通信中继约束；GA为中心式遗传算法。</w:t>
      </w:r>
    </w:p>
    <w:p w14:paraId="50430BD0">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场景配置说明：</w:t>
      </w:r>
    </w:p>
    <w:p w14:paraId="14B9185A">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仿真场景按T1-T5逐级提升难度：T1为小规模高压基础场景（5艘船、16-20个任务、海况1-2级）；T2为常规标准场景（8艘船、24-30个任务、海况2-3级）；T3为复杂压力场景（12艘船、32-40个任务、海况3-4级）；T4为高密度动态场景（16艘船、40-50个任务、海况4-5级）；T5为极端极限场景（20艘船、50-60个任务、海况5-6级）。</w:t>
      </w:r>
    </w:p>
    <w:p w14:paraId="51355FDE">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半真实场景基于NOAA NDBC浮标数据与AIS实测数据构建。</w:t>
      </w:r>
    </w:p>
    <w:p w14:paraId="655C8091">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每个仿真场景重复100次独立实验，通信受限实验每组合重复20次，半真实场景分别采用30-50个随机种子。</w:t>
      </w:r>
    </w:p>
    <w:p w14:paraId="5FE02E9E">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单次运行平均耗时：RA-CBBA-D约2.5秒，GA约48秒（24代×40种群规模），证明了局部增量修复的实时性优势。</w:t>
      </w:r>
    </w:p>
    <w:p w14:paraId="47E4525A">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（1）T1-T5主实验分析</w:t>
      </w:r>
    </w:p>
    <w:p w14:paraId="11F852C0">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在T1-T5全场景中，RA-CBBA-D在WSR（加权成功率）、ACR（绝对完成率）、AVG_RISK（平均风险）、HRFR（高风险失败率）及MO_SCORE（综合得分）五项核心指标上均处于领先地位。T1场景中，RA-CBBA-D的WSR均值0.582、ACR均值0.711，相对各基线算法WSR提升24.5%-35.1%，HRFR相对aCBBA降幅达73.72%。T3复杂压力场景中，传统分布式CBBA算法ACR普遍降至0.6以下，RA-CBBA-D依靠非对称共识与局部重分配机制保持WSR均值0.698、ACR均值0.805，相对第二名提升超18%。T4高密度动态场景中，传统算法性能波动幅度为RA-CBBA-D的3倍以上，RA-CBBA-D全程保持WSR均值0.680、ACR均值0.760。T5极端场景中，多数传统算法ACR降至0.3以下，RA-CBBA-D凭借四层安全链路保持WSR均值0.520、ACR均值0.610，HRFR相比其他算法降幅超60%。</w:t>
      </w:r>
    </w:p>
    <w:p w14:paraId="10E5888B">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（2）消融实验分析</w:t>
      </w:r>
    </w:p>
    <w:p w14:paraId="54717136">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通过逐一移除RA-CBBA-D的5个核心模块，量化各机制贡献。各模块对应关系为：A1对应风险态势分类器（步骤S3），A2对应风险分层捆绑（步骤S42），A3对应非对称共识机制（步骤S43），A4对应保守门控（步骤S64），A5对应局部影响域（步骤S65）。移除XGBoost风险态势分类器（A1）后，WSR下降7.6%、ACR下降9.3%、HRFR大幅上升229.6%、MO_SCORE下降10.5%，是所有模块中对性能影响最大的核心支撑模块。移除保守门控（A4）后，HRFR上升31.3%，安全风险控制能力显著下降。移除非对称共识机制（A3）后，所有核心性能指标有0.6%-2.0%的小幅正向提升，表明其核心价值为降低计算开销和通信负担而非直接性能增益。移除局部影响域改用全局重分配（A5）后，计算耗时增加320%，证明了局部增量修复的算力优势。完整算法在WSR、ACR、HRFR、MO_SCORE等所有核心指标上处于最优区间。</w:t>
      </w:r>
    </w:p>
    <w:p w14:paraId="73103E14">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（3）通信受限实验分析</w:t>
      </w:r>
    </w:p>
    <w:p w14:paraId="0E1673F0">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基于ITU-R海事通信标准与Iridium卫星实测技术指标，构建VHF视距平静、VHF中等扰动、AIS繁忙网状、卫星SBD间歇、HF SSB退化5类通信剖面（时延60ms-9000ms，丢包率0.02-0.26）。RA-CBBA-D在五个层级中均获得最高MO_SCORE表现。从VHF平静退化到HF SSB时，RA-CBBA-D的相对优势持续扩大。RA-CBBA-D的通信恢复能力评分均值为0.780，显著高于CBBA-LR（0.680）和GA（0.634），表明其非对称共识机制与局部重分配机制能有效降低通信依赖。所有对比算法随通信恶化性能均下降，但RA-CBBA-D衰减最缓慢。</w:t>
      </w:r>
    </w:p>
    <w:p w14:paraId="35F84B5E">
      <w:pPr>
        <w:pStyle w:val="3"/>
        <w:rPr>
          <w:rFonts w:hint="default" w:ascii="Times New Roman" w:hAnsi="Times New Roman" w:eastAsia="宋体" w:cs="Times New Roman"/>
          <w:color w:val="auto"/>
          <w:sz w:val="26"/>
          <w:szCs w:val="26"/>
        </w:rPr>
      </w:pPr>
      <w:r>
        <w:rPr>
          <w:rFonts w:hint="default" w:ascii="Times New Roman" w:hAnsi="Times New Roman" w:eastAsia="宋体" w:cs="Times New Roman"/>
          <w:b/>
          <w:bCs/>
          <w:color w:val="auto"/>
          <w:sz w:val="26"/>
          <w:szCs w:val="26"/>
        </w:rPr>
        <w:t>（4）统计检验分析</w:t>
      </w:r>
    </w:p>
    <w:p w14:paraId="161E792B">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基于T1-T5全场景实验数据，采用Welch t检验与Mann-Whitney U检验双重验证。经Shapiro-Wilk检验，部分数据不满足正态分布（p&lt;0.05），故采用不要求正态性前提的Mann-Whitney U检验作为主检验，Welch t检验作为辅助验证。经BH-FDR法校正后规定q&lt;0.05为差异显著，结合Cohen’s d效应量量化差异幅度。RA-CBBA-D在WSR、ACR、HRFR、MO_SCORE四项指标上相对全部基线算法的校正后q值均远小于0.001，差异具备极强统计学意义。HRFR指标的Cohen’s d普遍大于0.8（大效应），部分场景高达3.12。与GA对比中，AVG_RISK维度两者无显著差异（降幅仅1.65%，q=0.358），证明评测体系公平；但WSR/ACR/MO_SCORE维度RA-CBBA-D显著优于GA。</w:t>
      </w:r>
    </w:p>
    <w:p w14:paraId="59B7F6BD">
      <w:pPr>
        <w:pStyle w:val="3"/>
        <w:ind w:firstLine="720" w:firstLineChars="0"/>
        <w:rPr>
          <w:rFonts w:hint="default" w:ascii="Times New Roman" w:hAnsi="Times New Roman" w:eastAsia="宋体" w:cs="Times New Roman"/>
          <w:color w:val="auto"/>
          <w:sz w:val="26"/>
          <w:szCs w:val="26"/>
        </w:rPr>
      </w:pPr>
      <w:r>
        <w:rPr>
          <w:rFonts w:hint="default" w:ascii="Times New Roman" w:hAnsi="Times New Roman" w:eastAsia="宋体" w:cs="Times New Roman"/>
          <w:color w:val="auto"/>
          <w:sz w:val="26"/>
          <w:szCs w:val="26"/>
        </w:rPr>
        <w:t>通过以上步骤，本发明实现了异构无人船集群在动态海洋环境下的任务优化分配与执行控制。</w:t>
      </w:r>
    </w:p>
    <w:p w14:paraId="40C920F2">
      <w:pPr>
        <w:spacing w:line="480" w:lineRule="exact"/>
        <w:ind w:firstLine="520" w:firstLineChars="200"/>
        <w:rPr>
          <w:kern w:val="0"/>
          <w:sz w:val="26"/>
          <w:szCs w:val="26"/>
        </w:rPr>
      </w:pPr>
      <w:r>
        <w:rPr>
          <w:rFonts w:hint="eastAsia"/>
          <w:kern w:val="0"/>
          <w:sz w:val="26"/>
          <w:szCs w:val="26"/>
        </w:rPr>
        <w:t>以上详细描述了本发明的较佳具体实施例。应当理解，本领域的普通技术人员无需创造性劳动就可以根据本发明的构思做出诸多修改和变化。因此，凡本技术领域中技术人员依据本发明的构思在现有技术的基础上通过逻辑分析、推理、或者有限的实验可以得到的技术方案，皆应在权利要求书所确定的保护范围内。</w:t>
      </w:r>
    </w:p>
    <w:p w14:paraId="0804DE65">
      <w:pPr>
        <w:pStyle w:val="3"/>
        <w:rPr>
          <w:rFonts w:hint="default" w:ascii="Times New Roman" w:hAnsi="Times New Roman" w:eastAsia="宋体" w:cs="Times New Roman"/>
          <w:color w:val="auto"/>
          <w:sz w:val="26"/>
          <w:szCs w:val="26"/>
        </w:rPr>
      </w:pPr>
    </w:p>
    <w:bookmarkEnd w:id="2"/>
    <w:bookmarkEnd w:id="21"/>
    <w:p/>
    <w:p>
      <w:pPr>
        <w:jc w:val="center"/>
      </w:pPr>
      <w:r>
        <w:rPr>
          <w:b/>
          <w:sz w:val="28"/>
        </w:rPr>
        <w:t>说    明    书    附    图</w:t>
      </w:r>
    </w:p>
    <w:p>
      <w:pPr>
        <w:jc w:val="center"/>
      </w:pPr>
      <w:r>
        <w:rPr>
          <w:b/>
          <w:sz w:val="24"/>
        </w:rPr>
        <w:t>图1</w:t>
      </w:r>
    </w:p>
    <w:p>
      <w:pPr>
        <w:jc w:val="center"/>
      </w:pPr>
      <w:r>
        <w:drawing>
          <wp:inline xmlns:a="http://schemas.openxmlformats.org/drawingml/2006/main" xmlns:pic="http://schemas.openxmlformats.org/drawingml/2006/picture">
            <wp:extent cx="4389120" cy="7491774"/>
            <wp:docPr id="2" name="Picture 2"/>
            <wp:cNvGraphicFramePr>
              <a:graphicFrameLocks noChangeAspect="1"/>
            </wp:cNvGraphicFramePr>
            <a:graphic>
              <a:graphicData uri="http://schemas.openxmlformats.org/drawingml/2006/picture">
                <pic:pic>
                  <pic:nvPicPr>
                    <pic:cNvPr id="0" name="patent_fig1_bw.png"/>
                    <pic:cNvPicPr/>
                  </pic:nvPicPr>
                  <pic:blipFill>
                    <a:blip r:embed="rId7"/>
                    <a:stretch>
                      <a:fillRect/>
                    </a:stretch>
                  </pic:blipFill>
                  <pic:spPr>
                    <a:xfrm>
                      <a:off x="0" y="0"/>
                      <a:ext cx="4389120" cy="7491774"/>
                    </a:xfrm>
                    <a:prstGeom prst="rect"/>
                  </pic:spPr>
                </pic:pic>
              </a:graphicData>
            </a:graphic>
          </wp:inline>
        </w:drawing>
      </w:r>
    </w:p>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MS Mincho">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012E285A"/>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uiPriority w:val="0"/>
    <w:rPr>
      <w:color w:val="4F81BD"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w:basedOn w:val="1"/>
    <w:next w:val="3"/>
    <w:qFormat/>
    <w:uiPriority w:val="0"/>
    <w:pPr>
      <w:keepNext/>
      <w:keepLines/>
      <w:spacing w:before="300" w:after="300"/>
    </w:pPr>
    <w:rPr>
      <w:sz w:val="20"/>
      <w:szCs w:val="20"/>
    </w:rPr>
  </w:style>
  <w:style w:type="paragraph" w:customStyle="1" w:styleId="27">
    <w:name w:val="Bibliography"/>
    <w:basedOn w:val="1"/>
    <w:qFormat/>
    <w:uiPriority w:val="0"/>
  </w:style>
  <w:style w:type="table" w:customStyle="1" w:styleId="28">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29">
    <w:name w:val="Definition Term"/>
    <w:basedOn w:val="1"/>
    <w:next w:val="30"/>
    <w:uiPriority w:val="0"/>
    <w:pPr>
      <w:keepNext/>
      <w:keepLines/>
      <w:spacing w:after="0"/>
    </w:pPr>
    <w:rPr>
      <w:b/>
    </w:rPr>
  </w:style>
  <w:style w:type="paragraph" w:customStyle="1" w:styleId="30">
    <w:name w:val="Definition"/>
    <w:basedOn w:val="1"/>
    <w:qFormat/>
    <w:uiPriority w:val="0"/>
  </w:style>
  <w:style w:type="paragraph" w:customStyle="1" w:styleId="31">
    <w:name w:val="Table Caption"/>
    <w:basedOn w:val="12"/>
    <w:uiPriority w:val="0"/>
    <w:pPr>
      <w:keepNext/>
    </w:pPr>
  </w:style>
  <w:style w:type="paragraph" w:customStyle="1" w:styleId="32">
    <w:name w:val="Image Caption"/>
    <w:basedOn w:val="12"/>
    <w:uiPriority w:val="0"/>
  </w:style>
  <w:style w:type="paragraph" w:customStyle="1" w:styleId="33">
    <w:name w:val="Figure"/>
    <w:basedOn w:val="1"/>
    <w:uiPriority w:val="0"/>
  </w:style>
  <w:style w:type="paragraph" w:customStyle="1" w:styleId="34">
    <w:name w:val="Captioned Figure"/>
    <w:basedOn w:val="33"/>
    <w:uiPriority w:val="0"/>
    <w:pPr>
      <w:keepNext/>
    </w:pPr>
  </w:style>
  <w:style w:type="character" w:customStyle="1" w:styleId="35">
    <w:name w:val="Verbatim Char"/>
    <w:basedOn w:val="21"/>
    <w:link w:val="36"/>
    <w:uiPriority w:val="0"/>
    <w:rPr>
      <w:rFonts w:ascii="Consolas" w:hAnsi="Consolas"/>
      <w:sz w:val="22"/>
    </w:rPr>
  </w:style>
  <w:style w:type="paragraph" w:customStyle="1" w:styleId="36">
    <w:name w:val="Source Code"/>
    <w:basedOn w:val="1"/>
    <w:link w:val="35"/>
    <w:uiPriority w:val="0"/>
    <w:pPr>
      <w:wordWrap w:val="0"/>
    </w:pPr>
  </w:style>
  <w:style w:type="character" w:customStyle="1" w:styleId="37">
    <w:name w:val="Section Number"/>
    <w:basedOn w:val="21"/>
    <w:qFormat/>
    <w:uiPriority w:val="0"/>
  </w:style>
  <w:style w:type="paragraph" w:customStyle="1" w:styleId="38">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39">
    <w:name w:val="KeywordTok"/>
    <w:basedOn w:val="35"/>
    <w:uiPriority w:val="0"/>
    <w:rPr>
      <w:b/>
      <w:color w:val="007020"/>
    </w:rPr>
  </w:style>
  <w:style w:type="character" w:customStyle="1" w:styleId="40">
    <w:name w:val="DataTypeTok"/>
    <w:basedOn w:val="35"/>
    <w:uiPriority w:val="0"/>
    <w:rPr>
      <w:color w:val="902000"/>
    </w:rPr>
  </w:style>
  <w:style w:type="character" w:customStyle="1" w:styleId="41">
    <w:name w:val="DecValTok"/>
    <w:basedOn w:val="35"/>
    <w:uiPriority w:val="0"/>
    <w:rPr>
      <w:color w:val="40A070"/>
    </w:rPr>
  </w:style>
  <w:style w:type="character" w:customStyle="1" w:styleId="42">
    <w:name w:val="BaseNTok"/>
    <w:basedOn w:val="35"/>
    <w:uiPriority w:val="0"/>
    <w:rPr>
      <w:color w:val="40A070"/>
    </w:rPr>
  </w:style>
  <w:style w:type="character" w:customStyle="1" w:styleId="43">
    <w:name w:val="FloatTok"/>
    <w:basedOn w:val="35"/>
    <w:uiPriority w:val="0"/>
    <w:rPr>
      <w:color w:val="40A070"/>
    </w:rPr>
  </w:style>
  <w:style w:type="character" w:customStyle="1" w:styleId="44">
    <w:name w:val="ConstantTok"/>
    <w:basedOn w:val="35"/>
    <w:uiPriority w:val="0"/>
    <w:rPr>
      <w:color w:val="880000"/>
    </w:rPr>
  </w:style>
  <w:style w:type="character" w:customStyle="1" w:styleId="45">
    <w:name w:val="CharTok"/>
    <w:basedOn w:val="35"/>
    <w:uiPriority w:val="0"/>
    <w:rPr>
      <w:color w:val="4070A0"/>
    </w:rPr>
  </w:style>
  <w:style w:type="character" w:customStyle="1" w:styleId="46">
    <w:name w:val="SpecialCharTok"/>
    <w:basedOn w:val="35"/>
    <w:uiPriority w:val="0"/>
    <w:rPr>
      <w:color w:val="4070A0"/>
    </w:rPr>
  </w:style>
  <w:style w:type="character" w:customStyle="1" w:styleId="47">
    <w:name w:val="StringTok"/>
    <w:basedOn w:val="35"/>
    <w:uiPriority w:val="0"/>
    <w:rPr>
      <w:color w:val="4070A0"/>
    </w:rPr>
  </w:style>
  <w:style w:type="character" w:customStyle="1" w:styleId="48">
    <w:name w:val="VerbatimStringTok"/>
    <w:basedOn w:val="35"/>
    <w:uiPriority w:val="0"/>
    <w:rPr>
      <w:color w:val="4070A0"/>
    </w:rPr>
  </w:style>
  <w:style w:type="character" w:customStyle="1" w:styleId="49">
    <w:name w:val="SpecialStringTok"/>
    <w:basedOn w:val="35"/>
    <w:uiPriority w:val="0"/>
    <w:rPr>
      <w:color w:val="BB6688"/>
    </w:rPr>
  </w:style>
  <w:style w:type="character" w:customStyle="1" w:styleId="50">
    <w:name w:val="ImportTok"/>
    <w:basedOn w:val="35"/>
    <w:uiPriority w:val="0"/>
  </w:style>
  <w:style w:type="character" w:customStyle="1" w:styleId="51">
    <w:name w:val="CommentTok"/>
    <w:basedOn w:val="35"/>
    <w:uiPriority w:val="0"/>
    <w:rPr>
      <w:i/>
      <w:color w:val="60A0B0"/>
    </w:rPr>
  </w:style>
  <w:style w:type="character" w:customStyle="1" w:styleId="52">
    <w:name w:val="DocumentationTok"/>
    <w:basedOn w:val="35"/>
    <w:uiPriority w:val="0"/>
    <w:rPr>
      <w:i/>
      <w:color w:val="BA2121"/>
    </w:rPr>
  </w:style>
  <w:style w:type="character" w:customStyle="1" w:styleId="53">
    <w:name w:val="AnnotationTok"/>
    <w:basedOn w:val="35"/>
    <w:uiPriority w:val="0"/>
    <w:rPr>
      <w:b/>
      <w:i/>
      <w:color w:val="60A0B0"/>
    </w:rPr>
  </w:style>
  <w:style w:type="character" w:customStyle="1" w:styleId="54">
    <w:name w:val="CommentVarTok"/>
    <w:basedOn w:val="35"/>
    <w:uiPriority w:val="0"/>
    <w:rPr>
      <w:b/>
      <w:i/>
      <w:color w:val="60A0B0"/>
    </w:rPr>
  </w:style>
  <w:style w:type="character" w:customStyle="1" w:styleId="55">
    <w:name w:val="OtherTok"/>
    <w:basedOn w:val="35"/>
    <w:uiPriority w:val="0"/>
    <w:rPr>
      <w:color w:val="007020"/>
    </w:rPr>
  </w:style>
  <w:style w:type="character" w:customStyle="1" w:styleId="56">
    <w:name w:val="FunctionTok"/>
    <w:basedOn w:val="35"/>
    <w:uiPriority w:val="0"/>
    <w:rPr>
      <w:color w:val="06287E"/>
    </w:rPr>
  </w:style>
  <w:style w:type="character" w:customStyle="1" w:styleId="57">
    <w:name w:val="VariableTok"/>
    <w:basedOn w:val="35"/>
    <w:uiPriority w:val="0"/>
    <w:rPr>
      <w:color w:val="19177C"/>
    </w:rPr>
  </w:style>
  <w:style w:type="character" w:customStyle="1" w:styleId="58">
    <w:name w:val="ControlFlowTok"/>
    <w:basedOn w:val="35"/>
    <w:uiPriority w:val="0"/>
    <w:rPr>
      <w:b/>
      <w:color w:val="007020"/>
    </w:rPr>
  </w:style>
  <w:style w:type="character" w:customStyle="1" w:styleId="59">
    <w:name w:val="OperatorTok"/>
    <w:basedOn w:val="35"/>
    <w:uiPriority w:val="0"/>
    <w:rPr>
      <w:color w:val="666666"/>
    </w:rPr>
  </w:style>
  <w:style w:type="character" w:customStyle="1" w:styleId="60">
    <w:name w:val="BuiltInTok"/>
    <w:basedOn w:val="35"/>
    <w:uiPriority w:val="0"/>
  </w:style>
  <w:style w:type="character" w:customStyle="1" w:styleId="61">
    <w:name w:val="ExtensionTok"/>
    <w:basedOn w:val="35"/>
    <w:uiPriority w:val="0"/>
  </w:style>
  <w:style w:type="character" w:customStyle="1" w:styleId="62">
    <w:name w:val="PreprocessorTok"/>
    <w:basedOn w:val="35"/>
    <w:uiPriority w:val="0"/>
    <w:rPr>
      <w:color w:val="BC7A00"/>
    </w:rPr>
  </w:style>
  <w:style w:type="character" w:customStyle="1" w:styleId="63">
    <w:name w:val="AttributeTok"/>
    <w:basedOn w:val="35"/>
    <w:uiPriority w:val="0"/>
    <w:rPr>
      <w:color w:val="7D9029"/>
    </w:rPr>
  </w:style>
  <w:style w:type="character" w:customStyle="1" w:styleId="64">
    <w:name w:val="RegionMarkerTok"/>
    <w:basedOn w:val="35"/>
    <w:uiPriority w:val="0"/>
  </w:style>
  <w:style w:type="character" w:customStyle="1" w:styleId="65">
    <w:name w:val="InformationTok"/>
    <w:basedOn w:val="35"/>
    <w:uiPriority w:val="0"/>
    <w:rPr>
      <w:b/>
      <w:i/>
      <w:color w:val="60A0B0"/>
    </w:rPr>
  </w:style>
  <w:style w:type="character" w:customStyle="1" w:styleId="66">
    <w:name w:val="WarningTok"/>
    <w:basedOn w:val="35"/>
    <w:uiPriority w:val="0"/>
    <w:rPr>
      <w:b/>
      <w:i/>
      <w:color w:val="60A0B0"/>
    </w:rPr>
  </w:style>
  <w:style w:type="character" w:customStyle="1" w:styleId="67">
    <w:name w:val="AlertTok"/>
    <w:basedOn w:val="35"/>
    <w:uiPriority w:val="0"/>
    <w:rPr>
      <w:b/>
      <w:color w:val="FF0000"/>
    </w:rPr>
  </w:style>
  <w:style w:type="character" w:customStyle="1" w:styleId="68">
    <w:name w:val="ErrorTok"/>
    <w:basedOn w:val="35"/>
    <w:uiPriority w:val="0"/>
    <w:rPr>
      <w:b/>
      <w:color w:val="FF0000"/>
    </w:rPr>
  </w:style>
  <w:style w:type="character" w:customStyle="1" w:styleId="69">
    <w:name w:val="NormalTok"/>
    <w:basedOn w:val="35"/>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22</Pages>
  <Words>1634</Words>
  <Characters>1707</Characters>
  <Lines>12</Lines>
  <Paragraphs>8</Paragraphs>
  <TotalTime>3</TotalTime>
  <ScaleCrop>false</ScaleCrop>
  <LinksUpToDate>false</LinksUpToDate>
  <CharactersWithSpaces>1715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2026-07-14T02:40:00Z</dcterms:created>
  <dc:creator>星空幻纱</dc:creator>
  <cp:lastModifiedBy>星空幻纱</cp:lastModifiedBy>
  <dcterms:modified xsi:type="dcterms:W3CDTF">2026-07-14T03:01:37Z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eyJoZGlkIjoiN2UyNWE3MWQzYTgyY2M2NGFiOGI0Mzk0NTMxZWU5MTEiLCJ1c2VySWQiOiIxNTE4MDY2NjA1In0=</vt:lpwstr>
  </property>
  <property fmtid="{D5CDD505-2E9C-101B-9397-08002B2CF9AE}" pid="3" name="KSOProductBuildVer">
    <vt:lpwstr>2052-12.1.0.26375</vt:lpwstr>
  </property>
  <property fmtid="{D5CDD505-2E9C-101B-9397-08002B2CF9AE}" pid="4" name="ICV">
    <vt:lpwstr>BC42CEC550B34EDC9BC93131D22879C6_12</vt:lpwstr>
  </property>
</Properties>
</file>