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仿宋" w:hAnsi="仿宋" w:eastAsia="仿宋"/>
          <w:b/>
          <w:sz w:val="36"/>
        </w:rPr>
        <w:t>1. 手工格式缺失中间层级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手工格式缺失层级正文。</w:t>
      </w:r>
    </w:p>
    <w:p>
      <w:pPr>
        <w:jc w:val="right"/>
      </w:pPr>
      <w:r>
        <w:rPr>
          <w:rFonts w:ascii="仿宋" w:hAnsi="仿宋" w:eastAsia="仿宋"/>
          <w:b/>
          <w:sz w:val="32"/>
        </w:rPr>
        <w:t>1.1.1. 手工格式深层冲突标题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手工格式深层标题后的正文。</w:t>
      </w:r>
    </w:p>
    <w:p>
      <w:pPr>
        <w:jc w:val="right"/>
      </w:pPr>
      <w:r>
        <w:rPr>
          <w:rFonts w:ascii="仿宋" w:hAnsi="仿宋" w:eastAsia="仿宋"/>
          <w:b/>
          <w:sz w:val="36"/>
        </w:rPr>
        <w:t>2026.09.07 版本说明与发布日期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1. 普通编号正文项目，内容足够长，不应仅因为开头有编号就被识别成标题。1. 普通编号正文项目，内容足够长，不应仅因为开头有编号就被识别成标题。1. 普通编号正文项目，内容足够长，不应仅因为开头有编号就被识别成标题。</w:t>
      </w:r>
    </w:p>
    <w:p>
      <w:pPr>
        <w:jc w:val="right"/>
      </w:pPr>
      <w:r>
        <w:rPr>
          <w:rFonts w:ascii="仿宋" w:hAnsi="仿宋" w:eastAsia="仿宋"/>
          <w:b/>
          <w:sz w:val="24"/>
        </w:rPr>
        <w:t>注：短正文粗体说明</w:t>
      </w:r>
    </w:p>
    <w:p>
      <w:pPr>
        <w:jc w:val="right"/>
      </w:pPr>
      <w:r>
        <w:rPr>
          <w:rFonts w:ascii="仿宋" w:hAnsi="仿宋" w:eastAsia="仿宋"/>
          <w:b/>
          <w:sz w:val="24"/>
        </w:rPr>
        <w:t>图 1 研究框架题注</w:t>
      </w:r>
    </w:p>
    <w:p>
      <w:pPr>
        <w:jc w:val="right"/>
      </w:pPr>
      <w:r>
        <w:rPr>
          <w:rFonts w:ascii="仿宋" w:hAnsi="仿宋" w:eastAsia="仿宋"/>
          <w:b/>
          <w:sz w:val="30"/>
        </w:rPr>
        <w:t>2.1. 同层标题 A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</w:t>
      </w:r>
    </w:p>
    <w:p>
      <w:pPr>
        <w:jc w:val="right"/>
      </w:pPr>
      <w:r>
        <w:rPr>
          <w:rFonts w:ascii="仿宋" w:hAnsi="仿宋" w:eastAsia="仿宋"/>
          <w:b/>
          <w:sz w:val="28"/>
        </w:rPr>
        <w:t>2.2. 同层标题 B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