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1. 论文缺失中间层级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论文缺失层级正文。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1.1.1. 论文深层冲突标题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论文深层标题后的正文。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2026.09.07 版本说明与发布日期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1. 普通编号正文项目，内容足够长，不应仅因为开头有编号就被识别成标题。1. 普通编号正文项目，内容足够长，不应仅因为开头有编号就被识别成标题。1. 普通编号正文项目，内容足够长，不应仅因为开头有编号就被识别成标题。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注：短正文粗体说明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图 1 研究框架题注</w:t>
      </w:r>
    </w:p>
    <w:p>
      <w:pPr>
        <w:jc w:val="center"/>
      </w:pPr>
      <w:r>
        <w:rPr>
          <w:rFonts w:ascii="宋体" w:hAnsi="宋体" w:eastAsia="宋体"/>
          <w:b/>
          <w:sz w:val="30"/>
        </w:rPr>
        <w:t>2.1. 同层标题 A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2.2. 同层标题 B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