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Anonymous Study</w:t>
      </w:r>
    </w:p>
    <w:p>
      <w:r>
        <w:t xml:space="preserve">Chapter 1, observation 1.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1, observation 2.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1, observation 3.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1, observation 4.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1, observation 5.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1, observation 6.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pPr>
        <w:pStyle w:val="Heading1"/>
      </w:pPr>
      <w:r>
        <w:t>Chapter 2 Anonymous Study</w:t>
      </w:r>
    </w:p>
    <w:p>
      <w:r>
        <w:t xml:space="preserve">Chapter 2, observation 1.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2, observation 2.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2, observation 3.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2, observation 4.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2, observation 5.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Chapter 2, observation 6.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This fictional study compares two layout configurations. All statements are anonymous test material. The document verifies page labels and stable cross references. </w:t>
      </w:r>
    </w:p>
    <w:p>
      <w:r>
        <w:t xml:space="preserve">The second chapter starts on page </w:t>
      </w:r>
      <w:fldSimple w:instr="PAGEREF _Toc_0002_b71faf">
        <w:r>
          <w:t>1</w:t>
        </w:r>
      </w:fldSimple>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