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  <w:jc w:val="center"/>
      </w:pPr>
      <w:r>
        <w:rPr>
          <w:rFonts w:ascii="Arial Unicode MS" w:hAnsi="Arial Unicode MS" w:eastAsia="Arial Unicode MS"/>
          <w:b/>
          <w:color w:val="0B2545"/>
          <w:sz w:val="52"/>
        </w:rPr>
        <w:t>Operational Checklist</w:t>
      </w:r>
    </w:p>
    <w:p>
      <w:pPr>
        <w:pStyle w:val="DemoSubtitle"/>
        <w:jc w:val="center"/>
      </w:pPr>
      <w:r>
        <w:t>Showing how ordered inputs appear in a synthesis plan</w:t>
      </w:r>
    </w:p>
    <w:p>
      <w:pPr>
        <w:pStyle w:val="Heading1"/>
      </w:pPr>
      <w:r>
        <w:t>1. Prepare</w:t>
      </w:r>
    </w:p>
    <w:p>
      <w:pPr>
        <w:pStyle w:val="ListNumber"/>
        <w:spacing w:after="80" w:line="300" w:lineRule="auto"/>
      </w:pPr>
      <w:r>
        <w:rPr>
          <w:rFonts w:ascii="Arial Unicode MS" w:hAnsi="Arial Unicode MS" w:eastAsia="Arial Unicode MS"/>
          <w:sz w:val="22"/>
        </w:rPr>
        <w:t>Confirm that the input files are in the example source directory.</w:t>
      </w:r>
    </w:p>
    <w:p>
      <w:pPr>
        <w:pStyle w:val="ListNumber"/>
        <w:spacing w:after="80" w:line="300" w:lineRule="auto"/>
      </w:pPr>
      <w:r>
        <w:rPr>
          <w:rFonts w:ascii="Arial Unicode MS" w:hAnsi="Arial Unicode MS" w:eastAsia="Arial Unicode MS"/>
          <w:sz w:val="22"/>
        </w:rPr>
        <w:t>Confirm that manifest.json selects the directory_tree strategy.</w:t>
      </w:r>
    </w:p>
    <w:p>
      <w:pPr>
        <w:pStyle w:val="Heading1"/>
      </w:pPr>
      <w:r>
        <w:t>2. Preview</w:t>
      </w:r>
    </w:p>
    <w:p>
      <w:pPr>
        <w:pStyle w:val="ListNumber"/>
        <w:spacing w:after="80" w:line="300" w:lineRule="auto"/>
      </w:pPr>
      <w:r>
        <w:rPr>
          <w:rFonts w:ascii="Arial Unicode MS" w:hAnsi="Arial Unicode MS" w:eastAsia="Arial Unicode MS"/>
          <w:sz w:val="22"/>
        </w:rPr>
        <w:t>Run synthesize.py with the --plan flag.</w:t>
      </w:r>
    </w:p>
    <w:p>
      <w:pPr>
        <w:pStyle w:val="ListNumber"/>
        <w:spacing w:after="80" w:line="300" w:lineRule="auto"/>
      </w:pPr>
      <w:r>
        <w:rPr>
          <w:rFonts w:ascii="Arial Unicode MS" w:hAnsi="Arial Unicode MS" w:eastAsia="Arial Unicode MS"/>
          <w:sz w:val="22"/>
        </w:rPr>
        <w:t>Review the titles, order, and node count.</w:t>
      </w:r>
    </w:p>
    <w:p>
      <w:pPr>
        <w:pStyle w:val="Heading1"/>
      </w:pPr>
      <w:r>
        <w:t>3. Check before building</w:t>
      </w:r>
    </w:p>
    <w:p>
      <w:r>
        <w:t>A full build requires local Word automation. If the environment check fails, stop after plan verification.</w:t>
      </w:r>
    </w:p>
    <w:sectPr w:rsidR="00FC693F" w:rsidRPr="0006063C" w:rsidSect="00034616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Subtitle">
    <w:name w:val="Demo Subtitle"/>
    <w:pPr>
      <w:spacing w:after="360"/>
    </w:pPr>
    <w:rPr>
      <w:rFonts w:ascii="Arial Unicode MS" w:hAnsi="Arial Unicode MS" w:eastAsia="Arial Unicode MS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Demo Material</dc:title>
  <dc:subject>Document Synthesis Test</dc:subject>
  <dc:creator/>
  <cp:keywords>demo, anonymous, test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