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文档合成适用于资料来源分散、文件格式不一，并且需要统一目录和页码的交付任务。常规项目可直接生成完整文档，有单独装订要求时，再通过配置拆分交付物。</w:t>
      </w:r>
    </w:p>
    <w:p>
      <w:pPr>
        <w:pStyle w:val="Heading2"/>
        <w:keepNext/>
        <w:keepLines/>
        <w:widowControl/>
        <w:spacing w:line="560" w:lineRule="exact" w:before="160" w:after="0"/>
        <w:ind w:firstLine="640"/>
      </w:pPr>
      <w:r>
        <w:rPr>
          <w:rFonts w:ascii="KaiTi_GB2312" w:hAnsi="KaiTi_GB2312" w:eastAsia="KaiTi_GB2312" w:cs="KaiTi_GB2312"/>
          <w:color w:val="000000"/>
          <w:sz w:val="32"/>
        </w:rPr>
        <w:t>（一）申报评审材料</w:t>
      </w:r>
    </w:p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申报书、证明文件、数据图表和演示文稿可以按要求排序，统一合成为一份可查阅、可打印的送审文档。目录页码由正文位置确定，材料增减后可重新生成。</w:t>
      </w:r>
    </w:p>
    <w:p>
      <w:pPr>
        <w:pStyle w:val="Heading2"/>
        <w:keepNext/>
        <w:keepLines/>
        <w:widowControl/>
        <w:spacing w:line="560" w:lineRule="exact" w:before="160" w:after="0"/>
        <w:ind w:firstLine="640"/>
      </w:pPr>
      <w:r>
        <w:rPr>
          <w:rFonts w:ascii="KaiTi_GB2312" w:hAnsi="KaiTi_GB2312" w:eastAsia="KaiTi_GB2312" w:cs="KaiTi_GB2312"/>
          <w:color w:val="000000"/>
          <w:sz w:val="32"/>
        </w:rPr>
        <w:t>（二）项目资料归档</w:t>
      </w:r>
    </w:p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阶段报告、会议纪要、验收附件和现场图片可以按项目结构归集。统一封面、目录和连续页码便于内部存档，也便于后续查找具体材料。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一、应用场景</dc:title>
  <dc:subject>中文材料合成示例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