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/>
        <w:spacing w:line="560" w:lineRule="exact" w:before="0" w:after="0"/>
        <w:ind w:firstLine="640"/>
      </w:pPr>
      <w:r>
        <w:rPr>
          <w:rFonts w:ascii="FangSong_GB2312" w:hAnsi="FangSong_GB2312" w:eastAsia="FangSong_GB2312" w:cs="FangSong_GB2312"/>
          <w:color w:val="000000"/>
          <w:sz w:val="32"/>
        </w:rPr>
        <w:t>新配置默认生成一份完整文档。封面和目录不显示页码，正文从第 1 页开始连续编号。目录中的条目可跳转至对应正文位置。</w:t>
      </w:r>
    </w:p>
    <w:p>
      <w:pPr>
        <w:pStyle w:val="Heading2"/>
        <w:keepNext/>
        <w:keepLines/>
        <w:widowControl/>
        <w:spacing w:line="560" w:lineRule="exact" w:before="160" w:after="0"/>
        <w:ind w:firstLine="640"/>
      </w:pPr>
      <w:r>
        <w:rPr>
          <w:rFonts w:ascii="KaiTi_GB2312" w:hAnsi="KaiTi_GB2312" w:eastAsia="KaiTi_GB2312" w:cs="KaiTi_GB2312"/>
          <w:color w:val="000000"/>
          <w:sz w:val="32"/>
        </w:rPr>
        <w:t>（一）自动目录与连续编页</w:t>
      </w:r>
    </w:p>
    <w:p>
      <w:pPr>
        <w:keepNext w:val="0"/>
        <w:keepLines w:val="0"/>
        <w:widowControl/>
        <w:spacing w:line="560" w:lineRule="exact" w:before="0" w:after="0"/>
        <w:ind w:firstLine="640"/>
      </w:pPr>
      <w:r>
        <w:rPr>
          <w:rFonts w:ascii="FangSong_GB2312" w:hAnsi="FangSong_GB2312" w:eastAsia="FangSong_GB2312" w:cs="FangSong_GB2312"/>
          <w:color w:val="000000"/>
          <w:sz w:val="32"/>
        </w:rPr>
        <w:t>程序通过本机 Word 读取各级标题所在页，将准确页码写入目录，并核对最终文档。目录回填改变分页时，系统会重新排版和复核。页码无法确认时，构建结果不会发布。</w:t>
      </w:r>
    </w:p>
    <w:p>
      <w:pPr>
        <w:pStyle w:val="Heading2"/>
        <w:keepNext/>
        <w:keepLines/>
        <w:widowControl/>
        <w:spacing w:line="560" w:lineRule="exact" w:before="160" w:after="0"/>
        <w:ind w:firstLine="640"/>
      </w:pPr>
      <w:r>
        <w:rPr>
          <w:rFonts w:ascii="KaiTi_GB2312" w:hAnsi="KaiTi_GB2312" w:eastAsia="KaiTi_GB2312" w:cs="KaiTi_GB2312"/>
          <w:color w:val="000000"/>
          <w:sz w:val="32"/>
        </w:rPr>
        <w:t>（二）按需拆分交付</w:t>
      </w:r>
    </w:p>
    <w:p>
      <w:pPr>
        <w:keepNext w:val="0"/>
        <w:keepLines w:val="0"/>
        <w:widowControl/>
        <w:spacing w:line="560" w:lineRule="exact" w:before="0" w:after="0"/>
        <w:ind w:firstLine="640"/>
      </w:pPr>
      <w:r>
        <w:rPr>
          <w:rFonts w:ascii="FangSong_GB2312" w:hAnsi="FangSong_GB2312" w:eastAsia="FangSong_GB2312" w:cs="FangSong_GB2312"/>
          <w:color w:val="000000"/>
          <w:sz w:val="32"/>
        </w:rPr>
        <w:t>需要分别装订时，可通过配置生成两份文件。一份包含封面与目录，另一份包含目录与正文。独立目录沿用正文页码，便于打印查阅，不保留无效跳转。</w:t>
      </w:r>
    </w:p>
    <w:p>
      <w:pPr>
        <w:pStyle w:val="Heading2"/>
        <w:keepNext/>
        <w:keepLines/>
        <w:widowControl/>
        <w:spacing w:line="560" w:lineRule="exact" w:before="160" w:after="0"/>
        <w:ind w:firstLine="640"/>
      </w:pPr>
      <w:r>
        <w:rPr>
          <w:rFonts w:ascii="KaiTi_GB2312" w:hAnsi="KaiTi_GB2312" w:eastAsia="KaiTi_GB2312" w:cs="KaiTi_GB2312"/>
          <w:color w:val="000000"/>
          <w:sz w:val="32"/>
        </w:rPr>
        <w:t>（三）发布前质量核验</w:t>
      </w:r>
    </w:p>
    <w:p>
      <w:pPr>
        <w:keepNext w:val="0"/>
        <w:keepLines w:val="0"/>
        <w:widowControl/>
        <w:spacing w:line="560" w:lineRule="exact" w:before="0" w:after="0"/>
        <w:ind w:firstLine="640"/>
      </w:pPr>
      <w:r>
        <w:rPr>
          <w:rFonts w:ascii="FangSong_GB2312" w:hAnsi="FangSong_GB2312" w:eastAsia="FangSong_GB2312" w:cs="FangSong_GB2312"/>
          <w:color w:val="000000"/>
          <w:sz w:val="32"/>
        </w:rPr>
        <w:t>发布前检查目录页码和书签跳转，同时识别空白页、单标题页和孤行。源文件自带目录仍需单独核对。全部交付物通过检查后才会发布，检查失败不会覆盖已有成果。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三、目录编排与交付</dc:title>
  <dc:subject>中文材料合成示例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