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0" w:line="448" w:lineRule="exact"/>
        <w:jc w:val="center"/>
      </w:pPr>
      <w:r>
        <w:rPr>
          <w:rFonts w:ascii="FangSong_GB2312" w:hAnsi="FangSong_GB2312" w:eastAsia="FangSong_GB2312" w:cs="FangSong_GB2312"/>
          <w:color w:val="333333"/>
          <w:sz w:val="32"/>
        </w:rPr>
        <w:t>中文材料合成示例</w:t>
      </w:r>
    </w:p>
    <w:p>
      <w:pPr>
        <w:pStyle w:val="Title"/>
        <w:keepNext w:val="0"/>
        <w:widowControl/>
        <w:spacing w:before="2000" w:after="280" w:line="1624" w:lineRule="exact"/>
        <w:jc w:val="center"/>
      </w:pPr>
      <w:r>
        <w:rPr>
          <w:rFonts w:ascii="FZXiaoBiaoSong-B05S" w:hAnsi="FZXiaoBiaoSong-B05S" w:eastAsia="FZXiaoBiaoSong-B05S" w:cs="FZXiaoBiaoSong-B05S"/>
          <w:color w:val="B51E24"/>
          <w:sz w:val="116"/>
        </w:rPr>
        <w:t>文档合成</w:t>
      </w:r>
    </w:p>
    <w:p>
      <w:pPr>
        <w:keepNext w:val="0"/>
        <w:widowControl/>
        <w:spacing w:before="0" w:after="0" w:line="700" w:lineRule="exact"/>
        <w:jc w:val="center"/>
      </w:pPr>
      <w:r>
        <w:rPr>
          <w:rFonts w:ascii="SimHei" w:hAnsi="SimHei" w:eastAsia="SimHei" w:cs="SimHei"/>
          <w:color w:val="151515"/>
          <w:sz w:val="50"/>
        </w:rPr>
        <w:t>多格式材料规范成册</w:t>
      </w:r>
    </w:p>
    <w:p>
      <w:pPr>
        <w:keepNext w:val="0"/>
        <w:widowControl/>
        <w:spacing w:before="1080" w:after="0" w:line="448" w:lineRule="exact"/>
        <w:jc w:val="center"/>
      </w:pPr>
      <w:r>
        <w:rPr>
          <w:rFonts w:ascii="FangSong_GB2312" w:hAnsi="FangSong_GB2312" w:eastAsia="FangSong_GB2312" w:cs="FangSong_GB2312"/>
          <w:color w:val="555555"/>
          <w:sz w:val="32"/>
        </w:rPr>
        <w:t>Word  PDF  图片  演示文稿</w:t>
      </w:r>
    </w:p>
    <w:p>
      <w:pPr>
        <w:keepNext w:val="0"/>
        <w:widowControl/>
        <w:spacing w:before="900" w:after="200" w:line="560" w:lineRule="exact"/>
        <w:jc w:val="center"/>
      </w:pPr>
      <w:r>
        <w:rPr>
          <w:rFonts w:ascii="KaiTi_GB2312" w:hAnsi="KaiTi_GB2312" w:eastAsia="KaiTi_GB2312" w:cs="KaiTi_GB2312"/>
          <w:color w:val="252525"/>
          <w:sz w:val="40"/>
        </w:rPr>
        <w:t>自动目录　正文连续编页</w:t>
      </w:r>
    </w:p>
    <w:p>
      <w:pPr>
        <w:keepNext w:val="0"/>
        <w:widowControl/>
        <w:spacing w:before="0" w:after="0" w:line="560" w:lineRule="exact"/>
        <w:jc w:val="center"/>
      </w:pPr>
      <w:r>
        <w:rPr>
          <w:rFonts w:ascii="KaiTi_GB2312" w:hAnsi="KaiTi_GB2312" w:eastAsia="KaiTi_GB2312" w:cs="KaiTi_GB2312"/>
          <w:color w:val="252525"/>
          <w:sz w:val="40"/>
        </w:rPr>
        <w:t>默认完整交付　支持配置拆分</w:t>
      </w:r>
    </w:p>
    <w:p>
      <w:pPr>
        <w:keepNext w:val="0"/>
        <w:widowControl/>
        <w:spacing w:before="1700" w:after="0" w:line="420" w:lineRule="exact"/>
        <w:jc w:val="center"/>
      </w:pPr>
      <w:r>
        <w:rPr>
          <w:rFonts w:ascii="FangSong_GB2312" w:hAnsi="FangSong_GB2312" w:eastAsia="FangSong_GB2312" w:cs="FangSong_GB2312"/>
          <w:color w:val="555555"/>
          <w:sz w:val="30"/>
        </w:rPr>
        <w:t>适用于申报材料与附件汇编</w:t>
      </w:r>
    </w:p>
    <w:sectPr w:rsidR="00FC693F" w:rsidRPr="0006063C" w:rsidSect="00034616">
      <w:pgSz w:w="11906" w:h="15874"/>
      <w:pgMar w:top="1587" w:right="1020" w:bottom="141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文档合成</dc:title>
  <dc:subject>中文材料合成示例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