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学术研究报告格式样例</w:t>
      </w:r>
    </w:p>
    <w:p>
      <w:pPr>
        <w:outlineLvl w:val="0"/>
      </w:pPr>
      <w:r>
        <w:rPr>
          <w:rFonts w:ascii="黑体" w:hAnsi="黑体"/>
          <w:b/>
          <w:sz w:val="32"/>
        </w:rPr>
        <w:t>第一章 绪论</w:t>
      </w:r>
    </w:p>
    <w:p>
      <w:pPr>
        <w:outlineLvl w:val="1"/>
      </w:pPr>
      <w:r>
        <w:rPr>
          <w:rFonts w:ascii="黑体" w:hAnsi="黑体"/>
          <w:b/>
          <w:sz w:val="28"/>
        </w:rPr>
        <w:t>1.1 研究背景</w:t>
      </w:r>
    </w:p>
    <w:p>
      <w:pPr>
        <w:ind w:firstLine="480"/>
      </w:pPr>
      <w:r>
        <w:rPr>
          <w:rFonts w:ascii="宋体" w:hAnsi="宋体"/>
          <w:sz w:val="24"/>
        </w:rPr>
        <w:t>本研究第 1 段正文：探讨复杂文档合成流水线的形式化模型与确定性排版架构。通过统一排版引擎，消除样本文档与目标内容之间的属性冲突，保证排版结果精确收敛。</w:t>
      </w:r>
    </w:p>
    <w:p>
      <w:pPr>
        <w:ind w:firstLine="480"/>
      </w:pPr>
      <w:r>
        <w:rPr>
          <w:rFonts w:ascii="宋体" w:hAnsi="宋体"/>
          <w:sz w:val="24"/>
        </w:rPr>
        <w:t>本研究第 2 段正文：探讨复杂文档合成流水线的形式化模型与确定性排版架构。通过统一排版引擎，消除样本文档与目标内容之间的属性冲突，保证排版结果精确收敛。</w:t>
      </w:r>
    </w:p>
    <w:p>
      <w:pPr>
        <w:ind w:firstLine="480"/>
      </w:pPr>
      <w:r>
        <w:rPr>
          <w:rFonts w:ascii="宋体" w:hAnsi="宋体"/>
          <w:sz w:val="24"/>
        </w:rPr>
        <w:t>本研究第 3 段正文：探讨复杂文档合成流水线的形式化模型与确定性排版架构。通过统一排版引擎，消除样本文档与目标内容之间的属性冲突，保证排版结果精确收敛。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样例分析与编译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