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header1.xml" ContentType="application/vnd.openxmlformats-officedocument.wordprocessingml.header+xml"/>
  <Override PartName="/word/footer1.xml" ContentType="application/vnd.openxmlformats-officedocument.wordprocessingml.footer+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r="http://schemas.openxmlformats.org/officeDocument/2006/relationships">
  <w:body>
    <w:p>
      <w:pPr>
        <w:jc w:val="center"/>
      </w:pPr>
      <w:r>
        <w:rPr>
          <w:b/>
          <w:sz w:val="32"/>
          <w:szCs w:val="32"/>
        </w:rPr>
        <w:t xml:space="preserve">SECURITIES REGISTRATION STATEMENT</w:t>
      </w:r>
    </w:p>
    <w:p>
      <w:pPr>
        <w:jc w:val="center"/>
      </w:pPr>
      <w:r>
        <w:rPr>
          <w:b/>
        </w:rPr>
        <w:t xml:space="preserve">Cover Page</w:t>
      </w:r>
    </w:p>
    <w:tbl>
      <w:tblPr>
        <w:tblW w:w="907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72" w:type="dxa"/>
          <w:right w:w="72" w:type="dxa"/>
        </w:tblCellMar>
      </w:tblPr>
      <w:tblGrid>
        <w:gridCol w:w="3600"/>
        <w:gridCol w:w="5472"/>
      </w:tblGrid>
      <w:tr>
        <w:tc>
          <w:tcPr>
            <w:tcW w:w="3600" w:type="dxa"/>
            <w:vAlign w:val="center"/>
          </w:tcPr>
          <w:p>
            <w:pPr>
              <w:spacing w:before="0" w:after="0"/>
              <w:jc w:val="left"/>
            </w:pPr>
            <w:r>
              <w:rPr>
                <w:sz w:val="18"/>
                <w:szCs w:val="18"/>
              </w:rPr>
              <w:t xml:space="preserve">Document filed</w:t>
            </w:r>
          </w:p>
        </w:tc>
        <w:tc>
          <w:tcPr>
            <w:tcW w:w="5472" w:type="dxa"/>
            <w:vAlign w:val="center"/>
          </w:tcPr>
          <w:p>
            <w:pPr>
              <w:spacing w:before="0" w:after="0"/>
              <w:jc w:val="left"/>
            </w:pPr>
            <w:r>
              <w:rPr>
                <w:sz w:val="18"/>
                <w:szCs w:val="18"/>
              </w:rPr>
              <w:t xml:space="preserve">Securities Registration Statement</w:t>
            </w:r>
          </w:p>
        </w:tc>
      </w:tr>
      <w:tr>
        <w:tc>
          <w:tcPr>
            <w:tcW w:w="3600" w:type="dxa"/>
            <w:vAlign w:val="center"/>
          </w:tcPr>
          <w:p>
            <w:pPr>
              <w:spacing w:before="0" w:after="0"/>
              <w:jc w:val="left"/>
            </w:pPr>
            <w:r>
              <w:rPr>
                <w:sz w:val="18"/>
                <w:szCs w:val="18"/>
              </w:rPr>
              <w:t xml:space="preserve">Filed with</w:t>
            </w:r>
          </w:p>
        </w:tc>
        <w:tc>
          <w:tcPr>
            <w:tcW w:w="5472" w:type="dxa"/>
            <w:vAlign w:val="center"/>
          </w:tcPr>
          <w:p>
            <w:pPr>
              <w:spacing w:before="0" w:after="0"/>
              <w:jc w:val="left"/>
            </w:pPr>
            <w:r>
              <w:rPr>
                <w:sz w:val="18"/>
                <w:szCs w:val="18"/>
              </w:rPr>
              <w:t xml:space="preserve">Director-General, Regional Securities Bureau (fictional)</w:t>
            </w:r>
          </w:p>
        </w:tc>
      </w:tr>
      <w:tr>
        <w:tc>
          <w:tcPr>
            <w:tcW w:w="3600" w:type="dxa"/>
            <w:vAlign w:val="center"/>
          </w:tcPr>
          <w:p>
            <w:pPr>
              <w:spacing w:before="0" w:after="0"/>
              <w:jc w:val="left"/>
            </w:pPr>
            <w:r>
              <w:rPr>
                <w:sz w:val="18"/>
                <w:szCs w:val="18"/>
              </w:rPr>
              <w:t xml:space="preserve">Filing date</w:t>
            </w:r>
          </w:p>
        </w:tc>
        <w:tc>
          <w:tcPr>
            <w:tcW w:w="5472" w:type="dxa"/>
            <w:vAlign w:val="center"/>
          </w:tcPr>
          <w:p>
            <w:pPr>
              <w:spacing w:before="0" w:after="0"/>
              <w:jc w:val="left"/>
            </w:pPr>
            <w:r>
              <w:rPr>
                <w:sz w:val="18"/>
                <w:szCs w:val="18"/>
              </w:rPr>
              <w:t xml:space="preserve">September 29, 2026</w:t>
            </w:r>
          </w:p>
        </w:tc>
      </w:tr>
      <w:tr>
        <w:tc>
          <w:tcPr>
            <w:tcW w:w="3600" w:type="dxa"/>
            <w:vAlign w:val="center"/>
          </w:tcPr>
          <w:p>
            <w:pPr>
              <w:spacing w:before="0" w:after="0"/>
              <w:jc w:val="left"/>
            </w:pPr>
            <w:r>
              <w:rPr>
                <w:sz w:val="18"/>
                <w:szCs w:val="18"/>
              </w:rPr>
              <w:t xml:space="preserve">Registrant</w:t>
            </w:r>
          </w:p>
        </w:tc>
        <w:tc>
          <w:tcPr>
            <w:tcW w:w="5472" w:type="dxa"/>
            <w:vAlign w:val="center"/>
          </w:tcPr>
          <w:p>
            <w:pPr>
              <w:spacing w:before="0" w:after="0"/>
              <w:jc w:val="left"/>
            </w:pPr>
            <w:r>
              <w:rPr>
                <w:sz w:val="18"/>
                <w:szCs w:val="18"/>
              </w:rPr>
              <w:t xml:space="preserve">Nimbus Coffee, Inc.</w:t>
            </w:r>
          </w:p>
        </w:tc>
      </w:tr>
      <w:tr>
        <w:tc>
          <w:tcPr>
            <w:tcW w:w="3600" w:type="dxa"/>
            <w:vAlign w:val="center"/>
          </w:tcPr>
          <w:p>
            <w:pPr>
              <w:spacing w:before="0" w:after="0"/>
              <w:jc w:val="left"/>
            </w:pPr>
            <w:r>
              <w:rPr>
                <w:sz w:val="18"/>
                <w:szCs w:val="18"/>
              </w:rPr>
              <w:t xml:space="preserve">Representative</w:t>
            </w:r>
          </w:p>
        </w:tc>
        <w:tc>
          <w:tcPr>
            <w:tcW w:w="5472" w:type="dxa"/>
            <w:vAlign w:val="center"/>
          </w:tcPr>
          <w:p>
            <w:pPr>
              <w:spacing w:before="0" w:after="0"/>
              <w:jc w:val="left"/>
            </w:pPr>
            <w:r>
              <w:rPr>
                <w:sz w:val="18"/>
                <w:szCs w:val="18"/>
              </w:rPr>
              <w:t xml:space="preserve">Jordan Ellery, Chief Executive Officer</w:t>
            </w:r>
          </w:p>
        </w:tc>
      </w:tr>
      <w:tr>
        <w:tc>
          <w:tcPr>
            <w:tcW w:w="3600" w:type="dxa"/>
            <w:vAlign w:val="center"/>
          </w:tcPr>
          <w:p>
            <w:pPr>
              <w:spacing w:before="0" w:after="0"/>
              <w:jc w:val="left"/>
            </w:pPr>
            <w:r>
              <w:rPr>
                <w:sz w:val="18"/>
                <w:szCs w:val="18"/>
              </w:rPr>
              <w:t xml:space="preserve">Address of principal office</w:t>
            </w:r>
          </w:p>
        </w:tc>
        <w:tc>
          <w:tcPr>
            <w:tcW w:w="5472" w:type="dxa"/>
            <w:vAlign w:val="center"/>
          </w:tcPr>
          <w:p>
            <w:pPr>
              <w:spacing w:before="0" w:after="0"/>
              <w:jc w:val="left"/>
            </w:pPr>
            <w:r>
              <w:rPr>
                <w:sz w:val="18"/>
                <w:szCs w:val="18"/>
              </w:rPr>
              <w:t xml:space="preserve">100 Harbor Street, Northfield (fictional)</w:t>
            </w:r>
          </w:p>
        </w:tc>
      </w:tr>
      <w:tr>
        <w:tc>
          <w:tcPr>
            <w:tcW w:w="3600" w:type="dxa"/>
            <w:vAlign w:val="center"/>
          </w:tcPr>
          <w:p>
            <w:pPr>
              <w:spacing w:before="0" w:after="0"/>
              <w:jc w:val="left"/>
            </w:pPr>
            <w:r>
              <w:rPr>
                <w:sz w:val="18"/>
                <w:szCs w:val="18"/>
              </w:rPr>
              <w:t xml:space="preserve">Telephone</w:t>
            </w:r>
          </w:p>
        </w:tc>
        <w:tc>
          <w:tcPr>
            <w:tcW w:w="5472" w:type="dxa"/>
            <w:vAlign w:val="center"/>
          </w:tcPr>
          <w:p>
            <w:pPr>
              <w:spacing w:before="0" w:after="0"/>
              <w:jc w:val="left"/>
            </w:pPr>
            <w:r>
              <w:rPr>
                <w:sz w:val="18"/>
                <w:szCs w:val="18"/>
              </w:rPr>
              <w:t xml:space="preserve">(000) 000-0000 (fictional)</w:t>
            </w:r>
          </w:p>
        </w:tc>
      </w:tr>
      <w:tr>
        <w:tc>
          <w:tcPr>
            <w:tcW w:w="3600" w:type="dxa"/>
            <w:vAlign w:val="center"/>
          </w:tcPr>
          <w:p>
            <w:pPr>
              <w:spacing w:before="0" w:after="0"/>
              <w:jc w:val="left"/>
            </w:pPr>
            <w:r>
              <w:rPr>
                <w:sz w:val="18"/>
                <w:szCs w:val="18"/>
              </w:rPr>
              <w:t xml:space="preserve">Contact person</w:t>
            </w:r>
          </w:p>
        </w:tc>
        <w:tc>
          <w:tcPr>
            <w:tcW w:w="5472" w:type="dxa"/>
            <w:vAlign w:val="center"/>
          </w:tcPr>
          <w:p>
            <w:pPr>
              <w:spacing w:before="0" w:after="0"/>
              <w:jc w:val="left"/>
            </w:pPr>
            <w:r>
              <w:rPr>
                <w:sz w:val="18"/>
                <w:szCs w:val="18"/>
              </w:rPr>
              <w:t xml:space="preserve">Morgan Tate, Chief Financial Officer</w:t>
            </w:r>
          </w:p>
        </w:tc>
      </w:tr>
      <w:tr>
        <w:tc>
          <w:tcPr>
            <w:tcW w:w="3600" w:type="dxa"/>
            <w:vAlign w:val="center"/>
          </w:tcPr>
          <w:p>
            <w:pPr>
              <w:spacing w:before="0" w:after="0"/>
              <w:jc w:val="left"/>
            </w:pPr>
            <w:r>
              <w:rPr>
                <w:sz w:val="18"/>
                <w:szCs w:val="18"/>
              </w:rPr>
              <w:t xml:space="preserve">Nearest place of contact</w:t>
            </w:r>
          </w:p>
        </w:tc>
        <w:tc>
          <w:tcPr>
            <w:tcW w:w="5472" w:type="dxa"/>
            <w:vAlign w:val="center"/>
          </w:tcPr>
          <w:p>
            <w:pPr>
              <w:spacing w:before="0" w:after="0"/>
              <w:jc w:val="left"/>
            </w:pPr>
            <w:r>
              <w:rPr>
                <w:sz w:val="18"/>
                <w:szCs w:val="18"/>
              </w:rPr>
              <w:t xml:space="preserve">100 Harbor Street, Northfield (fictional)</w:t>
            </w:r>
          </w:p>
        </w:tc>
      </w:tr>
      <w:tr>
        <w:tc>
          <w:tcPr>
            <w:tcW w:w="3600" w:type="dxa"/>
            <w:vAlign w:val="center"/>
          </w:tcPr>
          <w:p>
            <w:pPr>
              <w:spacing w:before="0" w:after="0"/>
              <w:jc w:val="left"/>
            </w:pPr>
            <w:r>
              <w:rPr>
                <w:sz w:val="18"/>
                <w:szCs w:val="18"/>
              </w:rPr>
              <w:t xml:space="preserve">Class of securities offered</w:t>
            </w:r>
          </w:p>
        </w:tc>
        <w:tc>
          <w:tcPr>
            <w:tcW w:w="5472" w:type="dxa"/>
            <w:vAlign w:val="center"/>
          </w:tcPr>
          <w:p>
            <w:pPr>
              <w:spacing w:before="0" w:after="0"/>
              <w:jc w:val="left"/>
            </w:pPr>
            <w:r>
              <w:rPr>
                <w:sz w:val="18"/>
                <w:szCs w:val="18"/>
              </w:rPr>
              <w:t xml:space="preserve">Common stock, par value $0.01 per share</w:t>
            </w:r>
          </w:p>
        </w:tc>
      </w:tr>
      <w:tr>
        <w:tc>
          <w:tcPr>
            <w:tcW w:w="3600" w:type="dxa"/>
            <w:vAlign w:val="center"/>
          </w:tcPr>
          <w:p>
            <w:pPr>
              <w:spacing w:before="0" w:after="0"/>
              <w:jc w:val="left"/>
            </w:pPr>
            <w:r>
              <w:rPr>
                <w:sz w:val="18"/>
                <w:szCs w:val="18"/>
              </w:rPr>
              <w:t xml:space="preserve">Amount of offering</w:t>
            </w:r>
          </w:p>
        </w:tc>
        <w:tc>
          <w:tcPr>
            <w:tcW w:w="5472" w:type="dxa"/>
            <w:vAlign w:val="center"/>
          </w:tcPr>
          <w:p>
            <w:pPr>
              <w:spacing w:before="0" w:after="0"/>
              <w:jc w:val="left"/>
            </w:pPr>
            <w:r>
              <w:rPr>
                <w:sz w:val="18"/>
                <w:szCs w:val="18"/>
              </w:rPr>
              <w:t xml:space="preserve">Offering by book-building: $XXX,XXX,XXX (to be determined on the pricing date)</w:t>
            </w:r>
          </w:p>
        </w:tc>
      </w:tr>
      <w:tr>
        <w:tc>
          <w:tcPr>
            <w:tcW w:w="3600" w:type="dxa"/>
            <w:vAlign w:val="center"/>
          </w:tcPr>
          <w:p>
            <w:pPr>
              <w:spacing w:before="0" w:after="0"/>
              <w:jc w:val="left"/>
            </w:pPr>
            <w:r>
              <w:rPr>
                <w:sz w:val="18"/>
                <w:szCs w:val="18"/>
              </w:rPr>
              <w:t xml:space="preserve">Places where copies are kept for public inspection</w:t>
            </w:r>
          </w:p>
        </w:tc>
        <w:tc>
          <w:tcPr>
            <w:tcW w:w="5472" w:type="dxa"/>
            <w:vAlign w:val="center"/>
          </w:tcPr>
          <w:p>
            <w:pPr>
              <w:spacing w:before="0" w:after="0"/>
              <w:jc w:val="left"/>
            </w:pPr>
            <w:r>
              <w:rPr>
                <w:sz w:val="18"/>
                <w:szCs w:val="18"/>
              </w:rPr>
              <w:t xml:space="preserve">None</w:t>
            </w:r>
          </w:p>
        </w:tc>
      </w:tr>
    </w:tbl>
    <w:p>
      <w:pPr/>
    </w:p>
    <w:p>
      <w:pPr/>
      <w:r>
        <w:t xml:space="preserve">Note: This document is a fictional securities registration statement made for benchmarks. All names of companies, persons and places, and all figures, are made up and have no connection with any real company.</w:t>
      </w:r>
    </w:p>
    <w:p>
      <w:r>
        <w:br w:type="page"/>
      </w:r>
    </w:p>
    <w:p>
      <w:pPr>
        <w:pStyle w:val="Heading1"/>
        <w:keepNext/>
      </w:pPr>
      <w:r>
        <w:t xml:space="preserve">Part I — Information about the Securities</w:t>
      </w:r>
    </w:p>
    <w:p>
      <w:r>
        <w:br w:type="page"/>
      </w:r>
    </w:p>
    <w:p>
      <w:pPr>
        <w:pStyle w:val="Heading2"/>
        <w:keepNext/>
      </w:pPr>
      <w:r>
        <w:t xml:space="preserve">Item 1. Terms of the Offering</w:t>
      </w:r>
    </w:p>
    <w:p>
      <w:pPr>
        <w:pStyle w:val="Heading3"/>
        <w:keepNext/>
      </w:pPr>
      <w:r>
        <w:t xml:space="preserve">1. Shares Offered</w:t>
      </w:r>
    </w:p>
    <w:p>
      <w:pPr>
        <w:ind w:left="0" w:firstLine="360"/>
      </w:pPr>
      <w:r>
        <w:t xml:space="preserve">Energy use per store decreased 9.5% compared with the prior year, as older espresso machines and refrigerators were replaced with more efficient models. At the end of the fiscal year, the Company operated 177 company-operated stores in eight regions: Northfield, Eastbay, Southport, Westridge, Lakeside, Hillcrest, Riverside and Harborview. Comparable store sales increased 1.8%, driven by a 2.4% increase in average ticket and a 3.2% increase in transactions. Revenue from the Food category increased 3.7% compared with the prior year, while its share of total revenue was little changed. New stores generally reach the sales level of a mature store within eighteen to twenty-four months of opening. The Group depends on a small number of dairy and bakery suppliers in each region, and an interruption in their deliveries could affect sales at the stores they serve.</w:t>
      </w:r>
    </w:p>
    <w:p>
      <w:pPr>
        <w:ind w:left="0" w:firstLine="360"/>
      </w:pPr>
      <w:r>
        <w:t xml:space="preserve">Each store is managed by a store manager who reports to a district manager, and district managers report to the director for their region. Occupancy costs increased to $16,906 thousand, reflecting rent for new stores and scheduled rent increases at existing locations. During the fiscal year, the Company opened 7 new stores and closed 3 stores whose leases expired. Occupancy costs increased to $4,402 thousand, reflecting rent for new stores and scheduled rent increases at existing locations. Each store is managed by a store manager who reports to a district manager, and district managers report to the director for their region.</w:t>
      </w:r>
    </w:p>
    <w:tbl>
      <w:tblPr>
        <w:tblW w:w="907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72" w:type="dxa"/>
          <w:right w:w="72" w:type="dxa"/>
        </w:tblCellMar>
      </w:tblPr>
      <w:tblGrid>
        <w:gridCol w:w="2200"/>
        <w:gridCol w:w="1600"/>
        <w:gridCol w:w="5272"/>
      </w:tblGrid>
      <w:tr>
        <w:trPr>
          <w:tblHeader/>
        </w:trPr>
        <w:tc>
          <w:tcPr>
            <w:tcW w:w="2200" w:type="dxa"/>
            <w:shd w:val="clear" w:color="auto" w:fill="DDEBF7"/>
            <w:vAlign w:val="center"/>
          </w:tcPr>
          <w:p>
            <w:pPr>
              <w:spacing w:before="0" w:after="0"/>
              <w:jc w:val="center"/>
            </w:pPr>
            <w:r>
              <w:rPr>
                <w:b/>
                <w:sz w:val="18"/>
                <w:szCs w:val="18"/>
              </w:rPr>
              <w:t xml:space="preserve">Class</w:t>
            </w:r>
          </w:p>
        </w:tc>
        <w:tc>
          <w:tcPr>
            <w:tcW w:w="1600" w:type="dxa"/>
            <w:shd w:val="clear" w:color="auto" w:fill="DDEBF7"/>
            <w:vAlign w:val="center"/>
          </w:tcPr>
          <w:p>
            <w:pPr>
              <w:spacing w:before="0" w:after="0"/>
              <w:jc w:val="center"/>
            </w:pPr>
            <w:r>
              <w:rPr>
                <w:b/>
                <w:sz w:val="18"/>
                <w:szCs w:val="18"/>
              </w:rPr>
              <w:t xml:space="preserve">Number of shares</w:t>
            </w:r>
          </w:p>
        </w:tc>
        <w:tc>
          <w:tcPr>
            <w:tcW w:w="5272" w:type="dxa"/>
            <w:shd w:val="clear" w:color="auto" w:fill="DDEBF7"/>
            <w:vAlign w:val="center"/>
          </w:tcPr>
          <w:p>
            <w:pPr>
              <w:spacing w:before="0" w:after="0"/>
              <w:jc w:val="center"/>
            </w:pPr>
            <w:r>
              <w:rPr>
                <w:b/>
                <w:sz w:val="18"/>
                <w:szCs w:val="18"/>
              </w:rPr>
              <w:t xml:space="preserve">Description</w:t>
            </w:r>
          </w:p>
        </w:tc>
      </w:tr>
      <w:tr>
        <w:tc>
          <w:tcPr>
            <w:tcW w:w="2200" w:type="dxa"/>
            <w:vAlign w:val="center"/>
          </w:tcPr>
          <w:p>
            <w:pPr>
              <w:spacing w:before="0" w:after="0"/>
              <w:jc w:val="left"/>
            </w:pPr>
            <w:r>
              <w:rPr>
                <w:sz w:val="18"/>
                <w:szCs w:val="18"/>
              </w:rPr>
              <w:t xml:space="preserve">Common stock (Series A)</w:t>
            </w:r>
          </w:p>
        </w:tc>
        <w:tc>
          <w:tcPr>
            <w:tcW w:w="1600" w:type="dxa"/>
            <w:vAlign w:val="center"/>
          </w:tcPr>
          <w:p>
            <w:pPr>
              <w:spacing w:before="0" w:after="0"/>
              <w:jc w:val="right"/>
            </w:pPr>
            <w:r>
              <w:rPr>
                <w:sz w:val="18"/>
                <w:szCs w:val="18"/>
              </w:rPr>
              <w:t xml:space="preserve">607,000</w:t>
            </w:r>
          </w:p>
        </w:tc>
        <w:tc>
          <w:tcPr>
            <w:tcW w:w="5272" w:type="dxa"/>
            <w:vAlign w:val="center"/>
          </w:tcPr>
          <w:p>
            <w:pPr>
              <w:spacing w:before="0" w:after="0"/>
              <w:jc w:val="left"/>
            </w:pPr>
            <w:r>
              <w:rPr>
                <w:sz w:val="18"/>
                <w:szCs w:val="18"/>
              </w:rPr>
              <w:t xml:space="preserve">Full voting rights; the standard class of shares of the Company, with no restriction on the rights of holders.</w:t>
            </w:r>
          </w:p>
        </w:tc>
      </w:tr>
      <w:tr>
        <w:tc>
          <w:tcPr>
            <w:tcW w:w="2200" w:type="dxa"/>
            <w:vAlign w:val="center"/>
          </w:tcPr>
          <w:p>
            <w:pPr>
              <w:spacing w:before="0" w:after="0"/>
              <w:jc w:val="left"/>
            </w:pPr>
            <w:r>
              <w:rPr>
                <w:sz w:val="18"/>
                <w:szCs w:val="18"/>
              </w:rPr>
              <w:t xml:space="preserve">Common stock (Series B)</w:t>
            </w:r>
          </w:p>
        </w:tc>
        <w:tc>
          <w:tcPr>
            <w:tcW w:w="1600" w:type="dxa"/>
            <w:vAlign w:val="center"/>
          </w:tcPr>
          <w:p>
            <w:pPr>
              <w:spacing w:before="0" w:after="0"/>
              <w:jc w:val="right"/>
            </w:pPr>
            <w:r>
              <w:rPr>
                <w:sz w:val="18"/>
                <w:szCs w:val="18"/>
              </w:rPr>
              <w:t xml:space="preserve">446,000</w:t>
            </w:r>
          </w:p>
        </w:tc>
        <w:tc>
          <w:tcPr>
            <w:tcW w:w="5272" w:type="dxa"/>
            <w:vAlign w:val="center"/>
          </w:tcPr>
          <w:p>
            <w:pPr>
              <w:spacing w:before="0" w:after="0"/>
              <w:jc w:val="left"/>
            </w:pPr>
            <w:r>
              <w:rPr>
                <w:sz w:val="18"/>
                <w:szCs w:val="18"/>
              </w:rPr>
              <w:t xml:space="preserve">Full voting rights; the standard class of shares of the Company, with no restriction on the rights of holders.</w:t>
            </w:r>
          </w:p>
        </w:tc>
      </w:tr>
      <w:tr>
        <w:tc>
          <w:tcPr>
            <w:tcW w:w="2200" w:type="dxa"/>
            <w:vAlign w:val="center"/>
          </w:tcPr>
          <w:p>
            <w:pPr>
              <w:spacing w:before="0" w:after="0"/>
              <w:jc w:val="left"/>
            </w:pPr>
            <w:r>
              <w:rPr>
                <w:sz w:val="18"/>
                <w:szCs w:val="18"/>
              </w:rPr>
              <w:t xml:space="preserve">Common stock (Series C)</w:t>
            </w:r>
          </w:p>
        </w:tc>
        <w:tc>
          <w:tcPr>
            <w:tcW w:w="1600" w:type="dxa"/>
            <w:vAlign w:val="center"/>
          </w:tcPr>
          <w:p>
            <w:pPr>
              <w:spacing w:before="0" w:after="0"/>
              <w:jc w:val="right"/>
            </w:pPr>
            <w:r>
              <w:rPr>
                <w:sz w:val="18"/>
                <w:szCs w:val="18"/>
              </w:rPr>
              <w:t xml:space="preserve">34,000</w:t>
            </w:r>
          </w:p>
        </w:tc>
        <w:tc>
          <w:tcPr>
            <w:tcW w:w="5272" w:type="dxa"/>
            <w:vAlign w:val="center"/>
          </w:tcPr>
          <w:p>
            <w:pPr>
              <w:spacing w:before="0" w:after="0"/>
              <w:jc w:val="left"/>
            </w:pPr>
            <w:r>
              <w:rPr>
                <w:sz w:val="18"/>
                <w:szCs w:val="18"/>
              </w:rPr>
              <w:t xml:space="preserve">Full voting rights; the standard class of shares of the Company, with no restriction on the rights of holders.</w:t>
            </w:r>
          </w:p>
        </w:tc>
      </w:tr>
    </w:tbl>
    <w:p>
      <w:pPr/>
    </w:p>
    <w:p>
      <w:pPr>
        <w:pStyle w:val="Heading3"/>
        <w:keepNext/>
      </w:pPr>
      <w:r>
        <w:t xml:space="preserve">2. Method of Offering</w:t>
      </w:r>
    </w:p>
    <w:p>
      <w:pPr>
        <w:ind w:left="0" w:firstLine="360"/>
      </w:pPr>
      <w:r>
        <w:t xml:space="preserve">These forward-looking statements are based on information available as of the date of this statement, and actual results may differ materially because of many factors. Green coffee is purchased from exporters and cooperatives in Central America, South America and East Africa under fixed-price contracts that generally cover the next nine to twelve months of expected needs. The Group buys 34.8% of its green coffee by volume from farms certified under recognized sustainability standards. Nimbus Coffee intends to pay dividends out of retained earnings while keeping sufficient funds to finance the opening of new stores.</w:t>
      </w:r>
    </w:p>
    <w:p>
      <w:pPr>
        <w:ind w:left="0" w:firstLine="360"/>
      </w:pPr>
      <w:r>
        <w:t xml:space="preserve">At the end of the fiscal year, Nimbus Coffee operated 165 company-operated stores in eight regions: Northfield, Eastbay, Southport, Westridge, Lakeside, Hillcrest, Riverside and Harborview. The ability of the Group to open new stores depends on finding suitable sites on acceptable lease terms and on hiring and training store managers. The price of green coffee is volatile, and a sustained increase could reduce gross margin if the Company is unable to pass the cost on to customers through menu prices.</w:t>
      </w:r>
    </w:p>
    <w:tbl>
      <w:tblPr>
        <w:tblW w:w="907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72" w:type="dxa"/>
          <w:right w:w="72" w:type="dxa"/>
        </w:tblCellMar>
      </w:tblPr>
      <w:tblGrid>
        <w:gridCol w:w="2200"/>
        <w:gridCol w:w="1600"/>
        <w:gridCol w:w="5272"/>
      </w:tblGrid>
      <w:tr>
        <w:trPr>
          <w:tblHeader/>
        </w:trPr>
        <w:tc>
          <w:tcPr>
            <w:tcW w:w="2200" w:type="dxa"/>
            <w:shd w:val="clear" w:color="auto" w:fill="DDEBF7"/>
            <w:vAlign w:val="center"/>
          </w:tcPr>
          <w:p>
            <w:pPr>
              <w:spacing w:before="0" w:after="0"/>
              <w:jc w:val="center"/>
            </w:pPr>
            <w:r>
              <w:rPr>
                <w:b/>
                <w:sz w:val="18"/>
                <w:szCs w:val="18"/>
              </w:rPr>
              <w:t xml:space="preserve">Class</w:t>
            </w:r>
          </w:p>
        </w:tc>
        <w:tc>
          <w:tcPr>
            <w:tcW w:w="1600" w:type="dxa"/>
            <w:shd w:val="clear" w:color="auto" w:fill="DDEBF7"/>
            <w:vAlign w:val="center"/>
          </w:tcPr>
          <w:p>
            <w:pPr>
              <w:spacing w:before="0" w:after="0"/>
              <w:jc w:val="center"/>
            </w:pPr>
            <w:r>
              <w:rPr>
                <w:b/>
                <w:sz w:val="18"/>
                <w:szCs w:val="18"/>
              </w:rPr>
              <w:t xml:space="preserve">Number of shares</w:t>
            </w:r>
          </w:p>
        </w:tc>
        <w:tc>
          <w:tcPr>
            <w:tcW w:w="5272" w:type="dxa"/>
            <w:shd w:val="clear" w:color="auto" w:fill="DDEBF7"/>
            <w:vAlign w:val="center"/>
          </w:tcPr>
          <w:p>
            <w:pPr>
              <w:spacing w:before="0" w:after="0"/>
              <w:jc w:val="center"/>
            </w:pPr>
            <w:r>
              <w:rPr>
                <w:b/>
                <w:sz w:val="18"/>
                <w:szCs w:val="18"/>
              </w:rPr>
              <w:t xml:space="preserve">Description</w:t>
            </w:r>
          </w:p>
        </w:tc>
      </w:tr>
      <w:tr>
        <w:tc>
          <w:tcPr>
            <w:tcW w:w="2200" w:type="dxa"/>
            <w:vAlign w:val="center"/>
          </w:tcPr>
          <w:p>
            <w:pPr>
              <w:spacing w:before="0" w:after="0"/>
              <w:jc w:val="left"/>
            </w:pPr>
            <w:r>
              <w:rPr>
                <w:sz w:val="18"/>
                <w:szCs w:val="18"/>
              </w:rPr>
              <w:t xml:space="preserve">Common stock (Series A)</w:t>
            </w:r>
          </w:p>
        </w:tc>
        <w:tc>
          <w:tcPr>
            <w:tcW w:w="1600" w:type="dxa"/>
            <w:vAlign w:val="center"/>
          </w:tcPr>
          <w:p>
            <w:pPr>
              <w:spacing w:before="0" w:after="0"/>
              <w:jc w:val="right"/>
            </w:pPr>
            <w:r>
              <w:rPr>
                <w:sz w:val="18"/>
                <w:szCs w:val="18"/>
              </w:rPr>
              <w:t xml:space="preserve">201,000</w:t>
            </w:r>
          </w:p>
        </w:tc>
        <w:tc>
          <w:tcPr>
            <w:tcW w:w="5272" w:type="dxa"/>
            <w:vAlign w:val="center"/>
          </w:tcPr>
          <w:p>
            <w:pPr>
              <w:spacing w:before="0" w:after="0"/>
              <w:jc w:val="left"/>
            </w:pPr>
            <w:r>
              <w:rPr>
                <w:sz w:val="18"/>
                <w:szCs w:val="18"/>
              </w:rPr>
              <w:t xml:space="preserve">Full voting rights; the standard class of shares of the Company, with no restriction on the rights of holders.</w:t>
            </w:r>
          </w:p>
        </w:tc>
      </w:tr>
      <w:tr>
        <w:tc>
          <w:tcPr>
            <w:tcW w:w="2200" w:type="dxa"/>
            <w:vAlign w:val="center"/>
          </w:tcPr>
          <w:p>
            <w:pPr>
              <w:spacing w:before="0" w:after="0"/>
              <w:jc w:val="left"/>
            </w:pPr>
            <w:r>
              <w:rPr>
                <w:sz w:val="18"/>
                <w:szCs w:val="18"/>
              </w:rPr>
              <w:t xml:space="preserve">Common stock (Series B)</w:t>
            </w:r>
          </w:p>
        </w:tc>
        <w:tc>
          <w:tcPr>
            <w:tcW w:w="1600" w:type="dxa"/>
            <w:vAlign w:val="center"/>
          </w:tcPr>
          <w:p>
            <w:pPr>
              <w:spacing w:before="0" w:after="0"/>
              <w:jc w:val="right"/>
            </w:pPr>
            <w:r>
              <w:rPr>
                <w:sz w:val="18"/>
                <w:szCs w:val="18"/>
              </w:rPr>
              <w:t xml:space="preserve">308,000</w:t>
            </w:r>
          </w:p>
        </w:tc>
        <w:tc>
          <w:tcPr>
            <w:tcW w:w="5272" w:type="dxa"/>
            <w:vAlign w:val="center"/>
          </w:tcPr>
          <w:p>
            <w:pPr>
              <w:spacing w:before="0" w:after="0"/>
              <w:jc w:val="left"/>
            </w:pPr>
            <w:r>
              <w:rPr>
                <w:sz w:val="18"/>
                <w:szCs w:val="18"/>
              </w:rPr>
              <w:t xml:space="preserve">Full voting rights; the standard class of shares of the Company, with no restriction on the rights of holders.</w:t>
            </w:r>
          </w:p>
        </w:tc>
      </w:tr>
      <w:tr>
        <w:tc>
          <w:tcPr>
            <w:tcW w:w="2200" w:type="dxa"/>
            <w:vAlign w:val="center"/>
          </w:tcPr>
          <w:p>
            <w:pPr>
              <w:spacing w:before="0" w:after="0"/>
              <w:jc w:val="left"/>
            </w:pPr>
            <w:r>
              <w:rPr>
                <w:sz w:val="18"/>
                <w:szCs w:val="18"/>
              </w:rPr>
              <w:t xml:space="preserve">Common stock (Series C)</w:t>
            </w:r>
          </w:p>
        </w:tc>
        <w:tc>
          <w:tcPr>
            <w:tcW w:w="1600" w:type="dxa"/>
            <w:vAlign w:val="center"/>
          </w:tcPr>
          <w:p>
            <w:pPr>
              <w:spacing w:before="0" w:after="0"/>
              <w:jc w:val="right"/>
            </w:pPr>
            <w:r>
              <w:rPr>
                <w:sz w:val="18"/>
                <w:szCs w:val="18"/>
              </w:rPr>
              <w:t xml:space="preserve">252,000</w:t>
            </w:r>
          </w:p>
        </w:tc>
        <w:tc>
          <w:tcPr>
            <w:tcW w:w="5272" w:type="dxa"/>
            <w:vAlign w:val="center"/>
          </w:tcPr>
          <w:p>
            <w:pPr>
              <w:spacing w:before="0" w:after="0"/>
              <w:jc w:val="left"/>
            </w:pPr>
            <w:r>
              <w:rPr>
                <w:sz w:val="18"/>
                <w:szCs w:val="18"/>
              </w:rPr>
              <w:t xml:space="preserve">Full voting rights; the standard class of shares of the Company, with no restriction on the rights of holders.</w:t>
            </w:r>
          </w:p>
        </w:tc>
      </w:tr>
    </w:tbl>
    <w:p>
      <w:pPr/>
    </w:p>
    <w:p>
      <w:pPr>
        <w:pStyle w:val="Heading3"/>
        <w:keepNext/>
      </w:pPr>
      <w:r>
        <w:t xml:space="preserve">3. Terms of the Offering</w:t>
      </w:r>
    </w:p>
    <w:p>
      <w:pPr>
        <w:ind w:left="0" w:firstLine="360"/>
      </w:pPr>
      <w:r>
        <w:t xml:space="preserve">Nimbus Coffee buys 12.8% of its green coffee by volume from farms certified under recognized sustainability standards. Revenue from the Beverages category was $37,092 thousand, or 20.1% of total revenue. Net cash provided by operating activities was $211,773 thousand, mainly reflecting net income and depreciation and amortization. Food safety incidents, whether or not they occur at our stores, could harm the reputation of the Nimbus Coffee brand and reduce customer traffic.</w:t>
      </w:r>
    </w:p>
    <w:p>
      <w:pPr>
        <w:ind w:left="0" w:firstLine="360"/>
      </w:pPr>
      <w:r>
        <w:t xml:space="preserve">Baristas complete a four-week training course before working on the floor, and store managers complete a further course at the Northfield training center. At the end of the fiscal year, Nimbus Coffee operated 194 company-operated stores in eight regions: Northfield, Eastbay, Southport, Westridge, Lakeside, Hillcrest, Riverside and Harborview. Net cash used in investing activities was $6,308 thousand, primarily for purchases of property and equipment. The price of green coffee is volatile, and a sustained increase could reduce gross margin if Nimbus Coffee is unable to pass the cost on to customers through menu prices.</w:t>
      </w:r>
    </w:p>
    <w:tbl>
      <w:tblPr>
        <w:tblW w:w="907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72" w:type="dxa"/>
          <w:right w:w="72" w:type="dxa"/>
        </w:tblCellMar>
      </w:tblPr>
      <w:tblGrid>
        <w:gridCol w:w="2200"/>
        <w:gridCol w:w="1600"/>
        <w:gridCol w:w="5272"/>
      </w:tblGrid>
      <w:tr>
        <w:trPr>
          <w:tblHeader/>
        </w:trPr>
        <w:tc>
          <w:tcPr>
            <w:tcW w:w="2200" w:type="dxa"/>
            <w:shd w:val="clear" w:color="auto" w:fill="DDEBF7"/>
            <w:vAlign w:val="center"/>
          </w:tcPr>
          <w:p>
            <w:pPr>
              <w:spacing w:before="0" w:after="0"/>
              <w:jc w:val="center"/>
            </w:pPr>
            <w:r>
              <w:rPr>
                <w:b/>
                <w:sz w:val="18"/>
                <w:szCs w:val="18"/>
              </w:rPr>
              <w:t xml:space="preserve">Class</w:t>
            </w:r>
          </w:p>
        </w:tc>
        <w:tc>
          <w:tcPr>
            <w:tcW w:w="1600" w:type="dxa"/>
            <w:shd w:val="clear" w:color="auto" w:fill="DDEBF7"/>
            <w:vAlign w:val="center"/>
          </w:tcPr>
          <w:p>
            <w:pPr>
              <w:spacing w:before="0" w:after="0"/>
              <w:jc w:val="center"/>
            </w:pPr>
            <w:r>
              <w:rPr>
                <w:b/>
                <w:sz w:val="18"/>
                <w:szCs w:val="18"/>
              </w:rPr>
              <w:t xml:space="preserve">Number of shares</w:t>
            </w:r>
          </w:p>
        </w:tc>
        <w:tc>
          <w:tcPr>
            <w:tcW w:w="5272" w:type="dxa"/>
            <w:shd w:val="clear" w:color="auto" w:fill="DDEBF7"/>
            <w:vAlign w:val="center"/>
          </w:tcPr>
          <w:p>
            <w:pPr>
              <w:spacing w:before="0" w:after="0"/>
              <w:jc w:val="center"/>
            </w:pPr>
            <w:r>
              <w:rPr>
                <w:b/>
                <w:sz w:val="18"/>
                <w:szCs w:val="18"/>
              </w:rPr>
              <w:t xml:space="preserve">Description</w:t>
            </w:r>
          </w:p>
        </w:tc>
      </w:tr>
      <w:tr>
        <w:tc>
          <w:tcPr>
            <w:tcW w:w="2200" w:type="dxa"/>
            <w:vAlign w:val="center"/>
          </w:tcPr>
          <w:p>
            <w:pPr>
              <w:spacing w:before="0" w:after="0"/>
              <w:jc w:val="left"/>
            </w:pPr>
            <w:r>
              <w:rPr>
                <w:sz w:val="18"/>
                <w:szCs w:val="18"/>
              </w:rPr>
              <w:t xml:space="preserve">Common stock (Series A)</w:t>
            </w:r>
          </w:p>
        </w:tc>
        <w:tc>
          <w:tcPr>
            <w:tcW w:w="1600" w:type="dxa"/>
            <w:vAlign w:val="center"/>
          </w:tcPr>
          <w:p>
            <w:pPr>
              <w:spacing w:before="0" w:after="0"/>
              <w:jc w:val="right"/>
            </w:pPr>
            <w:r>
              <w:rPr>
                <w:sz w:val="18"/>
                <w:szCs w:val="18"/>
              </w:rPr>
              <w:t xml:space="preserve">189,000</w:t>
            </w:r>
          </w:p>
        </w:tc>
        <w:tc>
          <w:tcPr>
            <w:tcW w:w="5272" w:type="dxa"/>
            <w:vAlign w:val="center"/>
          </w:tcPr>
          <w:p>
            <w:pPr>
              <w:spacing w:before="0" w:after="0"/>
              <w:jc w:val="left"/>
            </w:pPr>
            <w:r>
              <w:rPr>
                <w:sz w:val="18"/>
                <w:szCs w:val="18"/>
              </w:rPr>
              <w:t xml:space="preserve">Full voting rights; the standard class of shares of the Company, with no restriction on the rights of holders.</w:t>
            </w:r>
          </w:p>
        </w:tc>
      </w:tr>
      <w:tr>
        <w:tc>
          <w:tcPr>
            <w:tcW w:w="2200" w:type="dxa"/>
            <w:vAlign w:val="center"/>
          </w:tcPr>
          <w:p>
            <w:pPr>
              <w:spacing w:before="0" w:after="0"/>
              <w:jc w:val="left"/>
            </w:pPr>
            <w:r>
              <w:rPr>
                <w:sz w:val="18"/>
                <w:szCs w:val="18"/>
              </w:rPr>
              <w:t xml:space="preserve">Common stock (Series B)</w:t>
            </w:r>
          </w:p>
        </w:tc>
        <w:tc>
          <w:tcPr>
            <w:tcW w:w="1600" w:type="dxa"/>
            <w:vAlign w:val="center"/>
          </w:tcPr>
          <w:p>
            <w:pPr>
              <w:spacing w:before="0" w:after="0"/>
              <w:jc w:val="right"/>
            </w:pPr>
            <w:r>
              <w:rPr>
                <w:sz w:val="18"/>
                <w:szCs w:val="18"/>
              </w:rPr>
              <w:t xml:space="preserve">392,000</w:t>
            </w:r>
          </w:p>
        </w:tc>
        <w:tc>
          <w:tcPr>
            <w:tcW w:w="5272" w:type="dxa"/>
            <w:vAlign w:val="center"/>
          </w:tcPr>
          <w:p>
            <w:pPr>
              <w:spacing w:before="0" w:after="0"/>
              <w:jc w:val="left"/>
            </w:pPr>
            <w:r>
              <w:rPr>
                <w:sz w:val="18"/>
                <w:szCs w:val="18"/>
              </w:rPr>
              <w:t xml:space="preserve">Full voting rights; the standard class of shares of the Company, with no restriction on the rights of holders.</w:t>
            </w:r>
          </w:p>
        </w:tc>
      </w:tr>
      <w:tr>
        <w:tc>
          <w:tcPr>
            <w:tcW w:w="2200" w:type="dxa"/>
            <w:vAlign w:val="center"/>
          </w:tcPr>
          <w:p>
            <w:pPr>
              <w:spacing w:before="0" w:after="0"/>
              <w:jc w:val="left"/>
            </w:pPr>
            <w:r>
              <w:rPr>
                <w:sz w:val="18"/>
                <w:szCs w:val="18"/>
              </w:rPr>
              <w:t xml:space="preserve">Common stock (Series C)</w:t>
            </w:r>
          </w:p>
        </w:tc>
        <w:tc>
          <w:tcPr>
            <w:tcW w:w="1600" w:type="dxa"/>
            <w:vAlign w:val="center"/>
          </w:tcPr>
          <w:p>
            <w:pPr>
              <w:spacing w:before="0" w:after="0"/>
              <w:jc w:val="right"/>
            </w:pPr>
            <w:r>
              <w:rPr>
                <w:sz w:val="18"/>
                <w:szCs w:val="18"/>
              </w:rPr>
              <w:t xml:space="preserve">37,000</w:t>
            </w:r>
          </w:p>
        </w:tc>
        <w:tc>
          <w:tcPr>
            <w:tcW w:w="5272" w:type="dxa"/>
            <w:vAlign w:val="center"/>
          </w:tcPr>
          <w:p>
            <w:pPr>
              <w:spacing w:before="0" w:after="0"/>
              <w:jc w:val="left"/>
            </w:pPr>
            <w:r>
              <w:rPr>
                <w:sz w:val="18"/>
                <w:szCs w:val="18"/>
              </w:rPr>
              <w:t xml:space="preserve">Full voting rights; the standard class of shares of the Company, with no restriction on the rights of holders.</w:t>
            </w:r>
          </w:p>
        </w:tc>
      </w:tr>
    </w:tbl>
    <w:p>
      <w:pPr/>
    </w:p>
    <w:p>
      <w:pPr>
        <w:pStyle w:val="Heading3"/>
        <w:keepNext/>
      </w:pPr>
      <w:r>
        <w:t xml:space="preserve">4. Underwriting</w:t>
      </w:r>
    </w:p>
    <w:p>
      <w:pPr>
        <w:ind w:left="0" w:firstLine="360"/>
      </w:pPr>
      <w:r>
        <w:t xml:space="preserve">The ability of Nimbus Coffee to open new stores depends on finding suitable sites on acceptable lease terms and on hiring and training store managers. During the fiscal year, Nimbus Coffee opened 7 new stores and closed 3 stores whose leases expired. The loyalty program had 568 thousand active members at the end of the fiscal year, and purchases by members accounted for 6.6% of store revenue. Nimbus Coffee holds no derivatives other than coffee futures contracts used to fix the price of part of its future green coffee purchases.</w:t>
      </w:r>
    </w:p>
    <w:p>
      <w:pPr>
        <w:ind w:left="0" w:firstLine="360"/>
      </w:pPr>
      <w:r>
        <w:t xml:space="preserve">Merchandise sales, consisting of mugs, brewing equipment and seasonal gift sets, are highest in the fourth quarter of each year. Inventories consist of green coffee, roasted coffee, packaging, food and merchandise, and are stated at the lower of cost and net realizable value. During the fiscal year, Nimbus Coffee opened 9 new stores and closed 2 stores whose leases expired. Each store is managed by a store manager who reports to a district manager, and district managers report to the director for their region.</w:t>
      </w:r>
    </w:p>
    <w:tbl>
      <w:tblPr>
        <w:tblW w:w="907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72" w:type="dxa"/>
          <w:right w:w="72" w:type="dxa"/>
        </w:tblCellMar>
      </w:tblPr>
      <w:tblGrid>
        <w:gridCol w:w="2200"/>
        <w:gridCol w:w="1600"/>
        <w:gridCol w:w="5272"/>
      </w:tblGrid>
      <w:tr>
        <w:trPr>
          <w:tblHeader/>
        </w:trPr>
        <w:tc>
          <w:tcPr>
            <w:tcW w:w="2200" w:type="dxa"/>
            <w:shd w:val="clear" w:color="auto" w:fill="DDEBF7"/>
            <w:vAlign w:val="center"/>
          </w:tcPr>
          <w:p>
            <w:pPr>
              <w:spacing w:before="0" w:after="0"/>
              <w:jc w:val="center"/>
            </w:pPr>
            <w:r>
              <w:rPr>
                <w:b/>
                <w:sz w:val="18"/>
                <w:szCs w:val="18"/>
              </w:rPr>
              <w:t xml:space="preserve">Class</w:t>
            </w:r>
          </w:p>
        </w:tc>
        <w:tc>
          <w:tcPr>
            <w:tcW w:w="1600" w:type="dxa"/>
            <w:shd w:val="clear" w:color="auto" w:fill="DDEBF7"/>
            <w:vAlign w:val="center"/>
          </w:tcPr>
          <w:p>
            <w:pPr>
              <w:spacing w:before="0" w:after="0"/>
              <w:jc w:val="center"/>
            </w:pPr>
            <w:r>
              <w:rPr>
                <w:b/>
                <w:sz w:val="18"/>
                <w:szCs w:val="18"/>
              </w:rPr>
              <w:t xml:space="preserve">Number of shares</w:t>
            </w:r>
          </w:p>
        </w:tc>
        <w:tc>
          <w:tcPr>
            <w:tcW w:w="5272" w:type="dxa"/>
            <w:shd w:val="clear" w:color="auto" w:fill="DDEBF7"/>
            <w:vAlign w:val="center"/>
          </w:tcPr>
          <w:p>
            <w:pPr>
              <w:spacing w:before="0" w:after="0"/>
              <w:jc w:val="center"/>
            </w:pPr>
            <w:r>
              <w:rPr>
                <w:b/>
                <w:sz w:val="18"/>
                <w:szCs w:val="18"/>
              </w:rPr>
              <w:t xml:space="preserve">Description</w:t>
            </w:r>
          </w:p>
        </w:tc>
      </w:tr>
      <w:tr>
        <w:tc>
          <w:tcPr>
            <w:tcW w:w="2200" w:type="dxa"/>
            <w:vAlign w:val="center"/>
          </w:tcPr>
          <w:p>
            <w:pPr>
              <w:spacing w:before="0" w:after="0"/>
              <w:jc w:val="left"/>
            </w:pPr>
            <w:r>
              <w:rPr>
                <w:sz w:val="18"/>
                <w:szCs w:val="18"/>
              </w:rPr>
              <w:t xml:space="preserve">Common stock (Series A)</w:t>
            </w:r>
          </w:p>
        </w:tc>
        <w:tc>
          <w:tcPr>
            <w:tcW w:w="1600" w:type="dxa"/>
            <w:vAlign w:val="center"/>
          </w:tcPr>
          <w:p>
            <w:pPr>
              <w:spacing w:before="0" w:after="0"/>
              <w:jc w:val="right"/>
            </w:pPr>
            <w:r>
              <w:rPr>
                <w:sz w:val="18"/>
                <w:szCs w:val="18"/>
              </w:rPr>
              <w:t xml:space="preserve">485,000</w:t>
            </w:r>
          </w:p>
        </w:tc>
        <w:tc>
          <w:tcPr>
            <w:tcW w:w="5272" w:type="dxa"/>
            <w:vAlign w:val="center"/>
          </w:tcPr>
          <w:p>
            <w:pPr>
              <w:spacing w:before="0" w:after="0"/>
              <w:jc w:val="left"/>
            </w:pPr>
            <w:r>
              <w:rPr>
                <w:sz w:val="18"/>
                <w:szCs w:val="18"/>
              </w:rPr>
              <w:t xml:space="preserve">Full voting rights; the standard class of shares of the Company, with no restriction on the rights of holders.</w:t>
            </w:r>
          </w:p>
        </w:tc>
      </w:tr>
      <w:tr>
        <w:tc>
          <w:tcPr>
            <w:tcW w:w="2200" w:type="dxa"/>
            <w:vAlign w:val="center"/>
          </w:tcPr>
          <w:p>
            <w:pPr>
              <w:spacing w:before="0" w:after="0"/>
              <w:jc w:val="left"/>
            </w:pPr>
            <w:r>
              <w:rPr>
                <w:sz w:val="18"/>
                <w:szCs w:val="18"/>
              </w:rPr>
              <w:t xml:space="preserve">Common stock (Series B)</w:t>
            </w:r>
          </w:p>
        </w:tc>
        <w:tc>
          <w:tcPr>
            <w:tcW w:w="1600" w:type="dxa"/>
            <w:vAlign w:val="center"/>
          </w:tcPr>
          <w:p>
            <w:pPr>
              <w:spacing w:before="0" w:after="0"/>
              <w:jc w:val="right"/>
            </w:pPr>
            <w:r>
              <w:rPr>
                <w:sz w:val="18"/>
                <w:szCs w:val="18"/>
              </w:rPr>
              <w:t xml:space="preserve">565,000</w:t>
            </w:r>
          </w:p>
        </w:tc>
        <w:tc>
          <w:tcPr>
            <w:tcW w:w="5272" w:type="dxa"/>
            <w:vAlign w:val="center"/>
          </w:tcPr>
          <w:p>
            <w:pPr>
              <w:spacing w:before="0" w:after="0"/>
              <w:jc w:val="left"/>
            </w:pPr>
            <w:r>
              <w:rPr>
                <w:sz w:val="18"/>
                <w:szCs w:val="18"/>
              </w:rPr>
              <w:t xml:space="preserve">Full voting rights; the standard class of shares of the Company, with no restriction on the rights of holders.</w:t>
            </w:r>
          </w:p>
        </w:tc>
      </w:tr>
      <w:tr>
        <w:tc>
          <w:tcPr>
            <w:tcW w:w="2200" w:type="dxa"/>
            <w:vAlign w:val="center"/>
          </w:tcPr>
          <w:p>
            <w:pPr>
              <w:spacing w:before="0" w:after="0"/>
              <w:jc w:val="left"/>
            </w:pPr>
            <w:r>
              <w:rPr>
                <w:sz w:val="18"/>
                <w:szCs w:val="18"/>
              </w:rPr>
              <w:t xml:space="preserve">Common stock (Series C)</w:t>
            </w:r>
          </w:p>
        </w:tc>
        <w:tc>
          <w:tcPr>
            <w:tcW w:w="1600" w:type="dxa"/>
            <w:vAlign w:val="center"/>
          </w:tcPr>
          <w:p>
            <w:pPr>
              <w:spacing w:before="0" w:after="0"/>
              <w:jc w:val="right"/>
            </w:pPr>
            <w:r>
              <w:rPr>
                <w:sz w:val="18"/>
                <w:szCs w:val="18"/>
              </w:rPr>
              <w:t xml:space="preserve">364,000</w:t>
            </w:r>
          </w:p>
        </w:tc>
        <w:tc>
          <w:tcPr>
            <w:tcW w:w="5272" w:type="dxa"/>
            <w:vAlign w:val="center"/>
          </w:tcPr>
          <w:p>
            <w:pPr>
              <w:spacing w:before="0" w:after="0"/>
              <w:jc w:val="left"/>
            </w:pPr>
            <w:r>
              <w:rPr>
                <w:sz w:val="18"/>
                <w:szCs w:val="18"/>
              </w:rPr>
              <w:t xml:space="preserve">Full voting rights; the standard class of shares of the Company, with no restriction on the rights of holders.</w:t>
            </w:r>
          </w:p>
        </w:tc>
      </w:tr>
    </w:tbl>
    <w:p>
      <w:pPr/>
    </w:p>
    <w:p>
      <w:pPr>
        <w:pStyle w:val="Heading3"/>
        <w:keepNext/>
      </w:pPr>
      <w:r>
        <w:t xml:space="preserve">5. Use of Proceeds</w:t>
      </w:r>
    </w:p>
    <w:p>
      <w:pPr>
        <w:ind w:left="0" w:firstLine="360"/>
      </w:pPr>
      <w:r>
        <w:t xml:space="preserve">The loyalty program had 164 thousand active members at the end of the fiscal year, and purchases by members accounted for 9.7% of store revenue. During the fiscal year, the Group opened 19 new stores and closed 2 stores whose leases expired. Revenue from stores in the Harborview region increased 7.6% compared with the prior year, while its share of total revenue was little changed. During the fiscal year, the Company opened 10 new stores and closed 3 stores whose leases expired.</w:t>
      </w:r>
    </w:p>
    <w:p>
      <w:pPr>
        <w:ind w:left="0" w:firstLine="360"/>
      </w:pPr>
      <w:r>
        <w:t xml:space="preserve">The roastery produced 1,247 thousand pounds of roasted coffee during the fiscal year, of which 9.9% was sold through company-operated stores. During the fiscal year, Nimbus Coffee opened 6 new stores and closed 1 stores whose leases expired. Weather affects customer traffic: cold drinks sell best in summer, while hot beverages and whole beans sell best from October through February. Revenue from stores in the Northfield region was $32,626 thousand, or 57.0% of total revenue. Net cash used in financing activities was $7,673 thousand, reflecting repayments of the term loan and dividends paid. The Group leases all of its store premises under operating leases with initial terms of ten years, most of which include options to renew.</w:t>
      </w:r>
    </w:p>
    <w:tbl>
      <w:tblPr>
        <w:tblW w:w="907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72" w:type="dxa"/>
          <w:right w:w="72" w:type="dxa"/>
        </w:tblCellMar>
      </w:tblPr>
      <w:tblGrid>
        <w:gridCol w:w="2200"/>
        <w:gridCol w:w="1600"/>
        <w:gridCol w:w="5272"/>
      </w:tblGrid>
      <w:tr>
        <w:trPr>
          <w:tblHeader/>
        </w:trPr>
        <w:tc>
          <w:tcPr>
            <w:tcW w:w="2200" w:type="dxa"/>
            <w:shd w:val="clear" w:color="auto" w:fill="DDEBF7"/>
            <w:vAlign w:val="center"/>
          </w:tcPr>
          <w:p>
            <w:pPr>
              <w:spacing w:before="0" w:after="0"/>
              <w:jc w:val="center"/>
            </w:pPr>
            <w:r>
              <w:rPr>
                <w:b/>
                <w:sz w:val="18"/>
                <w:szCs w:val="18"/>
              </w:rPr>
              <w:t xml:space="preserve">Class</w:t>
            </w:r>
          </w:p>
        </w:tc>
        <w:tc>
          <w:tcPr>
            <w:tcW w:w="1600" w:type="dxa"/>
            <w:shd w:val="clear" w:color="auto" w:fill="DDEBF7"/>
            <w:vAlign w:val="center"/>
          </w:tcPr>
          <w:p>
            <w:pPr>
              <w:spacing w:before="0" w:after="0"/>
              <w:jc w:val="center"/>
            </w:pPr>
            <w:r>
              <w:rPr>
                <w:b/>
                <w:sz w:val="18"/>
                <w:szCs w:val="18"/>
              </w:rPr>
              <w:t xml:space="preserve">Number of shares</w:t>
            </w:r>
          </w:p>
        </w:tc>
        <w:tc>
          <w:tcPr>
            <w:tcW w:w="5272" w:type="dxa"/>
            <w:shd w:val="clear" w:color="auto" w:fill="DDEBF7"/>
            <w:vAlign w:val="center"/>
          </w:tcPr>
          <w:p>
            <w:pPr>
              <w:spacing w:before="0" w:after="0"/>
              <w:jc w:val="center"/>
            </w:pPr>
            <w:r>
              <w:rPr>
                <w:b/>
                <w:sz w:val="18"/>
                <w:szCs w:val="18"/>
              </w:rPr>
              <w:t xml:space="preserve">Description</w:t>
            </w:r>
          </w:p>
        </w:tc>
      </w:tr>
      <w:tr>
        <w:tc>
          <w:tcPr>
            <w:tcW w:w="2200" w:type="dxa"/>
            <w:vAlign w:val="center"/>
          </w:tcPr>
          <w:p>
            <w:pPr>
              <w:spacing w:before="0" w:after="0"/>
              <w:jc w:val="left"/>
            </w:pPr>
            <w:r>
              <w:rPr>
                <w:sz w:val="18"/>
                <w:szCs w:val="18"/>
              </w:rPr>
              <w:t xml:space="preserve">Common stock (Series A)</w:t>
            </w:r>
          </w:p>
        </w:tc>
        <w:tc>
          <w:tcPr>
            <w:tcW w:w="1600" w:type="dxa"/>
            <w:vAlign w:val="center"/>
          </w:tcPr>
          <w:p>
            <w:pPr>
              <w:spacing w:before="0" w:after="0"/>
              <w:jc w:val="right"/>
            </w:pPr>
            <w:r>
              <w:rPr>
                <w:sz w:val="18"/>
                <w:szCs w:val="18"/>
              </w:rPr>
              <w:t xml:space="preserve">168,000</w:t>
            </w:r>
          </w:p>
        </w:tc>
        <w:tc>
          <w:tcPr>
            <w:tcW w:w="5272" w:type="dxa"/>
            <w:vAlign w:val="center"/>
          </w:tcPr>
          <w:p>
            <w:pPr>
              <w:spacing w:before="0" w:after="0"/>
              <w:jc w:val="left"/>
            </w:pPr>
            <w:r>
              <w:rPr>
                <w:sz w:val="18"/>
                <w:szCs w:val="18"/>
              </w:rPr>
              <w:t xml:space="preserve">Full voting rights; the standard class of shares of the Company, with no restriction on the rights of holders.</w:t>
            </w:r>
          </w:p>
        </w:tc>
      </w:tr>
      <w:tr>
        <w:tc>
          <w:tcPr>
            <w:tcW w:w="2200" w:type="dxa"/>
            <w:vAlign w:val="center"/>
          </w:tcPr>
          <w:p>
            <w:pPr>
              <w:spacing w:before="0" w:after="0"/>
              <w:jc w:val="left"/>
            </w:pPr>
            <w:r>
              <w:rPr>
                <w:sz w:val="18"/>
                <w:szCs w:val="18"/>
              </w:rPr>
              <w:t xml:space="preserve">Common stock (Series B)</w:t>
            </w:r>
          </w:p>
        </w:tc>
        <w:tc>
          <w:tcPr>
            <w:tcW w:w="1600" w:type="dxa"/>
            <w:vAlign w:val="center"/>
          </w:tcPr>
          <w:p>
            <w:pPr>
              <w:spacing w:before="0" w:after="0"/>
              <w:jc w:val="right"/>
            </w:pPr>
            <w:r>
              <w:rPr>
                <w:sz w:val="18"/>
                <w:szCs w:val="18"/>
              </w:rPr>
              <w:t xml:space="preserve">565,000</w:t>
            </w:r>
          </w:p>
        </w:tc>
        <w:tc>
          <w:tcPr>
            <w:tcW w:w="5272" w:type="dxa"/>
            <w:vAlign w:val="center"/>
          </w:tcPr>
          <w:p>
            <w:pPr>
              <w:spacing w:before="0" w:after="0"/>
              <w:jc w:val="left"/>
            </w:pPr>
            <w:r>
              <w:rPr>
                <w:sz w:val="18"/>
                <w:szCs w:val="18"/>
              </w:rPr>
              <w:t xml:space="preserve">Full voting rights; the standard class of shares of the Company, with no restriction on the rights of holders.</w:t>
            </w:r>
          </w:p>
        </w:tc>
      </w:tr>
      <w:tr>
        <w:tc>
          <w:tcPr>
            <w:tcW w:w="2200" w:type="dxa"/>
            <w:vAlign w:val="center"/>
          </w:tcPr>
          <w:p>
            <w:pPr>
              <w:spacing w:before="0" w:after="0"/>
              <w:jc w:val="left"/>
            </w:pPr>
            <w:r>
              <w:rPr>
                <w:sz w:val="18"/>
                <w:szCs w:val="18"/>
              </w:rPr>
              <w:t xml:space="preserve">Common stock (Series C)</w:t>
            </w:r>
          </w:p>
        </w:tc>
        <w:tc>
          <w:tcPr>
            <w:tcW w:w="1600" w:type="dxa"/>
            <w:vAlign w:val="center"/>
          </w:tcPr>
          <w:p>
            <w:pPr>
              <w:spacing w:before="0" w:after="0"/>
              <w:jc w:val="right"/>
            </w:pPr>
            <w:r>
              <w:rPr>
                <w:sz w:val="18"/>
                <w:szCs w:val="18"/>
              </w:rPr>
              <w:t xml:space="preserve">198,000</w:t>
            </w:r>
          </w:p>
        </w:tc>
        <w:tc>
          <w:tcPr>
            <w:tcW w:w="5272" w:type="dxa"/>
            <w:vAlign w:val="center"/>
          </w:tcPr>
          <w:p>
            <w:pPr>
              <w:spacing w:before="0" w:after="0"/>
              <w:jc w:val="left"/>
            </w:pPr>
            <w:r>
              <w:rPr>
                <w:sz w:val="18"/>
                <w:szCs w:val="18"/>
              </w:rPr>
              <w:t xml:space="preserve">Full voting rights; the standard class of shares of the Company, with no restriction on the rights of holders.</w:t>
            </w:r>
          </w:p>
        </w:tc>
      </w:tr>
    </w:tbl>
    <w:p>
      <w:pPr/>
    </w:p>
    <w:p>
      <w:r>
        <w:br w:type="page"/>
      </w:r>
    </w:p>
    <w:p>
      <w:pPr>
        <w:pStyle w:val="Heading2"/>
        <w:keepNext/>
      </w:pPr>
      <w:r>
        <w:t xml:space="preserve">Item 2. Secondary Offering by Selling Stockholders</w:t>
      </w:r>
    </w:p>
    <w:p>
      <w:pPr>
        <w:pStyle w:val="Heading3"/>
        <w:keepNext/>
      </w:pPr>
      <w:r>
        <w:t xml:space="preserve">1. Shares Offered</w:t>
      </w:r>
    </w:p>
    <w:p>
      <w:pPr>
        <w:ind w:left="0" w:firstLine="360"/>
      </w:pPr>
      <w:r>
        <w:t xml:space="preserve">Store operating expenses, which consist mainly of wages, benefits and supplies, were 29.1% of revenue, compared with 32.6% in the prior year. Occupancy costs increased to $25,649 thousand, reflecting rent for new stores and scheduled rent increases at existing locations. The loyalty program had 441 thousand active members at the end of the fiscal year, and purchases by members accounted for 21.4% of store revenue. Revenue from the Beans category was $43,793 thousand, or 57.2% of total revenue. The loyalty program had 968 thousand active members at the end of the fiscal year, and purchases by members accounted for 24.4% of store revenue. During the fiscal year, the Company opened 19 new stores and closed 3 stores whose leases expired.</w:t>
      </w:r>
    </w:p>
    <w:p>
      <w:pPr>
        <w:ind w:left="0" w:firstLine="360"/>
      </w:pPr>
      <w:r>
        <w:t xml:space="preserve">The roastery produced 361 thousand pounds of roasted coffee during the fiscal year, of which 27.3% was sold through company-operated stores. Capital expenditures totaled $12,713 thousand and consisted mainly of the build-out of new stores, the remodeling of existing stores and a second roasting line at the Northfield roastery. The ability of the Company to open new stores depends on finding suitable sites on acceptable lease terms and on hiring and training store managers. Net cash used in financing activities was $17,604 thousand, reflecting repayments of the term loan and dividends paid. Net cash used in investing activities was $4,525 thousand, primarily for purchases of property and equipment. The roastery produced 408 thousand pounds of roasted coffee during the fiscal year, of which 53.7% was sold through company-operated stores.</w:t>
      </w:r>
    </w:p>
    <w:tbl>
      <w:tblPr>
        <w:tblW w:w="907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72" w:type="dxa"/>
          <w:right w:w="72" w:type="dxa"/>
        </w:tblCellMar>
      </w:tblPr>
      <w:tblGrid>
        <w:gridCol w:w="2200"/>
        <w:gridCol w:w="1600"/>
        <w:gridCol w:w="5272"/>
      </w:tblGrid>
      <w:tr>
        <w:trPr>
          <w:tblHeader/>
        </w:trPr>
        <w:tc>
          <w:tcPr>
            <w:tcW w:w="2200" w:type="dxa"/>
            <w:shd w:val="clear" w:color="auto" w:fill="DDEBF7"/>
            <w:vAlign w:val="center"/>
          </w:tcPr>
          <w:p>
            <w:pPr>
              <w:spacing w:before="0" w:after="0"/>
              <w:jc w:val="center"/>
            </w:pPr>
            <w:r>
              <w:rPr>
                <w:b/>
                <w:sz w:val="18"/>
                <w:szCs w:val="18"/>
              </w:rPr>
              <w:t xml:space="preserve">Class</w:t>
            </w:r>
          </w:p>
        </w:tc>
        <w:tc>
          <w:tcPr>
            <w:tcW w:w="1600" w:type="dxa"/>
            <w:shd w:val="clear" w:color="auto" w:fill="DDEBF7"/>
            <w:vAlign w:val="center"/>
          </w:tcPr>
          <w:p>
            <w:pPr>
              <w:spacing w:before="0" w:after="0"/>
              <w:jc w:val="center"/>
            </w:pPr>
            <w:r>
              <w:rPr>
                <w:b/>
                <w:sz w:val="18"/>
                <w:szCs w:val="18"/>
              </w:rPr>
              <w:t xml:space="preserve">Number of shares</w:t>
            </w:r>
          </w:p>
        </w:tc>
        <w:tc>
          <w:tcPr>
            <w:tcW w:w="5272" w:type="dxa"/>
            <w:shd w:val="clear" w:color="auto" w:fill="DDEBF7"/>
            <w:vAlign w:val="center"/>
          </w:tcPr>
          <w:p>
            <w:pPr>
              <w:spacing w:before="0" w:after="0"/>
              <w:jc w:val="center"/>
            </w:pPr>
            <w:r>
              <w:rPr>
                <w:b/>
                <w:sz w:val="18"/>
                <w:szCs w:val="18"/>
              </w:rPr>
              <w:t xml:space="preserve">Description</w:t>
            </w:r>
          </w:p>
        </w:tc>
      </w:tr>
      <w:tr>
        <w:tc>
          <w:tcPr>
            <w:tcW w:w="2200" w:type="dxa"/>
            <w:vAlign w:val="center"/>
          </w:tcPr>
          <w:p>
            <w:pPr>
              <w:spacing w:before="0" w:after="0"/>
              <w:jc w:val="left"/>
            </w:pPr>
            <w:r>
              <w:rPr>
                <w:sz w:val="18"/>
                <w:szCs w:val="18"/>
              </w:rPr>
              <w:t xml:space="preserve">Common stock (Series A)</w:t>
            </w:r>
          </w:p>
        </w:tc>
        <w:tc>
          <w:tcPr>
            <w:tcW w:w="1600" w:type="dxa"/>
            <w:vAlign w:val="center"/>
          </w:tcPr>
          <w:p>
            <w:pPr>
              <w:spacing w:before="0" w:after="0"/>
              <w:jc w:val="right"/>
            </w:pPr>
            <w:r>
              <w:rPr>
                <w:sz w:val="18"/>
                <w:szCs w:val="18"/>
              </w:rPr>
              <w:t xml:space="preserve">539,000</w:t>
            </w:r>
          </w:p>
        </w:tc>
        <w:tc>
          <w:tcPr>
            <w:tcW w:w="5272" w:type="dxa"/>
            <w:vAlign w:val="center"/>
          </w:tcPr>
          <w:p>
            <w:pPr>
              <w:spacing w:before="0" w:after="0"/>
              <w:jc w:val="left"/>
            </w:pPr>
            <w:r>
              <w:rPr>
                <w:sz w:val="18"/>
                <w:szCs w:val="18"/>
              </w:rPr>
              <w:t xml:space="preserve">Full voting rights; the standard class of shares of the Company, with no restriction on the rights of holders.</w:t>
            </w:r>
          </w:p>
        </w:tc>
      </w:tr>
      <w:tr>
        <w:tc>
          <w:tcPr>
            <w:tcW w:w="2200" w:type="dxa"/>
            <w:vAlign w:val="center"/>
          </w:tcPr>
          <w:p>
            <w:pPr>
              <w:spacing w:before="0" w:after="0"/>
              <w:jc w:val="left"/>
            </w:pPr>
            <w:r>
              <w:rPr>
                <w:sz w:val="18"/>
                <w:szCs w:val="18"/>
              </w:rPr>
              <w:t xml:space="preserve">Common stock (Series B)</w:t>
            </w:r>
          </w:p>
        </w:tc>
        <w:tc>
          <w:tcPr>
            <w:tcW w:w="1600" w:type="dxa"/>
            <w:vAlign w:val="center"/>
          </w:tcPr>
          <w:p>
            <w:pPr>
              <w:spacing w:before="0" w:after="0"/>
              <w:jc w:val="right"/>
            </w:pPr>
            <w:r>
              <w:rPr>
                <w:sz w:val="18"/>
                <w:szCs w:val="18"/>
              </w:rPr>
              <w:t xml:space="preserve">359,000</w:t>
            </w:r>
          </w:p>
        </w:tc>
        <w:tc>
          <w:tcPr>
            <w:tcW w:w="5272" w:type="dxa"/>
            <w:vAlign w:val="center"/>
          </w:tcPr>
          <w:p>
            <w:pPr>
              <w:spacing w:before="0" w:after="0"/>
              <w:jc w:val="left"/>
            </w:pPr>
            <w:r>
              <w:rPr>
                <w:sz w:val="18"/>
                <w:szCs w:val="18"/>
              </w:rPr>
              <w:t xml:space="preserve">Full voting rights; the standard class of shares of the Company, with no restriction on the rights of holders.</w:t>
            </w:r>
          </w:p>
        </w:tc>
      </w:tr>
      <w:tr>
        <w:tc>
          <w:tcPr>
            <w:tcW w:w="2200" w:type="dxa"/>
            <w:vAlign w:val="center"/>
          </w:tcPr>
          <w:p>
            <w:pPr>
              <w:spacing w:before="0" w:after="0"/>
              <w:jc w:val="left"/>
            </w:pPr>
            <w:r>
              <w:rPr>
                <w:sz w:val="18"/>
                <w:szCs w:val="18"/>
              </w:rPr>
              <w:t xml:space="preserve">Common stock (Series C)</w:t>
            </w:r>
          </w:p>
        </w:tc>
        <w:tc>
          <w:tcPr>
            <w:tcW w:w="1600" w:type="dxa"/>
            <w:vAlign w:val="center"/>
          </w:tcPr>
          <w:p>
            <w:pPr>
              <w:spacing w:before="0" w:after="0"/>
              <w:jc w:val="right"/>
            </w:pPr>
            <w:r>
              <w:rPr>
                <w:sz w:val="18"/>
                <w:szCs w:val="18"/>
              </w:rPr>
              <w:t xml:space="preserve">420,000</w:t>
            </w:r>
          </w:p>
        </w:tc>
        <w:tc>
          <w:tcPr>
            <w:tcW w:w="5272" w:type="dxa"/>
            <w:vAlign w:val="center"/>
          </w:tcPr>
          <w:p>
            <w:pPr>
              <w:spacing w:before="0" w:after="0"/>
              <w:jc w:val="left"/>
            </w:pPr>
            <w:r>
              <w:rPr>
                <w:sz w:val="18"/>
                <w:szCs w:val="18"/>
              </w:rPr>
              <w:t xml:space="preserve">Full voting rights; the standard class of shares of the Company, with no restriction on the rights of holders.</w:t>
            </w:r>
          </w:p>
        </w:tc>
      </w:tr>
    </w:tbl>
    <w:p>
      <w:pPr/>
    </w:p>
    <w:p>
      <w:pPr>
        <w:pStyle w:val="Heading3"/>
        <w:keepNext/>
      </w:pPr>
      <w:r>
        <w:t xml:space="preserve">2. Method of Offering</w:t>
      </w:r>
    </w:p>
    <w:p>
      <w:pPr>
        <w:ind w:left="0" w:firstLine="360"/>
      </w:pPr>
      <w:r>
        <w:t xml:space="preserve">Store operating expenses, which consist mainly of wages, benefits and supplies, were 28.9% of revenue, compared with 32.3% in the prior year. Baristas complete a four-week training course before working on the floor, and store managers complete a further course at the Northfield training center. Revenue from loyalty rewards is deferred until the reward is redeemed or expires. Nimbus Coffee leases all of its store premises under operating leases with initial terms of ten years, most of which include options to renew. The price of green coffee is volatile, and a sustained increase could reduce gross margin if the Group is unable to pass the cost on to customers through menu prices. The Group intends to pay dividends out of retained earnings while keeping sufficient funds to finance the opening of new stores.</w:t>
      </w:r>
    </w:p>
    <w:p>
      <w:pPr>
        <w:ind w:left="0" w:firstLine="360"/>
      </w:pPr>
      <w:r>
        <w:t xml:space="preserve">Capital expenditures totaled $3,837 thousand and consisted mainly of the build-out of new stores, the remodeling of existing stores and a second roasting line at the Northfield roastery. Merchandise sales, consisting of mugs, brewing equipment and seasonal gift sets, are highest in the fourth quarter of each year. Store operating expenses, which consist mainly of wages, benefits and supplies, were 29.4% of revenue, compared with 30.3% in the prior year. Total assets at the end of the fiscal year were $98,527 thousand, an increase of $21,275 thousand from the end of the prior fiscal year. Orders placed through the online store, including orders for pickup in store and home delivery of whole beans, accounted for 45.3% of revenue in the Beverages and Beans categories. Capital expenditures totaled $18,131 thousand and consisted mainly of the build-out of new stores, the remodeling of existing stores and a second roasting line at the Northfield roastery.</w:t>
      </w:r>
    </w:p>
    <w:tbl>
      <w:tblPr>
        <w:tblW w:w="907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72" w:type="dxa"/>
          <w:right w:w="72" w:type="dxa"/>
        </w:tblCellMar>
      </w:tblPr>
      <w:tblGrid>
        <w:gridCol w:w="2200"/>
        <w:gridCol w:w="1600"/>
        <w:gridCol w:w="5272"/>
      </w:tblGrid>
      <w:tr>
        <w:trPr>
          <w:tblHeader/>
        </w:trPr>
        <w:tc>
          <w:tcPr>
            <w:tcW w:w="2200" w:type="dxa"/>
            <w:shd w:val="clear" w:color="auto" w:fill="DDEBF7"/>
            <w:vAlign w:val="center"/>
          </w:tcPr>
          <w:p>
            <w:pPr>
              <w:spacing w:before="0" w:after="0"/>
              <w:jc w:val="center"/>
            </w:pPr>
            <w:r>
              <w:rPr>
                <w:b/>
                <w:sz w:val="18"/>
                <w:szCs w:val="18"/>
              </w:rPr>
              <w:t xml:space="preserve">Class</w:t>
            </w:r>
          </w:p>
        </w:tc>
        <w:tc>
          <w:tcPr>
            <w:tcW w:w="1600" w:type="dxa"/>
            <w:shd w:val="clear" w:color="auto" w:fill="DDEBF7"/>
            <w:vAlign w:val="center"/>
          </w:tcPr>
          <w:p>
            <w:pPr>
              <w:spacing w:before="0" w:after="0"/>
              <w:jc w:val="center"/>
            </w:pPr>
            <w:r>
              <w:rPr>
                <w:b/>
                <w:sz w:val="18"/>
                <w:szCs w:val="18"/>
              </w:rPr>
              <w:t xml:space="preserve">Number of shares</w:t>
            </w:r>
          </w:p>
        </w:tc>
        <w:tc>
          <w:tcPr>
            <w:tcW w:w="5272" w:type="dxa"/>
            <w:shd w:val="clear" w:color="auto" w:fill="DDEBF7"/>
            <w:vAlign w:val="center"/>
          </w:tcPr>
          <w:p>
            <w:pPr>
              <w:spacing w:before="0" w:after="0"/>
              <w:jc w:val="center"/>
            </w:pPr>
            <w:r>
              <w:rPr>
                <w:b/>
                <w:sz w:val="18"/>
                <w:szCs w:val="18"/>
              </w:rPr>
              <w:t xml:space="preserve">Description</w:t>
            </w:r>
          </w:p>
        </w:tc>
      </w:tr>
      <w:tr>
        <w:tc>
          <w:tcPr>
            <w:tcW w:w="2200" w:type="dxa"/>
            <w:vAlign w:val="center"/>
          </w:tcPr>
          <w:p>
            <w:pPr>
              <w:spacing w:before="0" w:after="0"/>
              <w:jc w:val="left"/>
            </w:pPr>
            <w:r>
              <w:rPr>
                <w:sz w:val="18"/>
                <w:szCs w:val="18"/>
              </w:rPr>
              <w:t xml:space="preserve">Common stock (Series A)</w:t>
            </w:r>
          </w:p>
        </w:tc>
        <w:tc>
          <w:tcPr>
            <w:tcW w:w="1600" w:type="dxa"/>
            <w:vAlign w:val="center"/>
          </w:tcPr>
          <w:p>
            <w:pPr>
              <w:spacing w:before="0" w:after="0"/>
              <w:jc w:val="right"/>
            </w:pPr>
            <w:r>
              <w:rPr>
                <w:sz w:val="18"/>
                <w:szCs w:val="18"/>
              </w:rPr>
              <w:t xml:space="preserve">137,000</w:t>
            </w:r>
          </w:p>
        </w:tc>
        <w:tc>
          <w:tcPr>
            <w:tcW w:w="5272" w:type="dxa"/>
            <w:vAlign w:val="center"/>
          </w:tcPr>
          <w:p>
            <w:pPr>
              <w:spacing w:before="0" w:after="0"/>
              <w:jc w:val="left"/>
            </w:pPr>
            <w:r>
              <w:rPr>
                <w:sz w:val="18"/>
                <w:szCs w:val="18"/>
              </w:rPr>
              <w:t xml:space="preserve">Full voting rights; the standard class of shares of the Company, with no restriction on the rights of holders.</w:t>
            </w:r>
          </w:p>
        </w:tc>
      </w:tr>
      <w:tr>
        <w:tc>
          <w:tcPr>
            <w:tcW w:w="2200" w:type="dxa"/>
            <w:vAlign w:val="center"/>
          </w:tcPr>
          <w:p>
            <w:pPr>
              <w:spacing w:before="0" w:after="0"/>
              <w:jc w:val="left"/>
            </w:pPr>
            <w:r>
              <w:rPr>
                <w:sz w:val="18"/>
                <w:szCs w:val="18"/>
              </w:rPr>
              <w:t xml:space="preserve">Common stock (Series B)</w:t>
            </w:r>
          </w:p>
        </w:tc>
        <w:tc>
          <w:tcPr>
            <w:tcW w:w="1600" w:type="dxa"/>
            <w:vAlign w:val="center"/>
          </w:tcPr>
          <w:p>
            <w:pPr>
              <w:spacing w:before="0" w:after="0"/>
              <w:jc w:val="right"/>
            </w:pPr>
            <w:r>
              <w:rPr>
                <w:sz w:val="18"/>
                <w:szCs w:val="18"/>
              </w:rPr>
              <w:t xml:space="preserve">235,000</w:t>
            </w:r>
          </w:p>
        </w:tc>
        <w:tc>
          <w:tcPr>
            <w:tcW w:w="5272" w:type="dxa"/>
            <w:vAlign w:val="center"/>
          </w:tcPr>
          <w:p>
            <w:pPr>
              <w:spacing w:before="0" w:after="0"/>
              <w:jc w:val="left"/>
            </w:pPr>
            <w:r>
              <w:rPr>
                <w:sz w:val="18"/>
                <w:szCs w:val="18"/>
              </w:rPr>
              <w:t xml:space="preserve">Full voting rights; the standard class of shares of the Company, with no restriction on the rights of holders.</w:t>
            </w:r>
          </w:p>
        </w:tc>
      </w:tr>
      <w:tr>
        <w:tc>
          <w:tcPr>
            <w:tcW w:w="2200" w:type="dxa"/>
            <w:vAlign w:val="center"/>
          </w:tcPr>
          <w:p>
            <w:pPr>
              <w:spacing w:before="0" w:after="0"/>
              <w:jc w:val="left"/>
            </w:pPr>
            <w:r>
              <w:rPr>
                <w:sz w:val="18"/>
                <w:szCs w:val="18"/>
              </w:rPr>
              <w:t xml:space="preserve">Common stock (Series C)</w:t>
            </w:r>
          </w:p>
        </w:tc>
        <w:tc>
          <w:tcPr>
            <w:tcW w:w="1600" w:type="dxa"/>
            <w:vAlign w:val="center"/>
          </w:tcPr>
          <w:p>
            <w:pPr>
              <w:spacing w:before="0" w:after="0"/>
              <w:jc w:val="right"/>
            </w:pPr>
            <w:r>
              <w:rPr>
                <w:sz w:val="18"/>
                <w:szCs w:val="18"/>
              </w:rPr>
              <w:t xml:space="preserve">538,000</w:t>
            </w:r>
          </w:p>
        </w:tc>
        <w:tc>
          <w:tcPr>
            <w:tcW w:w="5272" w:type="dxa"/>
            <w:vAlign w:val="center"/>
          </w:tcPr>
          <w:p>
            <w:pPr>
              <w:spacing w:before="0" w:after="0"/>
              <w:jc w:val="left"/>
            </w:pPr>
            <w:r>
              <w:rPr>
                <w:sz w:val="18"/>
                <w:szCs w:val="18"/>
              </w:rPr>
              <w:t xml:space="preserve">Full voting rights; the standard class of shares of the Company, with no restriction on the rights of holders.</w:t>
            </w:r>
          </w:p>
        </w:tc>
      </w:tr>
    </w:tbl>
    <w:p>
      <w:pPr/>
    </w:p>
    <w:p>
      <w:pPr>
        <w:pStyle w:val="Heading3"/>
        <w:keepNext/>
      </w:pPr>
      <w:r>
        <w:t xml:space="preserve">3. Terms of the Offering</w:t>
      </w:r>
    </w:p>
    <w:p>
      <w:pPr>
        <w:ind w:left="0" w:firstLine="360"/>
      </w:pPr>
      <w:r>
        <w:t xml:space="preserve">Store operating expenses, which consist mainly of wages, benefits and supplies, were 33.5% of revenue, compared with 32.0% in the prior year. The Group buys 20.1% of its green coffee by volume from farms certified under recognized sustainability standards. Orders placed through the online store, including orders for pickup in store and home delivery of whole beans, accounted for 4.6% of revenue in the Beverages and Beans categories. Revenue from the Beans category increased 10.2% compared with the prior year, while its share of total revenue was little changed. Revenue from the online store increased 14.1% compared with the prior year, while its share of total revenue was little changed.</w:t>
      </w:r>
    </w:p>
    <w:p>
      <w:pPr>
        <w:ind w:left="0" w:firstLine="360"/>
      </w:pPr>
      <w:r>
        <w:t xml:space="preserve">These forward-looking statements are based on information available as of the date of this statement, and actual results may differ materially because of many factors. Weather affects customer traffic: cold drinks sell best in summer, while hot beverages and whole beans sell best from October through February. Wholesale revenue comes from sales of roasted beans to restaurants, hotels and grocery stores in the regions where the Group operates.</w:t>
      </w:r>
    </w:p>
    <w:tbl>
      <w:tblPr>
        <w:tblW w:w="907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72" w:type="dxa"/>
          <w:right w:w="72" w:type="dxa"/>
        </w:tblCellMar>
      </w:tblPr>
      <w:tblGrid>
        <w:gridCol w:w="2200"/>
        <w:gridCol w:w="1600"/>
        <w:gridCol w:w="5272"/>
      </w:tblGrid>
      <w:tr>
        <w:trPr>
          <w:tblHeader/>
        </w:trPr>
        <w:tc>
          <w:tcPr>
            <w:tcW w:w="2200" w:type="dxa"/>
            <w:shd w:val="clear" w:color="auto" w:fill="DDEBF7"/>
            <w:vAlign w:val="center"/>
          </w:tcPr>
          <w:p>
            <w:pPr>
              <w:spacing w:before="0" w:after="0"/>
              <w:jc w:val="center"/>
            </w:pPr>
            <w:r>
              <w:rPr>
                <w:b/>
                <w:sz w:val="18"/>
                <w:szCs w:val="18"/>
              </w:rPr>
              <w:t xml:space="preserve">Class</w:t>
            </w:r>
          </w:p>
        </w:tc>
        <w:tc>
          <w:tcPr>
            <w:tcW w:w="1600" w:type="dxa"/>
            <w:shd w:val="clear" w:color="auto" w:fill="DDEBF7"/>
            <w:vAlign w:val="center"/>
          </w:tcPr>
          <w:p>
            <w:pPr>
              <w:spacing w:before="0" w:after="0"/>
              <w:jc w:val="center"/>
            </w:pPr>
            <w:r>
              <w:rPr>
                <w:b/>
                <w:sz w:val="18"/>
                <w:szCs w:val="18"/>
              </w:rPr>
              <w:t xml:space="preserve">Number of shares</w:t>
            </w:r>
          </w:p>
        </w:tc>
        <w:tc>
          <w:tcPr>
            <w:tcW w:w="5272" w:type="dxa"/>
            <w:shd w:val="clear" w:color="auto" w:fill="DDEBF7"/>
            <w:vAlign w:val="center"/>
          </w:tcPr>
          <w:p>
            <w:pPr>
              <w:spacing w:before="0" w:after="0"/>
              <w:jc w:val="center"/>
            </w:pPr>
            <w:r>
              <w:rPr>
                <w:b/>
                <w:sz w:val="18"/>
                <w:szCs w:val="18"/>
              </w:rPr>
              <w:t xml:space="preserve">Description</w:t>
            </w:r>
          </w:p>
        </w:tc>
      </w:tr>
      <w:tr>
        <w:tc>
          <w:tcPr>
            <w:tcW w:w="2200" w:type="dxa"/>
            <w:vAlign w:val="center"/>
          </w:tcPr>
          <w:p>
            <w:pPr>
              <w:spacing w:before="0" w:after="0"/>
              <w:jc w:val="left"/>
            </w:pPr>
            <w:r>
              <w:rPr>
                <w:sz w:val="18"/>
                <w:szCs w:val="18"/>
              </w:rPr>
              <w:t xml:space="preserve">Common stock (Series A)</w:t>
            </w:r>
          </w:p>
        </w:tc>
        <w:tc>
          <w:tcPr>
            <w:tcW w:w="1600" w:type="dxa"/>
            <w:vAlign w:val="center"/>
          </w:tcPr>
          <w:p>
            <w:pPr>
              <w:spacing w:before="0" w:after="0"/>
              <w:jc w:val="right"/>
            </w:pPr>
            <w:r>
              <w:rPr>
                <w:sz w:val="18"/>
                <w:szCs w:val="18"/>
              </w:rPr>
              <w:t xml:space="preserve">336,000</w:t>
            </w:r>
          </w:p>
        </w:tc>
        <w:tc>
          <w:tcPr>
            <w:tcW w:w="5272" w:type="dxa"/>
            <w:vAlign w:val="center"/>
          </w:tcPr>
          <w:p>
            <w:pPr>
              <w:spacing w:before="0" w:after="0"/>
              <w:jc w:val="left"/>
            </w:pPr>
            <w:r>
              <w:rPr>
                <w:sz w:val="18"/>
                <w:szCs w:val="18"/>
              </w:rPr>
              <w:t xml:space="preserve">Full voting rights; the standard class of shares of the Company, with no restriction on the rights of holders.</w:t>
            </w:r>
          </w:p>
        </w:tc>
      </w:tr>
      <w:tr>
        <w:tc>
          <w:tcPr>
            <w:tcW w:w="2200" w:type="dxa"/>
            <w:vAlign w:val="center"/>
          </w:tcPr>
          <w:p>
            <w:pPr>
              <w:spacing w:before="0" w:after="0"/>
              <w:jc w:val="left"/>
            </w:pPr>
            <w:r>
              <w:rPr>
                <w:sz w:val="18"/>
                <w:szCs w:val="18"/>
              </w:rPr>
              <w:t xml:space="preserve">Common stock (Series B)</w:t>
            </w:r>
          </w:p>
        </w:tc>
        <w:tc>
          <w:tcPr>
            <w:tcW w:w="1600" w:type="dxa"/>
            <w:vAlign w:val="center"/>
          </w:tcPr>
          <w:p>
            <w:pPr>
              <w:spacing w:before="0" w:after="0"/>
              <w:jc w:val="right"/>
            </w:pPr>
            <w:r>
              <w:rPr>
                <w:sz w:val="18"/>
                <w:szCs w:val="18"/>
              </w:rPr>
              <w:t xml:space="preserve">132,000</w:t>
            </w:r>
          </w:p>
        </w:tc>
        <w:tc>
          <w:tcPr>
            <w:tcW w:w="5272" w:type="dxa"/>
            <w:vAlign w:val="center"/>
          </w:tcPr>
          <w:p>
            <w:pPr>
              <w:spacing w:before="0" w:after="0"/>
              <w:jc w:val="left"/>
            </w:pPr>
            <w:r>
              <w:rPr>
                <w:sz w:val="18"/>
                <w:szCs w:val="18"/>
              </w:rPr>
              <w:t xml:space="preserve">Full voting rights; the standard class of shares of the Company, with no restriction on the rights of holders.</w:t>
            </w:r>
          </w:p>
        </w:tc>
      </w:tr>
      <w:tr>
        <w:tc>
          <w:tcPr>
            <w:tcW w:w="2200" w:type="dxa"/>
            <w:vAlign w:val="center"/>
          </w:tcPr>
          <w:p>
            <w:pPr>
              <w:spacing w:before="0" w:after="0"/>
              <w:jc w:val="left"/>
            </w:pPr>
            <w:r>
              <w:rPr>
                <w:sz w:val="18"/>
                <w:szCs w:val="18"/>
              </w:rPr>
              <w:t xml:space="preserve">Common stock (Series C)</w:t>
            </w:r>
          </w:p>
        </w:tc>
        <w:tc>
          <w:tcPr>
            <w:tcW w:w="1600" w:type="dxa"/>
            <w:vAlign w:val="center"/>
          </w:tcPr>
          <w:p>
            <w:pPr>
              <w:spacing w:before="0" w:after="0"/>
              <w:jc w:val="right"/>
            </w:pPr>
            <w:r>
              <w:rPr>
                <w:sz w:val="18"/>
                <w:szCs w:val="18"/>
              </w:rPr>
              <w:t xml:space="preserve">609,000</w:t>
            </w:r>
          </w:p>
        </w:tc>
        <w:tc>
          <w:tcPr>
            <w:tcW w:w="5272" w:type="dxa"/>
            <w:vAlign w:val="center"/>
          </w:tcPr>
          <w:p>
            <w:pPr>
              <w:spacing w:before="0" w:after="0"/>
              <w:jc w:val="left"/>
            </w:pPr>
            <w:r>
              <w:rPr>
                <w:sz w:val="18"/>
                <w:szCs w:val="18"/>
              </w:rPr>
              <w:t xml:space="preserve">Full voting rights; the standard class of shares of the Company, with no restriction on the rights of holders.</w:t>
            </w:r>
          </w:p>
        </w:tc>
      </w:tr>
    </w:tbl>
    <w:p>
      <w:pPr/>
    </w:p>
    <w:p>
      <w:pPr>
        <w:pStyle w:val="Heading3"/>
        <w:keepNext/>
      </w:pPr>
      <w:r>
        <w:t xml:space="preserve">4. Underwriting</w:t>
      </w:r>
    </w:p>
    <w:p>
      <w:pPr>
        <w:ind w:left="0" w:firstLine="360"/>
      </w:pPr>
      <w:r>
        <w:t xml:space="preserve">Baristas complete a four-week training course before working on the floor, and store managers complete a further course at the Northfield training center. Baristas complete a four-week training course before working on the floor, and store managers complete a further course at the Northfield training center. The roastery produced 1,042 thousand pounds of roasted coffee during the fiscal year, of which 35.1% was sold through company-operated stores.</w:t>
      </w:r>
    </w:p>
    <w:p>
      <w:pPr>
        <w:ind w:left="0" w:firstLine="360"/>
      </w:pPr>
      <w:r>
        <w:t xml:space="preserve">The Group buys 16.6% of its green coffee by volume from farms certified under recognized sustainability standards. Green coffee is purchased from exporters and cooperatives in Central America, South America and East Africa under fixed-price contracts that generally cover the next nine to twelve months of expected needs. The ability of Nimbus Coffee to open new stores depends on finding suitable sites on acceptable lease terms and on hiring and training store managers. Wholesale revenue comes from sales of roasted beans to restaurants, hotels and grocery stores in the regions where the Company operates. Capital expenditures totaled $21,740 thousand and consisted mainly of the build-out of new stores, the remodeling of existing stores and a second roasting line at the Northfield roastery. The Group holds no derivatives other than coffee futures contracts used to fix the price of part of its future green coffee purchases.</w:t>
      </w:r>
    </w:p>
    <w:tbl>
      <w:tblPr>
        <w:tblW w:w="907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72" w:type="dxa"/>
          <w:right w:w="72" w:type="dxa"/>
        </w:tblCellMar>
      </w:tblPr>
      <w:tblGrid>
        <w:gridCol w:w="2200"/>
        <w:gridCol w:w="1600"/>
        <w:gridCol w:w="5272"/>
      </w:tblGrid>
      <w:tr>
        <w:trPr>
          <w:tblHeader/>
        </w:trPr>
        <w:tc>
          <w:tcPr>
            <w:tcW w:w="2200" w:type="dxa"/>
            <w:shd w:val="clear" w:color="auto" w:fill="DDEBF7"/>
            <w:vAlign w:val="center"/>
          </w:tcPr>
          <w:p>
            <w:pPr>
              <w:spacing w:before="0" w:after="0"/>
              <w:jc w:val="center"/>
            </w:pPr>
            <w:r>
              <w:rPr>
                <w:b/>
                <w:sz w:val="18"/>
                <w:szCs w:val="18"/>
              </w:rPr>
              <w:t xml:space="preserve">Class</w:t>
            </w:r>
          </w:p>
        </w:tc>
        <w:tc>
          <w:tcPr>
            <w:tcW w:w="1600" w:type="dxa"/>
            <w:shd w:val="clear" w:color="auto" w:fill="DDEBF7"/>
            <w:vAlign w:val="center"/>
          </w:tcPr>
          <w:p>
            <w:pPr>
              <w:spacing w:before="0" w:after="0"/>
              <w:jc w:val="center"/>
            </w:pPr>
            <w:r>
              <w:rPr>
                <w:b/>
                <w:sz w:val="18"/>
                <w:szCs w:val="18"/>
              </w:rPr>
              <w:t xml:space="preserve">Number of shares</w:t>
            </w:r>
          </w:p>
        </w:tc>
        <w:tc>
          <w:tcPr>
            <w:tcW w:w="5272" w:type="dxa"/>
            <w:shd w:val="clear" w:color="auto" w:fill="DDEBF7"/>
            <w:vAlign w:val="center"/>
          </w:tcPr>
          <w:p>
            <w:pPr>
              <w:spacing w:before="0" w:after="0"/>
              <w:jc w:val="center"/>
            </w:pPr>
            <w:r>
              <w:rPr>
                <w:b/>
                <w:sz w:val="18"/>
                <w:szCs w:val="18"/>
              </w:rPr>
              <w:t xml:space="preserve">Description</w:t>
            </w:r>
          </w:p>
        </w:tc>
      </w:tr>
      <w:tr>
        <w:tc>
          <w:tcPr>
            <w:tcW w:w="2200" w:type="dxa"/>
            <w:vAlign w:val="center"/>
          </w:tcPr>
          <w:p>
            <w:pPr>
              <w:spacing w:before="0" w:after="0"/>
              <w:jc w:val="left"/>
            </w:pPr>
            <w:r>
              <w:rPr>
                <w:sz w:val="18"/>
                <w:szCs w:val="18"/>
              </w:rPr>
              <w:t xml:space="preserve">Common stock (Series A)</w:t>
            </w:r>
          </w:p>
        </w:tc>
        <w:tc>
          <w:tcPr>
            <w:tcW w:w="1600" w:type="dxa"/>
            <w:vAlign w:val="center"/>
          </w:tcPr>
          <w:p>
            <w:pPr>
              <w:spacing w:before="0" w:after="0"/>
              <w:jc w:val="right"/>
            </w:pPr>
            <w:r>
              <w:rPr>
                <w:sz w:val="18"/>
                <w:szCs w:val="18"/>
              </w:rPr>
              <w:t xml:space="preserve">265,000</w:t>
            </w:r>
          </w:p>
        </w:tc>
        <w:tc>
          <w:tcPr>
            <w:tcW w:w="5272" w:type="dxa"/>
            <w:vAlign w:val="center"/>
          </w:tcPr>
          <w:p>
            <w:pPr>
              <w:spacing w:before="0" w:after="0"/>
              <w:jc w:val="left"/>
            </w:pPr>
            <w:r>
              <w:rPr>
                <w:sz w:val="18"/>
                <w:szCs w:val="18"/>
              </w:rPr>
              <w:t xml:space="preserve">Full voting rights; the standard class of shares of the Company, with no restriction on the rights of holders.</w:t>
            </w:r>
          </w:p>
        </w:tc>
      </w:tr>
      <w:tr>
        <w:tc>
          <w:tcPr>
            <w:tcW w:w="2200" w:type="dxa"/>
            <w:vAlign w:val="center"/>
          </w:tcPr>
          <w:p>
            <w:pPr>
              <w:spacing w:before="0" w:after="0"/>
              <w:jc w:val="left"/>
            </w:pPr>
            <w:r>
              <w:rPr>
                <w:sz w:val="18"/>
                <w:szCs w:val="18"/>
              </w:rPr>
              <w:t xml:space="preserve">Common stock (Series B)</w:t>
            </w:r>
          </w:p>
        </w:tc>
        <w:tc>
          <w:tcPr>
            <w:tcW w:w="1600" w:type="dxa"/>
            <w:vAlign w:val="center"/>
          </w:tcPr>
          <w:p>
            <w:pPr>
              <w:spacing w:before="0" w:after="0"/>
              <w:jc w:val="right"/>
            </w:pPr>
            <w:r>
              <w:rPr>
                <w:sz w:val="18"/>
                <w:szCs w:val="18"/>
              </w:rPr>
              <w:t xml:space="preserve">384,000</w:t>
            </w:r>
          </w:p>
        </w:tc>
        <w:tc>
          <w:tcPr>
            <w:tcW w:w="5272" w:type="dxa"/>
            <w:vAlign w:val="center"/>
          </w:tcPr>
          <w:p>
            <w:pPr>
              <w:spacing w:before="0" w:after="0"/>
              <w:jc w:val="left"/>
            </w:pPr>
            <w:r>
              <w:rPr>
                <w:sz w:val="18"/>
                <w:szCs w:val="18"/>
              </w:rPr>
              <w:t xml:space="preserve">Full voting rights; the standard class of shares of the Company, with no restriction on the rights of holders.</w:t>
            </w:r>
          </w:p>
        </w:tc>
      </w:tr>
      <w:tr>
        <w:tc>
          <w:tcPr>
            <w:tcW w:w="2200" w:type="dxa"/>
            <w:vAlign w:val="center"/>
          </w:tcPr>
          <w:p>
            <w:pPr>
              <w:spacing w:before="0" w:after="0"/>
              <w:jc w:val="left"/>
            </w:pPr>
            <w:r>
              <w:rPr>
                <w:sz w:val="18"/>
                <w:szCs w:val="18"/>
              </w:rPr>
              <w:t xml:space="preserve">Common stock (Series C)</w:t>
            </w:r>
          </w:p>
        </w:tc>
        <w:tc>
          <w:tcPr>
            <w:tcW w:w="1600" w:type="dxa"/>
            <w:vAlign w:val="center"/>
          </w:tcPr>
          <w:p>
            <w:pPr>
              <w:spacing w:before="0" w:after="0"/>
              <w:jc w:val="right"/>
            </w:pPr>
            <w:r>
              <w:rPr>
                <w:sz w:val="18"/>
                <w:szCs w:val="18"/>
              </w:rPr>
              <w:t xml:space="preserve">282,000</w:t>
            </w:r>
          </w:p>
        </w:tc>
        <w:tc>
          <w:tcPr>
            <w:tcW w:w="5272" w:type="dxa"/>
            <w:vAlign w:val="center"/>
          </w:tcPr>
          <w:p>
            <w:pPr>
              <w:spacing w:before="0" w:after="0"/>
              <w:jc w:val="left"/>
            </w:pPr>
            <w:r>
              <w:rPr>
                <w:sz w:val="18"/>
                <w:szCs w:val="18"/>
              </w:rPr>
              <w:t xml:space="preserve">Full voting rights; the standard class of shares of the Company, with no restriction on the rights of holders.</w:t>
            </w:r>
          </w:p>
        </w:tc>
      </w:tr>
    </w:tbl>
    <w:p>
      <w:pPr/>
    </w:p>
    <w:p>
      <w:pPr>
        <w:pStyle w:val="Heading3"/>
        <w:keepNext/>
      </w:pPr>
      <w:r>
        <w:t xml:space="preserve">5. Use of Proceeds</w:t>
      </w:r>
    </w:p>
    <w:p>
      <w:pPr>
        <w:ind w:left="0" w:firstLine="360"/>
      </w:pPr>
      <w:r>
        <w:t xml:space="preserve">Revenue from loyalty rewards is deferred until the reward is redeemed or expires. Nimbus Coffee depends on a small number of dairy and bakery suppliers in each region, and an interruption in their deliveries could affect sales at the stores they serve. Capital expenditures totaled $22,180 thousand and consisted mainly of the build-out of new stores, the remodeling of existing stores and a second roasting line at the Northfield roastery. Total assets at the end of the fiscal year were $104,252 thousand, an increase of $34,677 thousand from the end of the prior fiscal year. Total assets at the end of the fiscal year were $222,651 thousand, an increase of $35,745 thousand from the end of the prior fiscal year.</w:t>
      </w:r>
    </w:p>
    <w:p>
      <w:pPr>
        <w:ind w:left="0" w:firstLine="360"/>
      </w:pPr>
      <w:r>
        <w:t xml:space="preserve">Net cash used in investing activities was $10,440 thousand, primarily for purchases of property and equipment. Orders placed through the online store, including orders for pickup in store and home delivery of whole beans, accounted for 32.1% of revenue in the Beverages and Beans categories. Revenue from loyalty rewards is deferred until the reward is redeemed or expires.</w:t>
      </w:r>
    </w:p>
    <w:tbl>
      <w:tblPr>
        <w:tblW w:w="907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72" w:type="dxa"/>
          <w:right w:w="72" w:type="dxa"/>
        </w:tblCellMar>
      </w:tblPr>
      <w:tblGrid>
        <w:gridCol w:w="2200"/>
        <w:gridCol w:w="1600"/>
        <w:gridCol w:w="5272"/>
      </w:tblGrid>
      <w:tr>
        <w:trPr>
          <w:tblHeader/>
        </w:trPr>
        <w:tc>
          <w:tcPr>
            <w:tcW w:w="2200" w:type="dxa"/>
            <w:shd w:val="clear" w:color="auto" w:fill="DDEBF7"/>
            <w:vAlign w:val="center"/>
          </w:tcPr>
          <w:p>
            <w:pPr>
              <w:spacing w:before="0" w:after="0"/>
              <w:jc w:val="center"/>
            </w:pPr>
            <w:r>
              <w:rPr>
                <w:b/>
                <w:sz w:val="18"/>
                <w:szCs w:val="18"/>
              </w:rPr>
              <w:t xml:space="preserve">Class</w:t>
            </w:r>
          </w:p>
        </w:tc>
        <w:tc>
          <w:tcPr>
            <w:tcW w:w="1600" w:type="dxa"/>
            <w:shd w:val="clear" w:color="auto" w:fill="DDEBF7"/>
            <w:vAlign w:val="center"/>
          </w:tcPr>
          <w:p>
            <w:pPr>
              <w:spacing w:before="0" w:after="0"/>
              <w:jc w:val="center"/>
            </w:pPr>
            <w:r>
              <w:rPr>
                <w:b/>
                <w:sz w:val="18"/>
                <w:szCs w:val="18"/>
              </w:rPr>
              <w:t xml:space="preserve">Number of shares</w:t>
            </w:r>
          </w:p>
        </w:tc>
        <w:tc>
          <w:tcPr>
            <w:tcW w:w="5272" w:type="dxa"/>
            <w:shd w:val="clear" w:color="auto" w:fill="DDEBF7"/>
            <w:vAlign w:val="center"/>
          </w:tcPr>
          <w:p>
            <w:pPr>
              <w:spacing w:before="0" w:after="0"/>
              <w:jc w:val="center"/>
            </w:pPr>
            <w:r>
              <w:rPr>
                <w:b/>
                <w:sz w:val="18"/>
                <w:szCs w:val="18"/>
              </w:rPr>
              <w:t xml:space="preserve">Description</w:t>
            </w:r>
          </w:p>
        </w:tc>
      </w:tr>
      <w:tr>
        <w:tc>
          <w:tcPr>
            <w:tcW w:w="2200" w:type="dxa"/>
            <w:vAlign w:val="center"/>
          </w:tcPr>
          <w:p>
            <w:pPr>
              <w:spacing w:before="0" w:after="0"/>
              <w:jc w:val="left"/>
            </w:pPr>
            <w:r>
              <w:rPr>
                <w:sz w:val="18"/>
                <w:szCs w:val="18"/>
              </w:rPr>
              <w:t xml:space="preserve">Common stock (Series A)</w:t>
            </w:r>
          </w:p>
        </w:tc>
        <w:tc>
          <w:tcPr>
            <w:tcW w:w="1600" w:type="dxa"/>
            <w:vAlign w:val="center"/>
          </w:tcPr>
          <w:p>
            <w:pPr>
              <w:spacing w:before="0" w:after="0"/>
              <w:jc w:val="right"/>
            </w:pPr>
            <w:r>
              <w:rPr>
                <w:sz w:val="18"/>
                <w:szCs w:val="18"/>
              </w:rPr>
              <w:t xml:space="preserve">109,000</w:t>
            </w:r>
          </w:p>
        </w:tc>
        <w:tc>
          <w:tcPr>
            <w:tcW w:w="5272" w:type="dxa"/>
            <w:vAlign w:val="center"/>
          </w:tcPr>
          <w:p>
            <w:pPr>
              <w:spacing w:before="0" w:after="0"/>
              <w:jc w:val="left"/>
            </w:pPr>
            <w:r>
              <w:rPr>
                <w:sz w:val="18"/>
                <w:szCs w:val="18"/>
              </w:rPr>
              <w:t xml:space="preserve">Full voting rights; the standard class of shares of the Company, with no restriction on the rights of holders.</w:t>
            </w:r>
          </w:p>
        </w:tc>
      </w:tr>
      <w:tr>
        <w:tc>
          <w:tcPr>
            <w:tcW w:w="2200" w:type="dxa"/>
            <w:vAlign w:val="center"/>
          </w:tcPr>
          <w:p>
            <w:pPr>
              <w:spacing w:before="0" w:after="0"/>
              <w:jc w:val="left"/>
            </w:pPr>
            <w:r>
              <w:rPr>
                <w:sz w:val="18"/>
                <w:szCs w:val="18"/>
              </w:rPr>
              <w:t xml:space="preserve">Common stock (Series B)</w:t>
            </w:r>
          </w:p>
        </w:tc>
        <w:tc>
          <w:tcPr>
            <w:tcW w:w="1600" w:type="dxa"/>
            <w:vAlign w:val="center"/>
          </w:tcPr>
          <w:p>
            <w:pPr>
              <w:spacing w:before="0" w:after="0"/>
              <w:jc w:val="right"/>
            </w:pPr>
            <w:r>
              <w:rPr>
                <w:sz w:val="18"/>
                <w:szCs w:val="18"/>
              </w:rPr>
              <w:t xml:space="preserve">326,000</w:t>
            </w:r>
          </w:p>
        </w:tc>
        <w:tc>
          <w:tcPr>
            <w:tcW w:w="5272" w:type="dxa"/>
            <w:vAlign w:val="center"/>
          </w:tcPr>
          <w:p>
            <w:pPr>
              <w:spacing w:before="0" w:after="0"/>
              <w:jc w:val="left"/>
            </w:pPr>
            <w:r>
              <w:rPr>
                <w:sz w:val="18"/>
                <w:szCs w:val="18"/>
              </w:rPr>
              <w:t xml:space="preserve">Full voting rights; the standard class of shares of the Company, with no restriction on the rights of holders.</w:t>
            </w:r>
          </w:p>
        </w:tc>
      </w:tr>
      <w:tr>
        <w:tc>
          <w:tcPr>
            <w:tcW w:w="2200" w:type="dxa"/>
            <w:vAlign w:val="center"/>
          </w:tcPr>
          <w:p>
            <w:pPr>
              <w:spacing w:before="0" w:after="0"/>
              <w:jc w:val="left"/>
            </w:pPr>
            <w:r>
              <w:rPr>
                <w:sz w:val="18"/>
                <w:szCs w:val="18"/>
              </w:rPr>
              <w:t xml:space="preserve">Common stock (Series C)</w:t>
            </w:r>
          </w:p>
        </w:tc>
        <w:tc>
          <w:tcPr>
            <w:tcW w:w="1600" w:type="dxa"/>
            <w:vAlign w:val="center"/>
          </w:tcPr>
          <w:p>
            <w:pPr>
              <w:spacing w:before="0" w:after="0"/>
              <w:jc w:val="right"/>
            </w:pPr>
            <w:r>
              <w:rPr>
                <w:sz w:val="18"/>
                <w:szCs w:val="18"/>
              </w:rPr>
              <w:t xml:space="preserve">217,000</w:t>
            </w:r>
          </w:p>
        </w:tc>
        <w:tc>
          <w:tcPr>
            <w:tcW w:w="5272" w:type="dxa"/>
            <w:vAlign w:val="center"/>
          </w:tcPr>
          <w:p>
            <w:pPr>
              <w:spacing w:before="0" w:after="0"/>
              <w:jc w:val="left"/>
            </w:pPr>
            <w:r>
              <w:rPr>
                <w:sz w:val="18"/>
                <w:szCs w:val="18"/>
              </w:rPr>
              <w:t xml:space="preserve">Full voting rights; the standard class of shares of the Company, with no restriction on the rights of holders.</w:t>
            </w:r>
          </w:p>
        </w:tc>
      </w:tr>
    </w:tbl>
    <w:p>
      <w:pPr/>
    </w:p>
    <w:p>
      <w:r>
        <w:br w:type="page"/>
      </w:r>
    </w:p>
    <w:p>
      <w:pPr>
        <w:pStyle w:val="Heading2"/>
        <w:keepNext/>
      </w:pPr>
      <w:r>
        <w:t xml:space="preserve">Item 3. Special Matters on Allotment to Third Parties</w:t>
      </w:r>
    </w:p>
    <w:p>
      <w:pPr>
        <w:pStyle w:val="Heading3"/>
        <w:keepNext/>
      </w:pPr>
      <w:r>
        <w:t xml:space="preserve">1. Shares Offered</w:t>
      </w:r>
    </w:p>
    <w:p>
      <w:pPr>
        <w:ind w:left="0" w:firstLine="360"/>
      </w:pPr>
      <w:r>
        <w:t xml:space="preserve">Capital expenditures totaled $12,056 thousand and consisted mainly of the build-out of new stores, the remodeling of existing stores and a second roasting line at the Northfield roastery. Inventories consist of green coffee, roasted coffee, packaging, food and merchandise, and are stated at the lower of cost and net realizable value. Each store is managed by a store manager who reports to a district manager, and district managers report to the director for their region. Each store is managed by a store manager who reports to a district manager, and district managers report to the director for their region. The loyalty program had 1,093 thousand active members at the end of the fiscal year, and purchases by members accounted for 50.9% of store revenue.</w:t>
      </w:r>
    </w:p>
    <w:p>
      <w:pPr>
        <w:ind w:left="0" w:firstLine="360"/>
      </w:pPr>
      <w:r>
        <w:t xml:space="preserve">Orders placed through the online store, including orders for pickup in store and home delivery of whole beans, accounted for 17.1% of revenue in the Beverages and Beans categories. Net cash used in investing activities was $14,553 thousand, primarily for purchases of property and equipment. Wholesale revenue comes from sales of roasted beans to restaurants, hotels and grocery stores in the regions where Nimbus Coffee operates. Total revenue for the fiscal year was $284,204 thousand, an increase of 3.0% over the prior year, and operating income was $17,528 thousand, an increase of 22.1%. Net cash used in financing activities was $7,950 thousand, reflecting repayments of the term loan and dividends paid.</w:t>
      </w:r>
    </w:p>
    <w:tbl>
      <w:tblPr>
        <w:tblW w:w="907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72" w:type="dxa"/>
          <w:right w:w="72" w:type="dxa"/>
        </w:tblCellMar>
      </w:tblPr>
      <w:tblGrid>
        <w:gridCol w:w="2200"/>
        <w:gridCol w:w="1600"/>
        <w:gridCol w:w="5272"/>
      </w:tblGrid>
      <w:tr>
        <w:trPr>
          <w:tblHeader/>
        </w:trPr>
        <w:tc>
          <w:tcPr>
            <w:tcW w:w="2200" w:type="dxa"/>
            <w:shd w:val="clear" w:color="auto" w:fill="DDEBF7"/>
            <w:vAlign w:val="center"/>
          </w:tcPr>
          <w:p>
            <w:pPr>
              <w:spacing w:before="0" w:after="0"/>
              <w:jc w:val="center"/>
            </w:pPr>
            <w:r>
              <w:rPr>
                <w:b/>
                <w:sz w:val="18"/>
                <w:szCs w:val="18"/>
              </w:rPr>
              <w:t xml:space="preserve">Class</w:t>
            </w:r>
          </w:p>
        </w:tc>
        <w:tc>
          <w:tcPr>
            <w:tcW w:w="1600" w:type="dxa"/>
            <w:shd w:val="clear" w:color="auto" w:fill="DDEBF7"/>
            <w:vAlign w:val="center"/>
          </w:tcPr>
          <w:p>
            <w:pPr>
              <w:spacing w:before="0" w:after="0"/>
              <w:jc w:val="center"/>
            </w:pPr>
            <w:r>
              <w:rPr>
                <w:b/>
                <w:sz w:val="18"/>
                <w:szCs w:val="18"/>
              </w:rPr>
              <w:t xml:space="preserve">Number of shares</w:t>
            </w:r>
          </w:p>
        </w:tc>
        <w:tc>
          <w:tcPr>
            <w:tcW w:w="5272" w:type="dxa"/>
            <w:shd w:val="clear" w:color="auto" w:fill="DDEBF7"/>
            <w:vAlign w:val="center"/>
          </w:tcPr>
          <w:p>
            <w:pPr>
              <w:spacing w:before="0" w:after="0"/>
              <w:jc w:val="center"/>
            </w:pPr>
            <w:r>
              <w:rPr>
                <w:b/>
                <w:sz w:val="18"/>
                <w:szCs w:val="18"/>
              </w:rPr>
              <w:t xml:space="preserve">Description</w:t>
            </w:r>
          </w:p>
        </w:tc>
      </w:tr>
      <w:tr>
        <w:tc>
          <w:tcPr>
            <w:tcW w:w="2200" w:type="dxa"/>
            <w:vAlign w:val="center"/>
          </w:tcPr>
          <w:p>
            <w:pPr>
              <w:spacing w:before="0" w:after="0"/>
              <w:jc w:val="left"/>
            </w:pPr>
            <w:r>
              <w:rPr>
                <w:sz w:val="18"/>
                <w:szCs w:val="18"/>
              </w:rPr>
              <w:t xml:space="preserve">Common stock (Series A)</w:t>
            </w:r>
          </w:p>
        </w:tc>
        <w:tc>
          <w:tcPr>
            <w:tcW w:w="1600" w:type="dxa"/>
            <w:vAlign w:val="center"/>
          </w:tcPr>
          <w:p>
            <w:pPr>
              <w:spacing w:before="0" w:after="0"/>
              <w:jc w:val="right"/>
            </w:pPr>
            <w:r>
              <w:rPr>
                <w:sz w:val="18"/>
                <w:szCs w:val="18"/>
              </w:rPr>
              <w:t xml:space="preserve">403,000</w:t>
            </w:r>
          </w:p>
        </w:tc>
        <w:tc>
          <w:tcPr>
            <w:tcW w:w="5272" w:type="dxa"/>
            <w:vAlign w:val="center"/>
          </w:tcPr>
          <w:p>
            <w:pPr>
              <w:spacing w:before="0" w:after="0"/>
              <w:jc w:val="left"/>
            </w:pPr>
            <w:r>
              <w:rPr>
                <w:sz w:val="18"/>
                <w:szCs w:val="18"/>
              </w:rPr>
              <w:t xml:space="preserve">Full voting rights; the standard class of shares of the Company, with no restriction on the rights of holders.</w:t>
            </w:r>
          </w:p>
        </w:tc>
      </w:tr>
      <w:tr>
        <w:tc>
          <w:tcPr>
            <w:tcW w:w="2200" w:type="dxa"/>
            <w:vAlign w:val="center"/>
          </w:tcPr>
          <w:p>
            <w:pPr>
              <w:spacing w:before="0" w:after="0"/>
              <w:jc w:val="left"/>
            </w:pPr>
            <w:r>
              <w:rPr>
                <w:sz w:val="18"/>
                <w:szCs w:val="18"/>
              </w:rPr>
              <w:t xml:space="preserve">Common stock (Series B)</w:t>
            </w:r>
          </w:p>
        </w:tc>
        <w:tc>
          <w:tcPr>
            <w:tcW w:w="1600" w:type="dxa"/>
            <w:vAlign w:val="center"/>
          </w:tcPr>
          <w:p>
            <w:pPr>
              <w:spacing w:before="0" w:after="0"/>
              <w:jc w:val="right"/>
            </w:pPr>
            <w:r>
              <w:rPr>
                <w:sz w:val="18"/>
                <w:szCs w:val="18"/>
              </w:rPr>
              <w:t xml:space="preserve">539,000</w:t>
            </w:r>
          </w:p>
        </w:tc>
        <w:tc>
          <w:tcPr>
            <w:tcW w:w="5272" w:type="dxa"/>
            <w:vAlign w:val="center"/>
          </w:tcPr>
          <w:p>
            <w:pPr>
              <w:spacing w:before="0" w:after="0"/>
              <w:jc w:val="left"/>
            </w:pPr>
            <w:r>
              <w:rPr>
                <w:sz w:val="18"/>
                <w:szCs w:val="18"/>
              </w:rPr>
              <w:t xml:space="preserve">Full voting rights; the standard class of shares of the Company, with no restriction on the rights of holders.</w:t>
            </w:r>
          </w:p>
        </w:tc>
      </w:tr>
      <w:tr>
        <w:tc>
          <w:tcPr>
            <w:tcW w:w="2200" w:type="dxa"/>
            <w:vAlign w:val="center"/>
          </w:tcPr>
          <w:p>
            <w:pPr>
              <w:spacing w:before="0" w:after="0"/>
              <w:jc w:val="left"/>
            </w:pPr>
            <w:r>
              <w:rPr>
                <w:sz w:val="18"/>
                <w:szCs w:val="18"/>
              </w:rPr>
              <w:t xml:space="preserve">Common stock (Series C)</w:t>
            </w:r>
          </w:p>
        </w:tc>
        <w:tc>
          <w:tcPr>
            <w:tcW w:w="1600" w:type="dxa"/>
            <w:vAlign w:val="center"/>
          </w:tcPr>
          <w:p>
            <w:pPr>
              <w:spacing w:before="0" w:after="0"/>
              <w:jc w:val="right"/>
            </w:pPr>
            <w:r>
              <w:rPr>
                <w:sz w:val="18"/>
                <w:szCs w:val="18"/>
              </w:rPr>
              <w:t xml:space="preserve">536,000</w:t>
            </w:r>
          </w:p>
        </w:tc>
        <w:tc>
          <w:tcPr>
            <w:tcW w:w="5272" w:type="dxa"/>
            <w:vAlign w:val="center"/>
          </w:tcPr>
          <w:p>
            <w:pPr>
              <w:spacing w:before="0" w:after="0"/>
              <w:jc w:val="left"/>
            </w:pPr>
            <w:r>
              <w:rPr>
                <w:sz w:val="18"/>
                <w:szCs w:val="18"/>
              </w:rPr>
              <w:t xml:space="preserve">Full voting rights; the standard class of shares of the Company, with no restriction on the rights of holders.</w:t>
            </w:r>
          </w:p>
        </w:tc>
      </w:tr>
    </w:tbl>
    <w:p>
      <w:pPr/>
    </w:p>
    <w:p>
      <w:pPr>
        <w:pStyle w:val="Heading3"/>
        <w:keepNext/>
      </w:pPr>
      <w:r>
        <w:t xml:space="preserve">2. Method of Offering</w:t>
      </w:r>
    </w:p>
    <w:p>
      <w:pPr>
        <w:ind w:left="0" w:firstLine="360"/>
      </w:pPr>
      <w:r>
        <w:t xml:space="preserve">Each store is managed by a store manager who reports to a district manager, and district managers report to the director for their region. The loyalty program had 1,021 thousand active members at the end of the fiscal year, and purchases by members accounted for 22.4% of store revenue. These forward-looking statements are based on information available as of the date of this statement, and actual results may differ materially because of many factors.</w:t>
      </w:r>
    </w:p>
    <w:p>
      <w:pPr>
        <w:ind w:left="0" w:firstLine="360"/>
      </w:pPr>
      <w:r>
        <w:t xml:space="preserve">The Company leases all of its store premises under operating leases with initial terms of ten years, most of which include options to renew. Energy use per store decreased 12.2% compared with the prior year, as older espresso machines and refrigerators were replaced with more efficient models. Total assets at the end of the fiscal year were $207,728 thousand, an increase of $29,466 thousand from the end of the prior fiscal year. Revenue from stores in the Harborview region increased 10.9% compared with the prior year, while its share of total revenue was little changed. The Group leases all of its store premises under operating leases with initial terms of ten years, most of which include options to renew.</w:t>
      </w:r>
    </w:p>
    <w:tbl>
      <w:tblPr>
        <w:tblW w:w="907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72" w:type="dxa"/>
          <w:right w:w="72" w:type="dxa"/>
        </w:tblCellMar>
      </w:tblPr>
      <w:tblGrid>
        <w:gridCol w:w="2200"/>
        <w:gridCol w:w="1600"/>
        <w:gridCol w:w="5272"/>
      </w:tblGrid>
      <w:tr>
        <w:trPr>
          <w:tblHeader/>
        </w:trPr>
        <w:tc>
          <w:tcPr>
            <w:tcW w:w="2200" w:type="dxa"/>
            <w:shd w:val="clear" w:color="auto" w:fill="DDEBF7"/>
            <w:vAlign w:val="center"/>
          </w:tcPr>
          <w:p>
            <w:pPr>
              <w:spacing w:before="0" w:after="0"/>
              <w:jc w:val="center"/>
            </w:pPr>
            <w:r>
              <w:rPr>
                <w:b/>
                <w:sz w:val="18"/>
                <w:szCs w:val="18"/>
              </w:rPr>
              <w:t xml:space="preserve">Class</w:t>
            </w:r>
          </w:p>
        </w:tc>
        <w:tc>
          <w:tcPr>
            <w:tcW w:w="1600" w:type="dxa"/>
            <w:shd w:val="clear" w:color="auto" w:fill="DDEBF7"/>
            <w:vAlign w:val="center"/>
          </w:tcPr>
          <w:p>
            <w:pPr>
              <w:spacing w:before="0" w:after="0"/>
              <w:jc w:val="center"/>
            </w:pPr>
            <w:r>
              <w:rPr>
                <w:b/>
                <w:sz w:val="18"/>
                <w:szCs w:val="18"/>
              </w:rPr>
              <w:t xml:space="preserve">Number of shares</w:t>
            </w:r>
          </w:p>
        </w:tc>
        <w:tc>
          <w:tcPr>
            <w:tcW w:w="5272" w:type="dxa"/>
            <w:shd w:val="clear" w:color="auto" w:fill="DDEBF7"/>
            <w:vAlign w:val="center"/>
          </w:tcPr>
          <w:p>
            <w:pPr>
              <w:spacing w:before="0" w:after="0"/>
              <w:jc w:val="center"/>
            </w:pPr>
            <w:r>
              <w:rPr>
                <w:b/>
                <w:sz w:val="18"/>
                <w:szCs w:val="18"/>
              </w:rPr>
              <w:t xml:space="preserve">Description</w:t>
            </w:r>
          </w:p>
        </w:tc>
      </w:tr>
      <w:tr>
        <w:tc>
          <w:tcPr>
            <w:tcW w:w="2200" w:type="dxa"/>
            <w:vAlign w:val="center"/>
          </w:tcPr>
          <w:p>
            <w:pPr>
              <w:spacing w:before="0" w:after="0"/>
              <w:jc w:val="left"/>
            </w:pPr>
            <w:r>
              <w:rPr>
                <w:sz w:val="18"/>
                <w:szCs w:val="18"/>
              </w:rPr>
              <w:t xml:space="preserve">Common stock (Series A)</w:t>
            </w:r>
          </w:p>
        </w:tc>
        <w:tc>
          <w:tcPr>
            <w:tcW w:w="1600" w:type="dxa"/>
            <w:vAlign w:val="center"/>
          </w:tcPr>
          <w:p>
            <w:pPr>
              <w:spacing w:before="0" w:after="0"/>
              <w:jc w:val="right"/>
            </w:pPr>
            <w:r>
              <w:rPr>
                <w:sz w:val="18"/>
                <w:szCs w:val="18"/>
              </w:rPr>
              <w:t xml:space="preserve">439,000</w:t>
            </w:r>
          </w:p>
        </w:tc>
        <w:tc>
          <w:tcPr>
            <w:tcW w:w="5272" w:type="dxa"/>
            <w:vAlign w:val="center"/>
          </w:tcPr>
          <w:p>
            <w:pPr>
              <w:spacing w:before="0" w:after="0"/>
              <w:jc w:val="left"/>
            </w:pPr>
            <w:r>
              <w:rPr>
                <w:sz w:val="18"/>
                <w:szCs w:val="18"/>
              </w:rPr>
              <w:t xml:space="preserve">Full voting rights; the standard class of shares of the Company, with no restriction on the rights of holders.</w:t>
            </w:r>
          </w:p>
        </w:tc>
      </w:tr>
      <w:tr>
        <w:tc>
          <w:tcPr>
            <w:tcW w:w="2200" w:type="dxa"/>
            <w:vAlign w:val="center"/>
          </w:tcPr>
          <w:p>
            <w:pPr>
              <w:spacing w:before="0" w:after="0"/>
              <w:jc w:val="left"/>
            </w:pPr>
            <w:r>
              <w:rPr>
                <w:sz w:val="18"/>
                <w:szCs w:val="18"/>
              </w:rPr>
              <w:t xml:space="preserve">Common stock (Series B)</w:t>
            </w:r>
          </w:p>
        </w:tc>
        <w:tc>
          <w:tcPr>
            <w:tcW w:w="1600" w:type="dxa"/>
            <w:vAlign w:val="center"/>
          </w:tcPr>
          <w:p>
            <w:pPr>
              <w:spacing w:before="0" w:after="0"/>
              <w:jc w:val="right"/>
            </w:pPr>
            <w:r>
              <w:rPr>
                <w:sz w:val="18"/>
                <w:szCs w:val="18"/>
              </w:rPr>
              <w:t xml:space="preserve">462,000</w:t>
            </w:r>
          </w:p>
        </w:tc>
        <w:tc>
          <w:tcPr>
            <w:tcW w:w="5272" w:type="dxa"/>
            <w:vAlign w:val="center"/>
          </w:tcPr>
          <w:p>
            <w:pPr>
              <w:spacing w:before="0" w:after="0"/>
              <w:jc w:val="left"/>
            </w:pPr>
            <w:r>
              <w:rPr>
                <w:sz w:val="18"/>
                <w:szCs w:val="18"/>
              </w:rPr>
              <w:t xml:space="preserve">Full voting rights; the standard class of shares of the Company, with no restriction on the rights of holders.</w:t>
            </w:r>
          </w:p>
        </w:tc>
      </w:tr>
      <w:tr>
        <w:tc>
          <w:tcPr>
            <w:tcW w:w="2200" w:type="dxa"/>
            <w:vAlign w:val="center"/>
          </w:tcPr>
          <w:p>
            <w:pPr>
              <w:spacing w:before="0" w:after="0"/>
              <w:jc w:val="left"/>
            </w:pPr>
            <w:r>
              <w:rPr>
                <w:sz w:val="18"/>
                <w:szCs w:val="18"/>
              </w:rPr>
              <w:t xml:space="preserve">Common stock (Series C)</w:t>
            </w:r>
          </w:p>
        </w:tc>
        <w:tc>
          <w:tcPr>
            <w:tcW w:w="1600" w:type="dxa"/>
            <w:vAlign w:val="center"/>
          </w:tcPr>
          <w:p>
            <w:pPr>
              <w:spacing w:before="0" w:after="0"/>
              <w:jc w:val="right"/>
            </w:pPr>
            <w:r>
              <w:rPr>
                <w:sz w:val="18"/>
                <w:szCs w:val="18"/>
              </w:rPr>
              <w:t xml:space="preserve">302,000</w:t>
            </w:r>
          </w:p>
        </w:tc>
        <w:tc>
          <w:tcPr>
            <w:tcW w:w="5272" w:type="dxa"/>
            <w:vAlign w:val="center"/>
          </w:tcPr>
          <w:p>
            <w:pPr>
              <w:spacing w:before="0" w:after="0"/>
              <w:jc w:val="left"/>
            </w:pPr>
            <w:r>
              <w:rPr>
                <w:sz w:val="18"/>
                <w:szCs w:val="18"/>
              </w:rPr>
              <w:t xml:space="preserve">Full voting rights; the standard class of shares of the Company, with no restriction on the rights of holders.</w:t>
            </w:r>
          </w:p>
        </w:tc>
      </w:tr>
    </w:tbl>
    <w:p>
      <w:pPr/>
    </w:p>
    <w:p>
      <w:pPr>
        <w:pStyle w:val="Heading3"/>
        <w:keepNext/>
      </w:pPr>
      <w:r>
        <w:t xml:space="preserve">3. Terms of the Offering</w:t>
      </w:r>
    </w:p>
    <w:p>
      <w:pPr>
        <w:ind w:left="0" w:firstLine="360"/>
      </w:pPr>
      <w:r>
        <w:t xml:space="preserve">At the end of the fiscal year, Nimbus Coffee operated 167 company-operated stores in eight regions: Northfield, Eastbay, Southport, Westridge, Lakeside, Hillcrest, Riverside and Harborview. Comparable store sales increased 6.2%, driven by a 2.6% increase in average ticket and a 2.8% increase in transactions. The Company depends on a small number of dairy and bakery suppliers in each region, and an interruption in their deliveries could affect sales at the stores they serve. Net cash provided by operating activities was $117,104 thousand, mainly reflecting net income and depreciation and amortization.</w:t>
      </w:r>
    </w:p>
    <w:p>
      <w:pPr>
        <w:ind w:left="0" w:firstLine="360"/>
      </w:pPr>
      <w:r>
        <w:t xml:space="preserve">Comparable store sales increased 5.8%, driven by a 1.9% increase in average ticket and a 1.4% increase in transactions. The ability of Nimbus Coffee to open new stores depends on finding suitable sites on acceptable lease terms and on hiring and training store managers. The Company holds no derivatives other than coffee futures contracts used to fix the price of part of its future green coffee purchases.</w:t>
      </w:r>
    </w:p>
    <w:tbl>
      <w:tblPr>
        <w:tblW w:w="907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72" w:type="dxa"/>
          <w:right w:w="72" w:type="dxa"/>
        </w:tblCellMar>
      </w:tblPr>
      <w:tblGrid>
        <w:gridCol w:w="2200"/>
        <w:gridCol w:w="1600"/>
        <w:gridCol w:w="5272"/>
      </w:tblGrid>
      <w:tr>
        <w:trPr>
          <w:tblHeader/>
        </w:trPr>
        <w:tc>
          <w:tcPr>
            <w:tcW w:w="2200" w:type="dxa"/>
            <w:shd w:val="clear" w:color="auto" w:fill="DDEBF7"/>
            <w:vAlign w:val="center"/>
          </w:tcPr>
          <w:p>
            <w:pPr>
              <w:spacing w:before="0" w:after="0"/>
              <w:jc w:val="center"/>
            </w:pPr>
            <w:r>
              <w:rPr>
                <w:b/>
                <w:sz w:val="18"/>
                <w:szCs w:val="18"/>
              </w:rPr>
              <w:t xml:space="preserve">Class</w:t>
            </w:r>
          </w:p>
        </w:tc>
        <w:tc>
          <w:tcPr>
            <w:tcW w:w="1600" w:type="dxa"/>
            <w:shd w:val="clear" w:color="auto" w:fill="DDEBF7"/>
            <w:vAlign w:val="center"/>
          </w:tcPr>
          <w:p>
            <w:pPr>
              <w:spacing w:before="0" w:after="0"/>
              <w:jc w:val="center"/>
            </w:pPr>
            <w:r>
              <w:rPr>
                <w:b/>
                <w:sz w:val="18"/>
                <w:szCs w:val="18"/>
              </w:rPr>
              <w:t xml:space="preserve">Number of shares</w:t>
            </w:r>
          </w:p>
        </w:tc>
        <w:tc>
          <w:tcPr>
            <w:tcW w:w="5272" w:type="dxa"/>
            <w:shd w:val="clear" w:color="auto" w:fill="DDEBF7"/>
            <w:vAlign w:val="center"/>
          </w:tcPr>
          <w:p>
            <w:pPr>
              <w:spacing w:before="0" w:after="0"/>
              <w:jc w:val="center"/>
            </w:pPr>
            <w:r>
              <w:rPr>
                <w:b/>
                <w:sz w:val="18"/>
                <w:szCs w:val="18"/>
              </w:rPr>
              <w:t xml:space="preserve">Description</w:t>
            </w:r>
          </w:p>
        </w:tc>
      </w:tr>
      <w:tr>
        <w:tc>
          <w:tcPr>
            <w:tcW w:w="2200" w:type="dxa"/>
            <w:vAlign w:val="center"/>
          </w:tcPr>
          <w:p>
            <w:pPr>
              <w:spacing w:before="0" w:after="0"/>
              <w:jc w:val="left"/>
            </w:pPr>
            <w:r>
              <w:rPr>
                <w:sz w:val="18"/>
                <w:szCs w:val="18"/>
              </w:rPr>
              <w:t xml:space="preserve">Common stock (Series A)</w:t>
            </w:r>
          </w:p>
        </w:tc>
        <w:tc>
          <w:tcPr>
            <w:tcW w:w="1600" w:type="dxa"/>
            <w:vAlign w:val="center"/>
          </w:tcPr>
          <w:p>
            <w:pPr>
              <w:spacing w:before="0" w:after="0"/>
              <w:jc w:val="right"/>
            </w:pPr>
            <w:r>
              <w:rPr>
                <w:sz w:val="18"/>
                <w:szCs w:val="18"/>
              </w:rPr>
              <w:t xml:space="preserve">451,000</w:t>
            </w:r>
          </w:p>
        </w:tc>
        <w:tc>
          <w:tcPr>
            <w:tcW w:w="5272" w:type="dxa"/>
            <w:vAlign w:val="center"/>
          </w:tcPr>
          <w:p>
            <w:pPr>
              <w:spacing w:before="0" w:after="0"/>
              <w:jc w:val="left"/>
            </w:pPr>
            <w:r>
              <w:rPr>
                <w:sz w:val="18"/>
                <w:szCs w:val="18"/>
              </w:rPr>
              <w:t xml:space="preserve">Full voting rights; the standard class of shares of the Company, with no restriction on the rights of holders.</w:t>
            </w:r>
          </w:p>
        </w:tc>
      </w:tr>
      <w:tr>
        <w:tc>
          <w:tcPr>
            <w:tcW w:w="2200" w:type="dxa"/>
            <w:vAlign w:val="center"/>
          </w:tcPr>
          <w:p>
            <w:pPr>
              <w:spacing w:before="0" w:after="0"/>
              <w:jc w:val="left"/>
            </w:pPr>
            <w:r>
              <w:rPr>
                <w:sz w:val="18"/>
                <w:szCs w:val="18"/>
              </w:rPr>
              <w:t xml:space="preserve">Common stock (Series B)</w:t>
            </w:r>
          </w:p>
        </w:tc>
        <w:tc>
          <w:tcPr>
            <w:tcW w:w="1600" w:type="dxa"/>
            <w:vAlign w:val="center"/>
          </w:tcPr>
          <w:p>
            <w:pPr>
              <w:spacing w:before="0" w:after="0"/>
              <w:jc w:val="right"/>
            </w:pPr>
            <w:r>
              <w:rPr>
                <w:sz w:val="18"/>
                <w:szCs w:val="18"/>
              </w:rPr>
              <w:t xml:space="preserve">284,000</w:t>
            </w:r>
          </w:p>
        </w:tc>
        <w:tc>
          <w:tcPr>
            <w:tcW w:w="5272" w:type="dxa"/>
            <w:vAlign w:val="center"/>
          </w:tcPr>
          <w:p>
            <w:pPr>
              <w:spacing w:before="0" w:after="0"/>
              <w:jc w:val="left"/>
            </w:pPr>
            <w:r>
              <w:rPr>
                <w:sz w:val="18"/>
                <w:szCs w:val="18"/>
              </w:rPr>
              <w:t xml:space="preserve">Full voting rights; the standard class of shares of the Company, with no restriction on the rights of holders.</w:t>
            </w:r>
          </w:p>
        </w:tc>
      </w:tr>
      <w:tr>
        <w:tc>
          <w:tcPr>
            <w:tcW w:w="2200" w:type="dxa"/>
            <w:vAlign w:val="center"/>
          </w:tcPr>
          <w:p>
            <w:pPr>
              <w:spacing w:before="0" w:after="0"/>
              <w:jc w:val="left"/>
            </w:pPr>
            <w:r>
              <w:rPr>
                <w:sz w:val="18"/>
                <w:szCs w:val="18"/>
              </w:rPr>
              <w:t xml:space="preserve">Common stock (Series C)</w:t>
            </w:r>
          </w:p>
        </w:tc>
        <w:tc>
          <w:tcPr>
            <w:tcW w:w="1600" w:type="dxa"/>
            <w:vAlign w:val="center"/>
          </w:tcPr>
          <w:p>
            <w:pPr>
              <w:spacing w:before="0" w:after="0"/>
              <w:jc w:val="right"/>
            </w:pPr>
            <w:r>
              <w:rPr>
                <w:sz w:val="18"/>
                <w:szCs w:val="18"/>
              </w:rPr>
              <w:t xml:space="preserve">340,000</w:t>
            </w:r>
          </w:p>
        </w:tc>
        <w:tc>
          <w:tcPr>
            <w:tcW w:w="5272" w:type="dxa"/>
            <w:vAlign w:val="center"/>
          </w:tcPr>
          <w:p>
            <w:pPr>
              <w:spacing w:before="0" w:after="0"/>
              <w:jc w:val="left"/>
            </w:pPr>
            <w:r>
              <w:rPr>
                <w:sz w:val="18"/>
                <w:szCs w:val="18"/>
              </w:rPr>
              <w:t xml:space="preserve">Full voting rights; the standard class of shares of the Company, with no restriction on the rights of holders.</w:t>
            </w:r>
          </w:p>
        </w:tc>
      </w:tr>
    </w:tbl>
    <w:p>
      <w:pPr/>
    </w:p>
    <w:p>
      <w:pPr>
        <w:pStyle w:val="Heading3"/>
        <w:keepNext/>
      </w:pPr>
      <w:r>
        <w:t xml:space="preserve">4. Underwriting</w:t>
      </w:r>
    </w:p>
    <w:p>
      <w:pPr>
        <w:ind w:left="0" w:firstLine="360"/>
      </w:pPr>
      <w:r>
        <w:t xml:space="preserve">The Company depends on a small number of dairy and bakery suppliers in each region, and an interruption in their deliveries could affect sales at the stores they serve. During the fiscal year, the Group opened 8 new stores and closed 2 stores whose leases expired. Occupancy costs increased to $16,559 thousand, reflecting rent for new stores and scheduled rent increases at existing locations.</w:t>
      </w:r>
    </w:p>
    <w:p>
      <w:pPr>
        <w:ind w:left="0" w:firstLine="360"/>
      </w:pPr>
      <w:r>
        <w:t xml:space="preserve">The Group intends to pay dividends out of retained earnings while keeping sufficient funds to finance the opening of new stores. Net cash provided by operating activities was $236,632 thousand, mainly reflecting net income and depreciation and amortization. Food safety incidents, whether or not they occur at our stores, could harm the reputation of the Nimbus Coffee brand and reduce customer traffic.</w:t>
      </w:r>
    </w:p>
    <w:tbl>
      <w:tblPr>
        <w:tblW w:w="907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72" w:type="dxa"/>
          <w:right w:w="72" w:type="dxa"/>
        </w:tblCellMar>
      </w:tblPr>
      <w:tblGrid>
        <w:gridCol w:w="2200"/>
        <w:gridCol w:w="1600"/>
        <w:gridCol w:w="5272"/>
      </w:tblGrid>
      <w:tr>
        <w:trPr>
          <w:tblHeader/>
        </w:trPr>
        <w:tc>
          <w:tcPr>
            <w:tcW w:w="2200" w:type="dxa"/>
            <w:shd w:val="clear" w:color="auto" w:fill="DDEBF7"/>
            <w:vAlign w:val="center"/>
          </w:tcPr>
          <w:p>
            <w:pPr>
              <w:spacing w:before="0" w:after="0"/>
              <w:jc w:val="center"/>
            </w:pPr>
            <w:r>
              <w:rPr>
                <w:b/>
                <w:sz w:val="18"/>
                <w:szCs w:val="18"/>
              </w:rPr>
              <w:t xml:space="preserve">Class</w:t>
            </w:r>
          </w:p>
        </w:tc>
        <w:tc>
          <w:tcPr>
            <w:tcW w:w="1600" w:type="dxa"/>
            <w:shd w:val="clear" w:color="auto" w:fill="DDEBF7"/>
            <w:vAlign w:val="center"/>
          </w:tcPr>
          <w:p>
            <w:pPr>
              <w:spacing w:before="0" w:after="0"/>
              <w:jc w:val="center"/>
            </w:pPr>
            <w:r>
              <w:rPr>
                <w:b/>
                <w:sz w:val="18"/>
                <w:szCs w:val="18"/>
              </w:rPr>
              <w:t xml:space="preserve">Number of shares</w:t>
            </w:r>
          </w:p>
        </w:tc>
        <w:tc>
          <w:tcPr>
            <w:tcW w:w="5272" w:type="dxa"/>
            <w:shd w:val="clear" w:color="auto" w:fill="DDEBF7"/>
            <w:vAlign w:val="center"/>
          </w:tcPr>
          <w:p>
            <w:pPr>
              <w:spacing w:before="0" w:after="0"/>
              <w:jc w:val="center"/>
            </w:pPr>
            <w:r>
              <w:rPr>
                <w:b/>
                <w:sz w:val="18"/>
                <w:szCs w:val="18"/>
              </w:rPr>
              <w:t xml:space="preserve">Description</w:t>
            </w:r>
          </w:p>
        </w:tc>
      </w:tr>
      <w:tr>
        <w:tc>
          <w:tcPr>
            <w:tcW w:w="2200" w:type="dxa"/>
            <w:vAlign w:val="center"/>
          </w:tcPr>
          <w:p>
            <w:pPr>
              <w:spacing w:before="0" w:after="0"/>
              <w:jc w:val="left"/>
            </w:pPr>
            <w:r>
              <w:rPr>
                <w:sz w:val="18"/>
                <w:szCs w:val="18"/>
              </w:rPr>
              <w:t xml:space="preserve">Common stock (Series A)</w:t>
            </w:r>
          </w:p>
        </w:tc>
        <w:tc>
          <w:tcPr>
            <w:tcW w:w="1600" w:type="dxa"/>
            <w:vAlign w:val="center"/>
          </w:tcPr>
          <w:p>
            <w:pPr>
              <w:spacing w:before="0" w:after="0"/>
              <w:jc w:val="right"/>
            </w:pPr>
            <w:r>
              <w:rPr>
                <w:sz w:val="18"/>
                <w:szCs w:val="18"/>
              </w:rPr>
              <w:t xml:space="preserve">27,000</w:t>
            </w:r>
          </w:p>
        </w:tc>
        <w:tc>
          <w:tcPr>
            <w:tcW w:w="5272" w:type="dxa"/>
            <w:vAlign w:val="center"/>
          </w:tcPr>
          <w:p>
            <w:pPr>
              <w:spacing w:before="0" w:after="0"/>
              <w:jc w:val="left"/>
            </w:pPr>
            <w:r>
              <w:rPr>
                <w:sz w:val="18"/>
                <w:szCs w:val="18"/>
              </w:rPr>
              <w:t xml:space="preserve">Full voting rights; the standard class of shares of the Company, with no restriction on the rights of holders.</w:t>
            </w:r>
          </w:p>
        </w:tc>
      </w:tr>
      <w:tr>
        <w:tc>
          <w:tcPr>
            <w:tcW w:w="2200" w:type="dxa"/>
            <w:vAlign w:val="center"/>
          </w:tcPr>
          <w:p>
            <w:pPr>
              <w:spacing w:before="0" w:after="0"/>
              <w:jc w:val="left"/>
            </w:pPr>
            <w:r>
              <w:rPr>
                <w:sz w:val="18"/>
                <w:szCs w:val="18"/>
              </w:rPr>
              <w:t xml:space="preserve">Common stock (Series B)</w:t>
            </w:r>
          </w:p>
        </w:tc>
        <w:tc>
          <w:tcPr>
            <w:tcW w:w="1600" w:type="dxa"/>
            <w:vAlign w:val="center"/>
          </w:tcPr>
          <w:p>
            <w:pPr>
              <w:spacing w:before="0" w:after="0"/>
              <w:jc w:val="right"/>
            </w:pPr>
            <w:r>
              <w:rPr>
                <w:sz w:val="18"/>
                <w:szCs w:val="18"/>
              </w:rPr>
              <w:t xml:space="preserve">124,000</w:t>
            </w:r>
          </w:p>
        </w:tc>
        <w:tc>
          <w:tcPr>
            <w:tcW w:w="5272" w:type="dxa"/>
            <w:vAlign w:val="center"/>
          </w:tcPr>
          <w:p>
            <w:pPr>
              <w:spacing w:before="0" w:after="0"/>
              <w:jc w:val="left"/>
            </w:pPr>
            <w:r>
              <w:rPr>
                <w:sz w:val="18"/>
                <w:szCs w:val="18"/>
              </w:rPr>
              <w:t xml:space="preserve">Full voting rights; the standard class of shares of the Company, with no restriction on the rights of holders.</w:t>
            </w:r>
          </w:p>
        </w:tc>
      </w:tr>
      <w:tr>
        <w:tc>
          <w:tcPr>
            <w:tcW w:w="2200" w:type="dxa"/>
            <w:vAlign w:val="center"/>
          </w:tcPr>
          <w:p>
            <w:pPr>
              <w:spacing w:before="0" w:after="0"/>
              <w:jc w:val="left"/>
            </w:pPr>
            <w:r>
              <w:rPr>
                <w:sz w:val="18"/>
                <w:szCs w:val="18"/>
              </w:rPr>
              <w:t xml:space="preserve">Common stock (Series C)</w:t>
            </w:r>
          </w:p>
        </w:tc>
        <w:tc>
          <w:tcPr>
            <w:tcW w:w="1600" w:type="dxa"/>
            <w:vAlign w:val="center"/>
          </w:tcPr>
          <w:p>
            <w:pPr>
              <w:spacing w:before="0" w:after="0"/>
              <w:jc w:val="right"/>
            </w:pPr>
            <w:r>
              <w:rPr>
                <w:sz w:val="18"/>
                <w:szCs w:val="18"/>
              </w:rPr>
              <w:t xml:space="preserve">562,000</w:t>
            </w:r>
          </w:p>
        </w:tc>
        <w:tc>
          <w:tcPr>
            <w:tcW w:w="5272" w:type="dxa"/>
            <w:vAlign w:val="center"/>
          </w:tcPr>
          <w:p>
            <w:pPr>
              <w:spacing w:before="0" w:after="0"/>
              <w:jc w:val="left"/>
            </w:pPr>
            <w:r>
              <w:rPr>
                <w:sz w:val="18"/>
                <w:szCs w:val="18"/>
              </w:rPr>
              <w:t xml:space="preserve">Full voting rights; the standard class of shares of the Company, with no restriction on the rights of holders.</w:t>
            </w:r>
          </w:p>
        </w:tc>
      </w:tr>
    </w:tbl>
    <w:p>
      <w:pPr/>
    </w:p>
    <w:p>
      <w:pPr>
        <w:pStyle w:val="Heading3"/>
        <w:keepNext/>
      </w:pPr>
      <w:r>
        <w:t xml:space="preserve">5. Use of Proceeds</w:t>
      </w:r>
    </w:p>
    <w:p>
      <w:pPr>
        <w:ind w:left="0" w:firstLine="360"/>
      </w:pPr>
      <w:r>
        <w:t xml:space="preserve">Wholesale revenue comes from sales of roasted beans to restaurants, hotels and grocery stores in the regions where Nimbus Coffee operates. Revenue from stores in the Southport region was $35,932 thousand, or 52.1% of total revenue. Store operating expenses, which consist mainly of wages, benefits and supplies, were 33.4% of revenue, compared with 32.9% in the prior year. The Group operates specialty coffee shops under the Nimbus Coffee name and roasts all of the coffee it serves at its own roastery in Northfield. Revenue from the Merchandise category was $7,974 thousand, or 48.1% of total revenue. The Group intends to pay dividends out of retained earnings while keeping sufficient funds to finance the opening of new stores.</w:t>
      </w:r>
    </w:p>
    <w:p>
      <w:pPr>
        <w:ind w:left="0" w:firstLine="360"/>
      </w:pPr>
      <w:r>
        <w:t xml:space="preserve">Energy use per store decreased 9.5% compared with the prior year, as older espresso machines and refrigerators were replaced with more efficient models. The Group depends on a small number of dairy and bakery suppliers in each region, and an interruption in their deliveries could affect sales at the stores they serve. Revenue from the Beans category was $54,795 thousand, or 44.5% of total revenue. The Group buys 50.9% of its green coffee by volume from farms certified under recognized sustainability standards. Food safety incidents, whether or not they occur at our stores, could harm the reputation of the Nimbus Coffee brand and reduce customer traffic.</w:t>
      </w:r>
    </w:p>
    <w:tbl>
      <w:tblPr>
        <w:tblW w:w="907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72" w:type="dxa"/>
          <w:right w:w="72" w:type="dxa"/>
        </w:tblCellMar>
      </w:tblPr>
      <w:tblGrid>
        <w:gridCol w:w="2200"/>
        <w:gridCol w:w="1600"/>
        <w:gridCol w:w="5272"/>
      </w:tblGrid>
      <w:tr>
        <w:trPr>
          <w:tblHeader/>
        </w:trPr>
        <w:tc>
          <w:tcPr>
            <w:tcW w:w="2200" w:type="dxa"/>
            <w:shd w:val="clear" w:color="auto" w:fill="DDEBF7"/>
            <w:vAlign w:val="center"/>
          </w:tcPr>
          <w:p>
            <w:pPr>
              <w:spacing w:before="0" w:after="0"/>
              <w:jc w:val="center"/>
            </w:pPr>
            <w:r>
              <w:rPr>
                <w:b/>
                <w:sz w:val="18"/>
                <w:szCs w:val="18"/>
              </w:rPr>
              <w:t xml:space="preserve">Class</w:t>
            </w:r>
          </w:p>
        </w:tc>
        <w:tc>
          <w:tcPr>
            <w:tcW w:w="1600" w:type="dxa"/>
            <w:shd w:val="clear" w:color="auto" w:fill="DDEBF7"/>
            <w:vAlign w:val="center"/>
          </w:tcPr>
          <w:p>
            <w:pPr>
              <w:spacing w:before="0" w:after="0"/>
              <w:jc w:val="center"/>
            </w:pPr>
            <w:r>
              <w:rPr>
                <w:b/>
                <w:sz w:val="18"/>
                <w:szCs w:val="18"/>
              </w:rPr>
              <w:t xml:space="preserve">Number of shares</w:t>
            </w:r>
          </w:p>
        </w:tc>
        <w:tc>
          <w:tcPr>
            <w:tcW w:w="5272" w:type="dxa"/>
            <w:shd w:val="clear" w:color="auto" w:fill="DDEBF7"/>
            <w:vAlign w:val="center"/>
          </w:tcPr>
          <w:p>
            <w:pPr>
              <w:spacing w:before="0" w:after="0"/>
              <w:jc w:val="center"/>
            </w:pPr>
            <w:r>
              <w:rPr>
                <w:b/>
                <w:sz w:val="18"/>
                <w:szCs w:val="18"/>
              </w:rPr>
              <w:t xml:space="preserve">Description</w:t>
            </w:r>
          </w:p>
        </w:tc>
      </w:tr>
      <w:tr>
        <w:tc>
          <w:tcPr>
            <w:tcW w:w="2200" w:type="dxa"/>
            <w:vAlign w:val="center"/>
          </w:tcPr>
          <w:p>
            <w:pPr>
              <w:spacing w:before="0" w:after="0"/>
              <w:jc w:val="left"/>
            </w:pPr>
            <w:r>
              <w:rPr>
                <w:sz w:val="18"/>
                <w:szCs w:val="18"/>
              </w:rPr>
              <w:t xml:space="preserve">Common stock (Series A)</w:t>
            </w:r>
          </w:p>
        </w:tc>
        <w:tc>
          <w:tcPr>
            <w:tcW w:w="1600" w:type="dxa"/>
            <w:vAlign w:val="center"/>
          </w:tcPr>
          <w:p>
            <w:pPr>
              <w:spacing w:before="0" w:after="0"/>
              <w:jc w:val="right"/>
            </w:pPr>
            <w:r>
              <w:rPr>
                <w:sz w:val="18"/>
                <w:szCs w:val="18"/>
              </w:rPr>
              <w:t xml:space="preserve">69,000</w:t>
            </w:r>
          </w:p>
        </w:tc>
        <w:tc>
          <w:tcPr>
            <w:tcW w:w="5272" w:type="dxa"/>
            <w:vAlign w:val="center"/>
          </w:tcPr>
          <w:p>
            <w:pPr>
              <w:spacing w:before="0" w:after="0"/>
              <w:jc w:val="left"/>
            </w:pPr>
            <w:r>
              <w:rPr>
                <w:sz w:val="18"/>
                <w:szCs w:val="18"/>
              </w:rPr>
              <w:t xml:space="preserve">Full voting rights; the standard class of shares of the Company, with no restriction on the rights of holders.</w:t>
            </w:r>
          </w:p>
        </w:tc>
      </w:tr>
      <w:tr>
        <w:tc>
          <w:tcPr>
            <w:tcW w:w="2200" w:type="dxa"/>
            <w:vAlign w:val="center"/>
          </w:tcPr>
          <w:p>
            <w:pPr>
              <w:spacing w:before="0" w:after="0"/>
              <w:jc w:val="left"/>
            </w:pPr>
            <w:r>
              <w:rPr>
                <w:sz w:val="18"/>
                <w:szCs w:val="18"/>
              </w:rPr>
              <w:t xml:space="preserve">Common stock (Series B)</w:t>
            </w:r>
          </w:p>
        </w:tc>
        <w:tc>
          <w:tcPr>
            <w:tcW w:w="1600" w:type="dxa"/>
            <w:vAlign w:val="center"/>
          </w:tcPr>
          <w:p>
            <w:pPr>
              <w:spacing w:before="0" w:after="0"/>
              <w:jc w:val="right"/>
            </w:pPr>
            <w:r>
              <w:rPr>
                <w:sz w:val="18"/>
                <w:szCs w:val="18"/>
              </w:rPr>
              <w:t xml:space="preserve">390,000</w:t>
            </w:r>
          </w:p>
        </w:tc>
        <w:tc>
          <w:tcPr>
            <w:tcW w:w="5272" w:type="dxa"/>
            <w:vAlign w:val="center"/>
          </w:tcPr>
          <w:p>
            <w:pPr>
              <w:spacing w:before="0" w:after="0"/>
              <w:jc w:val="left"/>
            </w:pPr>
            <w:r>
              <w:rPr>
                <w:sz w:val="18"/>
                <w:szCs w:val="18"/>
              </w:rPr>
              <w:t xml:space="preserve">Full voting rights; the standard class of shares of the Company, with no restriction on the rights of holders.</w:t>
            </w:r>
          </w:p>
        </w:tc>
      </w:tr>
      <w:tr>
        <w:tc>
          <w:tcPr>
            <w:tcW w:w="2200" w:type="dxa"/>
            <w:vAlign w:val="center"/>
          </w:tcPr>
          <w:p>
            <w:pPr>
              <w:spacing w:before="0" w:after="0"/>
              <w:jc w:val="left"/>
            </w:pPr>
            <w:r>
              <w:rPr>
                <w:sz w:val="18"/>
                <w:szCs w:val="18"/>
              </w:rPr>
              <w:t xml:space="preserve">Common stock (Series C)</w:t>
            </w:r>
          </w:p>
        </w:tc>
        <w:tc>
          <w:tcPr>
            <w:tcW w:w="1600" w:type="dxa"/>
            <w:vAlign w:val="center"/>
          </w:tcPr>
          <w:p>
            <w:pPr>
              <w:spacing w:before="0" w:after="0"/>
              <w:jc w:val="right"/>
            </w:pPr>
            <w:r>
              <w:rPr>
                <w:sz w:val="18"/>
                <w:szCs w:val="18"/>
              </w:rPr>
              <w:t xml:space="preserve">465,000</w:t>
            </w:r>
          </w:p>
        </w:tc>
        <w:tc>
          <w:tcPr>
            <w:tcW w:w="5272" w:type="dxa"/>
            <w:vAlign w:val="center"/>
          </w:tcPr>
          <w:p>
            <w:pPr>
              <w:spacing w:before="0" w:after="0"/>
              <w:jc w:val="left"/>
            </w:pPr>
            <w:r>
              <w:rPr>
                <w:sz w:val="18"/>
                <w:szCs w:val="18"/>
              </w:rPr>
              <w:t xml:space="preserve">Full voting rights; the standard class of shares of the Company, with no restriction on the rights of holders.</w:t>
            </w:r>
          </w:p>
        </w:tc>
      </w:tr>
    </w:tbl>
    <w:p>
      <w:pPr/>
    </w:p>
    <w:p>
      <w:r>
        <w:br w:type="page"/>
      </w:r>
    </w:p>
    <w:p>
      <w:pPr>
        <w:pStyle w:val="Heading1"/>
        <w:keepNext/>
      </w:pPr>
      <w:r>
        <w:t xml:space="preserve">Part II — Information about the Company</w:t>
      </w:r>
    </w:p>
    <w:p>
      <w:r>
        <w:br w:type="page"/>
      </w:r>
    </w:p>
    <w:p>
      <w:pPr>
        <w:pStyle w:val="Heading2"/>
        <w:keepNext/>
      </w:pPr>
      <w:r>
        <w:t xml:space="preserve">Item 1. Overview of the Company</w:t>
      </w:r>
    </w:p>
    <w:p>
      <w:pPr>
        <w:pStyle w:val="Heading3"/>
        <w:keepNext/>
      </w:pPr>
      <w:r>
        <w:t xml:space="preserve">1. Selected Financial Data</w:t>
      </w:r>
    </w:p>
    <w:p>
      <w:pPr>
        <w:keepNext/>
      </w:pPr>
      <w:r>
        <w:rPr>
          <w:b/>
        </w:rPr>
        <w:t xml:space="preserve">(1) Consolidated</w:t>
      </w:r>
    </w:p>
    <w:tbl>
      <w:tblPr>
        <w:tblW w:w="907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72" w:type="dxa"/>
          <w:right w:w="72" w:type="dxa"/>
        </w:tblCellMar>
      </w:tblPr>
      <w:tblGrid>
        <w:gridCol w:w="3072"/>
        <w:gridCol w:w="1200"/>
        <w:gridCol w:w="1200"/>
        <w:gridCol w:w="1200"/>
        <w:gridCol w:w="1200"/>
        <w:gridCol w:w="1200"/>
      </w:tblGrid>
      <w:tr>
        <w:trPr>
          <w:tblHeader/>
        </w:trPr>
        <w:tc>
          <w:tcPr>
            <w:tcW w:w="3072" w:type="dxa"/>
            <w:shd w:val="clear" w:color="auto" w:fill="DDEBF7"/>
            <w:vAlign w:val="center"/>
          </w:tcPr>
          <w:p>
            <w:pPr>
              <w:spacing w:before="0" w:after="0"/>
              <w:jc w:val="center"/>
            </w:pPr>
            <w:r>
              <w:rPr>
                <w:b/>
                <w:sz w:val="18"/>
                <w:szCs w:val="18"/>
              </w:rPr>
              <w:t xml:space="preserve">Fiscal year</w:t>
            </w:r>
          </w:p>
        </w:tc>
        <w:tc>
          <w:tcPr>
            <w:tcW w:w="1200" w:type="dxa"/>
            <w:shd w:val="clear" w:color="auto" w:fill="DDEBF7"/>
            <w:vAlign w:val="center"/>
          </w:tcPr>
          <w:p>
            <w:pPr>
              <w:spacing w:before="0" w:after="0"/>
              <w:jc w:val="center"/>
            </w:pPr>
            <w:r>
              <w:rPr>
                <w:b/>
                <w:sz w:val="18"/>
                <w:szCs w:val="18"/>
              </w:rPr>
              <w:t xml:space="preserve">FY2021</w:t>
            </w:r>
          </w:p>
        </w:tc>
        <w:tc>
          <w:tcPr>
            <w:tcW w:w="1200" w:type="dxa"/>
            <w:shd w:val="clear" w:color="auto" w:fill="DDEBF7"/>
            <w:vAlign w:val="center"/>
          </w:tcPr>
          <w:p>
            <w:pPr>
              <w:spacing w:before="0" w:after="0"/>
              <w:jc w:val="center"/>
            </w:pPr>
            <w:r>
              <w:rPr>
                <w:b/>
                <w:sz w:val="18"/>
                <w:szCs w:val="18"/>
              </w:rPr>
              <w:t xml:space="preserve">FY2022</w:t>
            </w:r>
          </w:p>
        </w:tc>
        <w:tc>
          <w:tcPr>
            <w:tcW w:w="1200" w:type="dxa"/>
            <w:shd w:val="clear" w:color="auto" w:fill="DDEBF7"/>
            <w:vAlign w:val="center"/>
          </w:tcPr>
          <w:p>
            <w:pPr>
              <w:spacing w:before="0" w:after="0"/>
              <w:jc w:val="center"/>
            </w:pPr>
            <w:r>
              <w:rPr>
                <w:b/>
                <w:sz w:val="18"/>
                <w:szCs w:val="18"/>
              </w:rPr>
              <w:t xml:space="preserve">FY2023</w:t>
            </w:r>
          </w:p>
        </w:tc>
        <w:tc>
          <w:tcPr>
            <w:tcW w:w="1200" w:type="dxa"/>
            <w:shd w:val="clear" w:color="auto" w:fill="DDEBF7"/>
            <w:vAlign w:val="center"/>
          </w:tcPr>
          <w:p>
            <w:pPr>
              <w:spacing w:before="0" w:after="0"/>
              <w:jc w:val="center"/>
            </w:pPr>
            <w:r>
              <w:rPr>
                <w:b/>
                <w:sz w:val="18"/>
                <w:szCs w:val="18"/>
              </w:rPr>
              <w:t xml:space="preserve">FY2024</w:t>
            </w:r>
          </w:p>
        </w:tc>
        <w:tc>
          <w:tcPr>
            <w:tcW w:w="1200" w:type="dxa"/>
            <w:shd w:val="clear" w:color="auto" w:fill="DDEBF7"/>
            <w:vAlign w:val="center"/>
          </w:tcPr>
          <w:p>
            <w:pPr>
              <w:spacing w:before="0" w:after="0"/>
              <w:jc w:val="center"/>
            </w:pPr>
            <w:r>
              <w:rPr>
                <w:b/>
                <w:sz w:val="18"/>
                <w:szCs w:val="18"/>
              </w:rPr>
              <w:t xml:space="preserve">FY2025</w:t>
            </w:r>
          </w:p>
        </w:tc>
      </w:tr>
      <w:tr>
        <w:tc>
          <w:tcPr>
            <w:tcW w:w="3072" w:type="dxa"/>
            <w:vAlign w:val="center"/>
          </w:tcPr>
          <w:p>
            <w:pPr>
              <w:spacing w:before="0" w:after="0"/>
              <w:jc w:val="left"/>
            </w:pPr>
            <w:r>
              <w:rPr>
                <w:sz w:val="18"/>
                <w:szCs w:val="18"/>
              </w:rPr>
              <w:t xml:space="preserve">Revenue (USD thousands)</w:t>
            </w:r>
          </w:p>
        </w:tc>
        <w:tc>
          <w:tcPr>
            <w:tcW w:w="1200" w:type="dxa"/>
            <w:vAlign w:val="center"/>
          </w:tcPr>
          <w:p>
            <w:pPr>
              <w:spacing w:before="0" w:after="0"/>
              <w:jc w:val="right"/>
            </w:pPr>
            <w:r>
              <w:rPr>
                <w:sz w:val="18"/>
                <w:szCs w:val="18"/>
              </w:rPr>
              <w:t xml:space="preserve">166,354</w:t>
            </w:r>
          </w:p>
        </w:tc>
        <w:tc>
          <w:tcPr>
            <w:tcW w:w="1200" w:type="dxa"/>
            <w:vAlign w:val="center"/>
          </w:tcPr>
          <w:p>
            <w:pPr>
              <w:spacing w:before="0" w:after="0"/>
              <w:jc w:val="right"/>
            </w:pPr>
            <w:r>
              <w:rPr>
                <w:sz w:val="18"/>
                <w:szCs w:val="18"/>
              </w:rPr>
              <w:t xml:space="preserve">190,502</w:t>
            </w:r>
          </w:p>
        </w:tc>
        <w:tc>
          <w:tcPr>
            <w:tcW w:w="1200" w:type="dxa"/>
            <w:vAlign w:val="center"/>
          </w:tcPr>
          <w:p>
            <w:pPr>
              <w:spacing w:before="0" w:after="0"/>
              <w:jc w:val="right"/>
            </w:pPr>
            <w:r>
              <w:rPr>
                <w:sz w:val="18"/>
                <w:szCs w:val="18"/>
              </w:rPr>
              <w:t xml:space="preserve">213,102</w:t>
            </w:r>
          </w:p>
        </w:tc>
        <w:tc>
          <w:tcPr>
            <w:tcW w:w="1200" w:type="dxa"/>
            <w:vAlign w:val="center"/>
          </w:tcPr>
          <w:p>
            <w:pPr>
              <w:spacing w:before="0" w:after="0"/>
              <w:jc w:val="right"/>
            </w:pPr>
            <w:r>
              <w:rPr>
                <w:sz w:val="18"/>
                <w:szCs w:val="18"/>
              </w:rPr>
              <w:t xml:space="preserve">245,727</w:t>
            </w:r>
          </w:p>
        </w:tc>
        <w:tc>
          <w:tcPr>
            <w:tcW w:w="1200" w:type="dxa"/>
            <w:vAlign w:val="center"/>
          </w:tcPr>
          <w:p>
            <w:pPr>
              <w:spacing w:before="0" w:after="0"/>
              <w:jc w:val="right"/>
            </w:pPr>
            <w:r>
              <w:rPr>
                <w:sz w:val="18"/>
                <w:szCs w:val="18"/>
              </w:rPr>
              <w:t xml:space="preserve">276,958</w:t>
            </w:r>
          </w:p>
        </w:tc>
      </w:tr>
      <w:tr>
        <w:tc>
          <w:tcPr>
            <w:tcW w:w="3072" w:type="dxa"/>
            <w:vAlign w:val="center"/>
          </w:tcPr>
          <w:p>
            <w:pPr>
              <w:spacing w:before="0" w:after="0"/>
              <w:jc w:val="left"/>
            </w:pPr>
            <w:r>
              <w:rPr>
                <w:sz w:val="18"/>
                <w:szCs w:val="18"/>
              </w:rPr>
              <w:t xml:space="preserve">Operating income (USD thousands)</w:t>
            </w:r>
          </w:p>
        </w:tc>
        <w:tc>
          <w:tcPr>
            <w:tcW w:w="1200" w:type="dxa"/>
            <w:vAlign w:val="center"/>
          </w:tcPr>
          <w:p>
            <w:pPr>
              <w:spacing w:before="0" w:after="0"/>
              <w:jc w:val="right"/>
            </w:pPr>
            <w:r>
              <w:rPr>
                <w:sz w:val="18"/>
                <w:szCs w:val="18"/>
              </w:rPr>
              <w:t xml:space="preserve">16,111</w:t>
            </w:r>
          </w:p>
        </w:tc>
        <w:tc>
          <w:tcPr>
            <w:tcW w:w="1200" w:type="dxa"/>
            <w:vAlign w:val="center"/>
          </w:tcPr>
          <w:p>
            <w:pPr>
              <w:spacing w:before="0" w:after="0"/>
              <w:jc w:val="right"/>
            </w:pPr>
            <w:r>
              <w:rPr>
                <w:sz w:val="18"/>
                <w:szCs w:val="18"/>
              </w:rPr>
              <w:t xml:space="preserve">15,781</w:t>
            </w:r>
          </w:p>
        </w:tc>
        <w:tc>
          <w:tcPr>
            <w:tcW w:w="1200" w:type="dxa"/>
            <w:vAlign w:val="center"/>
          </w:tcPr>
          <w:p>
            <w:pPr>
              <w:spacing w:before="0" w:after="0"/>
              <w:jc w:val="right"/>
            </w:pPr>
            <w:r>
              <w:rPr>
                <w:sz w:val="18"/>
                <w:szCs w:val="18"/>
              </w:rPr>
              <w:t xml:space="preserve">20,448</w:t>
            </w:r>
          </w:p>
        </w:tc>
        <w:tc>
          <w:tcPr>
            <w:tcW w:w="1200" w:type="dxa"/>
            <w:vAlign w:val="center"/>
          </w:tcPr>
          <w:p>
            <w:pPr>
              <w:spacing w:before="0" w:after="0"/>
              <w:jc w:val="right"/>
            </w:pPr>
            <w:r>
              <w:rPr>
                <w:sz w:val="18"/>
                <w:szCs w:val="18"/>
              </w:rPr>
              <w:t xml:space="preserve">20,470</w:t>
            </w:r>
          </w:p>
        </w:tc>
        <w:tc>
          <w:tcPr>
            <w:tcW w:w="1200" w:type="dxa"/>
            <w:vAlign w:val="center"/>
          </w:tcPr>
          <w:p>
            <w:pPr>
              <w:spacing w:before="0" w:after="0"/>
              <w:jc w:val="right"/>
            </w:pPr>
            <w:r>
              <w:rPr>
                <w:sz w:val="18"/>
                <w:szCs w:val="18"/>
              </w:rPr>
              <w:t xml:space="preserve">23,941</w:t>
            </w:r>
          </w:p>
        </w:tc>
      </w:tr>
      <w:tr>
        <w:tc>
          <w:tcPr>
            <w:tcW w:w="3072" w:type="dxa"/>
            <w:vAlign w:val="center"/>
          </w:tcPr>
          <w:p>
            <w:pPr>
              <w:spacing w:before="0" w:after="0"/>
              <w:jc w:val="left"/>
            </w:pPr>
            <w:r>
              <w:rPr>
                <w:sz w:val="18"/>
                <w:szCs w:val="18"/>
              </w:rPr>
              <w:t xml:space="preserve">Net income (USD thousands)</w:t>
            </w:r>
          </w:p>
        </w:tc>
        <w:tc>
          <w:tcPr>
            <w:tcW w:w="1200" w:type="dxa"/>
            <w:vAlign w:val="center"/>
          </w:tcPr>
          <w:p>
            <w:pPr>
              <w:spacing w:before="0" w:after="0"/>
              <w:jc w:val="right"/>
            </w:pPr>
            <w:r>
              <w:rPr>
                <w:sz w:val="18"/>
                <w:szCs w:val="18"/>
              </w:rPr>
              <w:t xml:space="preserve">10,318</w:t>
            </w:r>
          </w:p>
        </w:tc>
        <w:tc>
          <w:tcPr>
            <w:tcW w:w="1200" w:type="dxa"/>
            <w:vAlign w:val="center"/>
          </w:tcPr>
          <w:p>
            <w:pPr>
              <w:spacing w:before="0" w:after="0"/>
              <w:jc w:val="right"/>
            </w:pPr>
            <w:r>
              <w:rPr>
                <w:sz w:val="18"/>
                <w:szCs w:val="18"/>
              </w:rPr>
              <w:t xml:space="preserve">12,140</w:t>
            </w:r>
          </w:p>
        </w:tc>
        <w:tc>
          <w:tcPr>
            <w:tcW w:w="1200" w:type="dxa"/>
            <w:vAlign w:val="center"/>
          </w:tcPr>
          <w:p>
            <w:pPr>
              <w:spacing w:before="0" w:after="0"/>
              <w:jc w:val="right"/>
            </w:pPr>
            <w:r>
              <w:rPr>
                <w:sz w:val="18"/>
                <w:szCs w:val="18"/>
              </w:rPr>
              <w:t xml:space="preserve">12,763</w:t>
            </w:r>
          </w:p>
        </w:tc>
        <w:tc>
          <w:tcPr>
            <w:tcW w:w="1200" w:type="dxa"/>
            <w:vAlign w:val="center"/>
          </w:tcPr>
          <w:p>
            <w:pPr>
              <w:spacing w:before="0" w:after="0"/>
              <w:jc w:val="right"/>
            </w:pPr>
            <w:r>
              <w:rPr>
                <w:sz w:val="18"/>
                <w:szCs w:val="18"/>
              </w:rPr>
              <w:t xml:space="preserve">15,306</w:t>
            </w:r>
          </w:p>
        </w:tc>
        <w:tc>
          <w:tcPr>
            <w:tcW w:w="1200" w:type="dxa"/>
            <w:vAlign w:val="center"/>
          </w:tcPr>
          <w:p>
            <w:pPr>
              <w:spacing w:before="0" w:after="0"/>
              <w:jc w:val="right"/>
            </w:pPr>
            <w:r>
              <w:rPr>
                <w:sz w:val="18"/>
                <w:szCs w:val="18"/>
              </w:rPr>
              <w:t xml:space="preserve">17,525</w:t>
            </w:r>
          </w:p>
        </w:tc>
      </w:tr>
      <w:tr>
        <w:tc>
          <w:tcPr>
            <w:tcW w:w="3072" w:type="dxa"/>
            <w:vAlign w:val="center"/>
          </w:tcPr>
          <w:p>
            <w:pPr>
              <w:spacing w:before="0" w:after="0"/>
              <w:jc w:val="left"/>
            </w:pPr>
            <w:r>
              <w:rPr>
                <w:sz w:val="18"/>
                <w:szCs w:val="18"/>
              </w:rPr>
              <w:t xml:space="preserve">Common stock (USD thousands)</w:t>
            </w:r>
          </w:p>
        </w:tc>
        <w:tc>
          <w:tcPr>
            <w:tcW w:w="1200" w:type="dxa"/>
            <w:vAlign w:val="center"/>
          </w:tcPr>
          <w:p>
            <w:pPr>
              <w:spacing w:before="0" w:after="0"/>
              <w:jc w:val="right"/>
            </w:pPr>
            <w:r>
              <w:rPr>
                <w:sz w:val="18"/>
                <w:szCs w:val="18"/>
              </w:rPr>
              <w:t xml:space="preserve">412</w:t>
            </w:r>
          </w:p>
        </w:tc>
        <w:tc>
          <w:tcPr>
            <w:tcW w:w="1200" w:type="dxa"/>
            <w:vAlign w:val="center"/>
          </w:tcPr>
          <w:p>
            <w:pPr>
              <w:spacing w:before="0" w:after="0"/>
              <w:jc w:val="right"/>
            </w:pPr>
            <w:r>
              <w:rPr>
                <w:sz w:val="18"/>
                <w:szCs w:val="18"/>
              </w:rPr>
              <w:t xml:space="preserve">412</w:t>
            </w:r>
          </w:p>
        </w:tc>
        <w:tc>
          <w:tcPr>
            <w:tcW w:w="1200" w:type="dxa"/>
            <w:vAlign w:val="center"/>
          </w:tcPr>
          <w:p>
            <w:pPr>
              <w:spacing w:before="0" w:after="0"/>
              <w:jc w:val="right"/>
            </w:pPr>
            <w:r>
              <w:rPr>
                <w:sz w:val="18"/>
                <w:szCs w:val="18"/>
              </w:rPr>
              <w:t xml:space="preserve">412</w:t>
            </w:r>
          </w:p>
        </w:tc>
        <w:tc>
          <w:tcPr>
            <w:tcW w:w="1200" w:type="dxa"/>
            <w:vAlign w:val="center"/>
          </w:tcPr>
          <w:p>
            <w:pPr>
              <w:spacing w:before="0" w:after="0"/>
              <w:jc w:val="right"/>
            </w:pPr>
            <w:r>
              <w:rPr>
                <w:sz w:val="18"/>
                <w:szCs w:val="18"/>
              </w:rPr>
              <w:t xml:space="preserve">412</w:t>
            </w:r>
          </w:p>
        </w:tc>
        <w:tc>
          <w:tcPr>
            <w:tcW w:w="1200" w:type="dxa"/>
            <w:vAlign w:val="center"/>
          </w:tcPr>
          <w:p>
            <w:pPr>
              <w:spacing w:before="0" w:after="0"/>
              <w:jc w:val="right"/>
            </w:pPr>
            <w:r>
              <w:rPr>
                <w:sz w:val="18"/>
                <w:szCs w:val="18"/>
              </w:rPr>
              <w:t xml:space="preserve">412</w:t>
            </w:r>
          </w:p>
        </w:tc>
      </w:tr>
      <w:tr>
        <w:tc>
          <w:tcPr>
            <w:tcW w:w="3072" w:type="dxa"/>
            <w:vAlign w:val="center"/>
          </w:tcPr>
          <w:p>
            <w:pPr>
              <w:spacing w:before="0" w:after="0"/>
              <w:jc w:val="left"/>
            </w:pPr>
            <w:r>
              <w:rPr>
                <w:sz w:val="18"/>
                <w:szCs w:val="18"/>
              </w:rPr>
              <w:t xml:space="preserve">Shares outstanding</w:t>
            </w:r>
          </w:p>
        </w:tc>
        <w:tc>
          <w:tcPr>
            <w:tcW w:w="1200" w:type="dxa"/>
            <w:vAlign w:val="center"/>
          </w:tcPr>
          <w:p>
            <w:pPr>
              <w:spacing w:before="0" w:after="0"/>
              <w:jc w:val="right"/>
            </w:pPr>
            <w:r>
              <w:rPr>
                <w:sz w:val="18"/>
                <w:szCs w:val="18"/>
              </w:rPr>
              <w:t xml:space="preserve">41,250,000</w:t>
            </w:r>
          </w:p>
        </w:tc>
        <w:tc>
          <w:tcPr>
            <w:tcW w:w="1200" w:type="dxa"/>
            <w:vAlign w:val="center"/>
          </w:tcPr>
          <w:p>
            <w:pPr>
              <w:spacing w:before="0" w:after="0"/>
              <w:jc w:val="right"/>
            </w:pPr>
            <w:r>
              <w:rPr>
                <w:sz w:val="18"/>
                <w:szCs w:val="18"/>
              </w:rPr>
              <w:t xml:space="preserve">41,400,000</w:t>
            </w:r>
          </w:p>
        </w:tc>
        <w:tc>
          <w:tcPr>
            <w:tcW w:w="1200" w:type="dxa"/>
            <w:vAlign w:val="center"/>
          </w:tcPr>
          <w:p>
            <w:pPr>
              <w:spacing w:before="0" w:after="0"/>
              <w:jc w:val="right"/>
            </w:pPr>
            <w:r>
              <w:rPr>
                <w:sz w:val="18"/>
                <w:szCs w:val="18"/>
              </w:rPr>
              <w:t xml:space="preserve">41,550,000</w:t>
            </w:r>
          </w:p>
        </w:tc>
        <w:tc>
          <w:tcPr>
            <w:tcW w:w="1200" w:type="dxa"/>
            <w:vAlign w:val="center"/>
          </w:tcPr>
          <w:p>
            <w:pPr>
              <w:spacing w:before="0" w:after="0"/>
              <w:jc w:val="right"/>
            </w:pPr>
            <w:r>
              <w:rPr>
                <w:sz w:val="18"/>
                <w:szCs w:val="18"/>
              </w:rPr>
              <w:t xml:space="preserve">41,700,000</w:t>
            </w:r>
          </w:p>
        </w:tc>
        <w:tc>
          <w:tcPr>
            <w:tcW w:w="1200" w:type="dxa"/>
            <w:vAlign w:val="center"/>
          </w:tcPr>
          <w:p>
            <w:pPr>
              <w:spacing w:before="0" w:after="0"/>
              <w:jc w:val="right"/>
            </w:pPr>
            <w:r>
              <w:rPr>
                <w:sz w:val="18"/>
                <w:szCs w:val="18"/>
              </w:rPr>
              <w:t xml:space="preserve">41,850,000</w:t>
            </w:r>
          </w:p>
        </w:tc>
      </w:tr>
      <w:tr>
        <w:tc>
          <w:tcPr>
            <w:tcW w:w="3072" w:type="dxa"/>
            <w:vAlign w:val="center"/>
          </w:tcPr>
          <w:p>
            <w:pPr>
              <w:spacing w:before="0" w:after="0"/>
              <w:jc w:val="left"/>
            </w:pPr>
            <w:r>
              <w:rPr>
                <w:sz w:val="18"/>
                <w:szCs w:val="18"/>
              </w:rPr>
              <w:t xml:space="preserve">Total equity (USD thousands)</w:t>
            </w:r>
          </w:p>
        </w:tc>
        <w:tc>
          <w:tcPr>
            <w:tcW w:w="1200" w:type="dxa"/>
            <w:vAlign w:val="center"/>
          </w:tcPr>
          <w:p>
            <w:pPr>
              <w:spacing w:before="0" w:after="0"/>
              <w:jc w:val="right"/>
            </w:pPr>
            <w:r>
              <w:rPr>
                <w:sz w:val="18"/>
                <w:szCs w:val="18"/>
              </w:rPr>
              <w:t xml:space="preserve">111,757</w:t>
            </w:r>
          </w:p>
        </w:tc>
        <w:tc>
          <w:tcPr>
            <w:tcW w:w="1200" w:type="dxa"/>
            <w:vAlign w:val="center"/>
          </w:tcPr>
          <w:p>
            <w:pPr>
              <w:spacing w:before="0" w:after="0"/>
              <w:jc w:val="right"/>
            </w:pPr>
            <w:r>
              <w:rPr>
                <w:sz w:val="18"/>
                <w:szCs w:val="18"/>
              </w:rPr>
              <w:t xml:space="preserve">122,397</w:t>
            </w:r>
          </w:p>
        </w:tc>
        <w:tc>
          <w:tcPr>
            <w:tcW w:w="1200" w:type="dxa"/>
            <w:vAlign w:val="center"/>
          </w:tcPr>
          <w:p>
            <w:pPr>
              <w:spacing w:before="0" w:after="0"/>
              <w:jc w:val="right"/>
            </w:pPr>
            <w:r>
              <w:rPr>
                <w:sz w:val="18"/>
                <w:szCs w:val="18"/>
              </w:rPr>
              <w:t xml:space="preserve">141,201</w:t>
            </w:r>
          </w:p>
        </w:tc>
        <w:tc>
          <w:tcPr>
            <w:tcW w:w="1200" w:type="dxa"/>
            <w:vAlign w:val="center"/>
          </w:tcPr>
          <w:p>
            <w:pPr>
              <w:spacing w:before="0" w:after="0"/>
              <w:jc w:val="right"/>
            </w:pPr>
            <w:r>
              <w:rPr>
                <w:sz w:val="18"/>
                <w:szCs w:val="18"/>
              </w:rPr>
              <w:t xml:space="preserve">161,492</w:t>
            </w:r>
          </w:p>
        </w:tc>
        <w:tc>
          <w:tcPr>
            <w:tcW w:w="1200" w:type="dxa"/>
            <w:vAlign w:val="center"/>
          </w:tcPr>
          <w:p>
            <w:pPr>
              <w:spacing w:before="0" w:after="0"/>
              <w:jc w:val="right"/>
            </w:pPr>
            <w:r>
              <w:rPr>
                <w:sz w:val="18"/>
                <w:szCs w:val="18"/>
              </w:rPr>
              <w:t xml:space="preserve">158,803</w:t>
            </w:r>
          </w:p>
        </w:tc>
      </w:tr>
      <w:tr>
        <w:tc>
          <w:tcPr>
            <w:tcW w:w="3072" w:type="dxa"/>
            <w:vAlign w:val="center"/>
          </w:tcPr>
          <w:p>
            <w:pPr>
              <w:spacing w:before="0" w:after="0"/>
              <w:jc w:val="left"/>
            </w:pPr>
            <w:r>
              <w:rPr>
                <w:sz w:val="18"/>
                <w:szCs w:val="18"/>
              </w:rPr>
              <w:t xml:space="preserve">Total assets (USD thousands)</w:t>
            </w:r>
          </w:p>
        </w:tc>
        <w:tc>
          <w:tcPr>
            <w:tcW w:w="1200" w:type="dxa"/>
            <w:vAlign w:val="center"/>
          </w:tcPr>
          <w:p>
            <w:pPr>
              <w:spacing w:before="0" w:after="0"/>
              <w:jc w:val="right"/>
            </w:pPr>
            <w:r>
              <w:rPr>
                <w:sz w:val="18"/>
                <w:szCs w:val="18"/>
              </w:rPr>
              <w:t xml:space="preserve">214,356</w:t>
            </w:r>
          </w:p>
        </w:tc>
        <w:tc>
          <w:tcPr>
            <w:tcW w:w="1200" w:type="dxa"/>
            <w:vAlign w:val="center"/>
          </w:tcPr>
          <w:p>
            <w:pPr>
              <w:spacing w:before="0" w:after="0"/>
              <w:jc w:val="right"/>
            </w:pPr>
            <w:r>
              <w:rPr>
                <w:sz w:val="18"/>
                <w:szCs w:val="18"/>
              </w:rPr>
              <w:t xml:space="preserve">276,321</w:t>
            </w:r>
          </w:p>
        </w:tc>
        <w:tc>
          <w:tcPr>
            <w:tcW w:w="1200" w:type="dxa"/>
            <w:vAlign w:val="center"/>
          </w:tcPr>
          <w:p>
            <w:pPr>
              <w:spacing w:before="0" w:after="0"/>
              <w:jc w:val="right"/>
            </w:pPr>
            <w:r>
              <w:rPr>
                <w:sz w:val="18"/>
                <w:szCs w:val="18"/>
              </w:rPr>
              <w:t xml:space="preserve">303,113</w:t>
            </w:r>
          </w:p>
        </w:tc>
        <w:tc>
          <w:tcPr>
            <w:tcW w:w="1200" w:type="dxa"/>
            <w:vAlign w:val="center"/>
          </w:tcPr>
          <w:p>
            <w:pPr>
              <w:spacing w:before="0" w:after="0"/>
              <w:jc w:val="right"/>
            </w:pPr>
            <w:r>
              <w:rPr>
                <w:sz w:val="18"/>
                <w:szCs w:val="18"/>
              </w:rPr>
              <w:t xml:space="preserve">318,182</w:t>
            </w:r>
          </w:p>
        </w:tc>
        <w:tc>
          <w:tcPr>
            <w:tcW w:w="1200" w:type="dxa"/>
            <w:vAlign w:val="center"/>
          </w:tcPr>
          <w:p>
            <w:pPr>
              <w:spacing w:before="0" w:after="0"/>
              <w:jc w:val="right"/>
            </w:pPr>
            <w:r>
              <w:rPr>
                <w:sz w:val="18"/>
                <w:szCs w:val="18"/>
              </w:rPr>
              <w:t xml:space="preserve">342,942</w:t>
            </w:r>
          </w:p>
        </w:tc>
      </w:tr>
      <w:tr>
        <w:tc>
          <w:tcPr>
            <w:tcW w:w="3072" w:type="dxa"/>
            <w:vAlign w:val="center"/>
          </w:tcPr>
          <w:p>
            <w:pPr>
              <w:spacing w:before="0" w:after="0"/>
              <w:jc w:val="left"/>
            </w:pPr>
            <w:r>
              <w:rPr>
                <w:sz w:val="18"/>
                <w:szCs w:val="18"/>
              </w:rPr>
              <w:t xml:space="preserve">Book value per share (USD)</w:t>
            </w:r>
          </w:p>
        </w:tc>
        <w:tc>
          <w:tcPr>
            <w:tcW w:w="1200" w:type="dxa"/>
            <w:vAlign w:val="center"/>
          </w:tcPr>
          <w:p>
            <w:pPr>
              <w:spacing w:before="0" w:after="0"/>
              <w:jc w:val="right"/>
            </w:pPr>
            <w:r>
              <w:rPr>
                <w:sz w:val="18"/>
                <w:szCs w:val="18"/>
              </w:rPr>
              <w:t xml:space="preserve">2.58</w:t>
            </w:r>
          </w:p>
        </w:tc>
        <w:tc>
          <w:tcPr>
            <w:tcW w:w="1200" w:type="dxa"/>
            <w:vAlign w:val="center"/>
          </w:tcPr>
          <w:p>
            <w:pPr>
              <w:spacing w:before="0" w:after="0"/>
              <w:jc w:val="right"/>
            </w:pPr>
            <w:r>
              <w:rPr>
                <w:sz w:val="18"/>
                <w:szCs w:val="18"/>
              </w:rPr>
              <w:t xml:space="preserve">2.87</w:t>
            </w:r>
          </w:p>
        </w:tc>
        <w:tc>
          <w:tcPr>
            <w:tcW w:w="1200" w:type="dxa"/>
            <w:vAlign w:val="center"/>
          </w:tcPr>
          <w:p>
            <w:pPr>
              <w:spacing w:before="0" w:after="0"/>
              <w:jc w:val="right"/>
            </w:pPr>
            <w:r>
              <w:rPr>
                <w:sz w:val="18"/>
                <w:szCs w:val="18"/>
              </w:rPr>
              <w:t xml:space="preserve">3.41</w:t>
            </w:r>
          </w:p>
        </w:tc>
        <w:tc>
          <w:tcPr>
            <w:tcW w:w="1200" w:type="dxa"/>
            <w:vAlign w:val="center"/>
          </w:tcPr>
          <w:p>
            <w:pPr>
              <w:spacing w:before="0" w:after="0"/>
              <w:jc w:val="right"/>
            </w:pPr>
            <w:r>
              <w:rPr>
                <w:sz w:val="18"/>
                <w:szCs w:val="18"/>
              </w:rPr>
              <w:t xml:space="preserve">3.54</w:t>
            </w:r>
          </w:p>
        </w:tc>
        <w:tc>
          <w:tcPr>
            <w:tcW w:w="1200" w:type="dxa"/>
            <w:vAlign w:val="center"/>
          </w:tcPr>
          <w:p>
            <w:pPr>
              <w:spacing w:before="0" w:after="0"/>
              <w:jc w:val="right"/>
            </w:pPr>
            <w:r>
              <w:rPr>
                <w:sz w:val="18"/>
                <w:szCs w:val="18"/>
              </w:rPr>
              <w:t xml:space="preserve">4.09</w:t>
            </w:r>
          </w:p>
        </w:tc>
      </w:tr>
      <w:tr>
        <w:tc>
          <w:tcPr>
            <w:tcW w:w="3072" w:type="dxa"/>
            <w:vAlign w:val="center"/>
          </w:tcPr>
          <w:p>
            <w:pPr>
              <w:spacing w:before="0" w:after="0"/>
              <w:jc w:val="left"/>
            </w:pPr>
            <w:r>
              <w:rPr>
                <w:sz w:val="18"/>
                <w:szCs w:val="18"/>
              </w:rPr>
              <w:t xml:space="preserve">Earnings per share (USD)</w:t>
            </w:r>
          </w:p>
        </w:tc>
        <w:tc>
          <w:tcPr>
            <w:tcW w:w="1200" w:type="dxa"/>
            <w:vAlign w:val="center"/>
          </w:tcPr>
          <w:p>
            <w:pPr>
              <w:spacing w:before="0" w:after="0"/>
              <w:jc w:val="right"/>
            </w:pPr>
            <w:r>
              <w:rPr>
                <w:sz w:val="18"/>
                <w:szCs w:val="18"/>
              </w:rPr>
              <w:t xml:space="preserve">0.24</w:t>
            </w:r>
          </w:p>
        </w:tc>
        <w:tc>
          <w:tcPr>
            <w:tcW w:w="1200" w:type="dxa"/>
            <w:vAlign w:val="center"/>
          </w:tcPr>
          <w:p>
            <w:pPr>
              <w:spacing w:before="0" w:after="0"/>
              <w:jc w:val="right"/>
            </w:pPr>
            <w:r>
              <w:rPr>
                <w:sz w:val="18"/>
                <w:szCs w:val="18"/>
              </w:rPr>
              <w:t xml:space="preserve">0.27</w:t>
            </w:r>
          </w:p>
        </w:tc>
        <w:tc>
          <w:tcPr>
            <w:tcW w:w="1200" w:type="dxa"/>
            <w:vAlign w:val="center"/>
          </w:tcPr>
          <w:p>
            <w:pPr>
              <w:spacing w:before="0" w:after="0"/>
              <w:jc w:val="right"/>
            </w:pPr>
            <w:r>
              <w:rPr>
                <w:sz w:val="18"/>
                <w:szCs w:val="18"/>
              </w:rPr>
              <w:t xml:space="preserve">0.31</w:t>
            </w:r>
          </w:p>
        </w:tc>
        <w:tc>
          <w:tcPr>
            <w:tcW w:w="1200" w:type="dxa"/>
            <w:vAlign w:val="center"/>
          </w:tcPr>
          <w:p>
            <w:pPr>
              <w:spacing w:before="0" w:after="0"/>
              <w:jc w:val="right"/>
            </w:pPr>
            <w:r>
              <w:rPr>
                <w:sz w:val="18"/>
                <w:szCs w:val="18"/>
              </w:rPr>
              <w:t xml:space="preserve">0.38</w:t>
            </w:r>
          </w:p>
        </w:tc>
        <w:tc>
          <w:tcPr>
            <w:tcW w:w="1200" w:type="dxa"/>
            <w:vAlign w:val="center"/>
          </w:tcPr>
          <w:p>
            <w:pPr>
              <w:spacing w:before="0" w:after="0"/>
              <w:jc w:val="right"/>
            </w:pPr>
            <w:r>
              <w:rPr>
                <w:sz w:val="18"/>
                <w:szCs w:val="18"/>
              </w:rPr>
              <w:t xml:space="preserve">0.37</w:t>
            </w:r>
          </w:p>
        </w:tc>
      </w:tr>
      <w:tr>
        <w:tc>
          <w:tcPr>
            <w:tcW w:w="3072" w:type="dxa"/>
            <w:vAlign w:val="center"/>
          </w:tcPr>
          <w:p>
            <w:pPr>
              <w:spacing w:before="0" w:after="0"/>
              <w:jc w:val="left"/>
            </w:pPr>
            <w:r>
              <w:rPr>
                <w:sz w:val="18"/>
                <w:szCs w:val="18"/>
              </w:rPr>
              <w:t xml:space="preserve">Equity ratio (%)</w:t>
            </w:r>
          </w:p>
        </w:tc>
        <w:tc>
          <w:tcPr>
            <w:tcW w:w="1200" w:type="dxa"/>
            <w:vAlign w:val="center"/>
          </w:tcPr>
          <w:p>
            <w:pPr>
              <w:spacing w:before="0" w:after="0"/>
              <w:jc w:val="right"/>
            </w:pPr>
            <w:r>
              <w:rPr>
                <w:sz w:val="18"/>
                <w:szCs w:val="18"/>
              </w:rPr>
              <w:t xml:space="preserve">44.8</w:t>
            </w:r>
          </w:p>
        </w:tc>
        <w:tc>
          <w:tcPr>
            <w:tcW w:w="1200" w:type="dxa"/>
            <w:vAlign w:val="center"/>
          </w:tcPr>
          <w:p>
            <w:pPr>
              <w:spacing w:before="0" w:after="0"/>
              <w:jc w:val="right"/>
            </w:pPr>
            <w:r>
              <w:rPr>
                <w:sz w:val="18"/>
                <w:szCs w:val="18"/>
              </w:rPr>
              <w:t xml:space="preserve">45.5</w:t>
            </w:r>
          </w:p>
        </w:tc>
        <w:tc>
          <w:tcPr>
            <w:tcW w:w="1200" w:type="dxa"/>
            <w:vAlign w:val="center"/>
          </w:tcPr>
          <w:p>
            <w:pPr>
              <w:spacing w:before="0" w:after="0"/>
              <w:jc w:val="right"/>
            </w:pPr>
            <w:r>
              <w:rPr>
                <w:sz w:val="18"/>
                <w:szCs w:val="18"/>
              </w:rPr>
              <w:t xml:space="preserve">42.2</w:t>
            </w:r>
          </w:p>
        </w:tc>
        <w:tc>
          <w:tcPr>
            <w:tcW w:w="1200" w:type="dxa"/>
            <w:vAlign w:val="center"/>
          </w:tcPr>
          <w:p>
            <w:pPr>
              <w:spacing w:before="0" w:after="0"/>
              <w:jc w:val="right"/>
            </w:pPr>
            <w:r>
              <w:rPr>
                <w:sz w:val="18"/>
                <w:szCs w:val="18"/>
              </w:rPr>
              <w:t xml:space="preserve">45.6</w:t>
            </w:r>
          </w:p>
        </w:tc>
        <w:tc>
          <w:tcPr>
            <w:tcW w:w="1200" w:type="dxa"/>
            <w:vAlign w:val="center"/>
          </w:tcPr>
          <w:p>
            <w:pPr>
              <w:spacing w:before="0" w:after="0"/>
              <w:jc w:val="right"/>
            </w:pPr>
            <w:r>
              <w:rPr>
                <w:sz w:val="18"/>
                <w:szCs w:val="18"/>
              </w:rPr>
              <w:t xml:space="preserve">45.6</w:t>
            </w:r>
          </w:p>
        </w:tc>
      </w:tr>
      <w:tr>
        <w:tc>
          <w:tcPr>
            <w:tcW w:w="3072" w:type="dxa"/>
            <w:vAlign w:val="center"/>
          </w:tcPr>
          <w:p>
            <w:pPr>
              <w:spacing w:before="0" w:after="0"/>
              <w:jc w:val="left"/>
            </w:pPr>
            <w:r>
              <w:rPr>
                <w:sz w:val="18"/>
                <w:szCs w:val="18"/>
              </w:rPr>
              <w:t xml:space="preserve">Return on equity (%)</w:t>
            </w:r>
          </w:p>
        </w:tc>
        <w:tc>
          <w:tcPr>
            <w:tcW w:w="1200" w:type="dxa"/>
            <w:vAlign w:val="center"/>
          </w:tcPr>
          <w:p>
            <w:pPr>
              <w:spacing w:before="0" w:after="0"/>
              <w:jc w:val="right"/>
            </w:pPr>
            <w:r>
              <w:rPr>
                <w:sz w:val="18"/>
                <w:szCs w:val="18"/>
              </w:rPr>
              <w:t xml:space="preserve">9.4</w:t>
            </w:r>
          </w:p>
        </w:tc>
        <w:tc>
          <w:tcPr>
            <w:tcW w:w="1200" w:type="dxa"/>
            <w:vAlign w:val="center"/>
          </w:tcPr>
          <w:p>
            <w:pPr>
              <w:spacing w:before="0" w:after="0"/>
              <w:jc w:val="right"/>
            </w:pPr>
            <w:r>
              <w:rPr>
                <w:sz w:val="18"/>
                <w:szCs w:val="18"/>
              </w:rPr>
              <w:t xml:space="preserve">9.4</w:t>
            </w:r>
          </w:p>
        </w:tc>
        <w:tc>
          <w:tcPr>
            <w:tcW w:w="1200" w:type="dxa"/>
            <w:vAlign w:val="center"/>
          </w:tcPr>
          <w:p>
            <w:pPr>
              <w:spacing w:before="0" w:after="0"/>
              <w:jc w:val="right"/>
            </w:pPr>
            <w:r>
              <w:rPr>
                <w:sz w:val="18"/>
                <w:szCs w:val="18"/>
              </w:rPr>
              <w:t xml:space="preserve">9.8</w:t>
            </w:r>
          </w:p>
        </w:tc>
        <w:tc>
          <w:tcPr>
            <w:tcW w:w="1200" w:type="dxa"/>
            <w:vAlign w:val="center"/>
          </w:tcPr>
          <w:p>
            <w:pPr>
              <w:spacing w:before="0" w:after="0"/>
              <w:jc w:val="right"/>
            </w:pPr>
            <w:r>
              <w:rPr>
                <w:sz w:val="18"/>
                <w:szCs w:val="18"/>
              </w:rPr>
              <w:t xml:space="preserve">11.4</w:t>
            </w:r>
          </w:p>
        </w:tc>
        <w:tc>
          <w:tcPr>
            <w:tcW w:w="1200" w:type="dxa"/>
            <w:vAlign w:val="center"/>
          </w:tcPr>
          <w:p>
            <w:pPr>
              <w:spacing w:before="0" w:after="0"/>
              <w:jc w:val="right"/>
            </w:pPr>
            <w:r>
              <w:rPr>
                <w:sz w:val="18"/>
                <w:szCs w:val="18"/>
              </w:rPr>
              <w:t xml:space="preserve">9.0</w:t>
            </w:r>
          </w:p>
        </w:tc>
      </w:tr>
      <w:tr>
        <w:tc>
          <w:tcPr>
            <w:tcW w:w="3072" w:type="dxa"/>
            <w:vAlign w:val="center"/>
          </w:tcPr>
          <w:p>
            <w:pPr>
              <w:spacing w:before="0" w:after="0"/>
              <w:jc w:val="left"/>
            </w:pPr>
            <w:r>
              <w:rPr>
                <w:sz w:val="18"/>
                <w:szCs w:val="18"/>
              </w:rPr>
              <w:t xml:space="preserve">Net cash provided by operating activities (USD thousands)</w:t>
            </w:r>
          </w:p>
        </w:tc>
        <w:tc>
          <w:tcPr>
            <w:tcW w:w="1200" w:type="dxa"/>
            <w:vAlign w:val="center"/>
          </w:tcPr>
          <w:p>
            <w:pPr>
              <w:spacing w:before="0" w:after="0"/>
              <w:jc w:val="right"/>
            </w:pPr>
            <w:r>
              <w:rPr>
                <w:sz w:val="18"/>
                <w:szCs w:val="18"/>
              </w:rPr>
              <w:t xml:space="preserve">21,287</w:t>
            </w:r>
          </w:p>
        </w:tc>
        <w:tc>
          <w:tcPr>
            <w:tcW w:w="1200" w:type="dxa"/>
            <w:vAlign w:val="center"/>
          </w:tcPr>
          <w:p>
            <w:pPr>
              <w:spacing w:before="0" w:after="0"/>
              <w:jc w:val="right"/>
            </w:pPr>
            <w:r>
              <w:rPr>
                <w:sz w:val="18"/>
                <w:szCs w:val="18"/>
              </w:rPr>
              <w:t xml:space="preserve">24,983</w:t>
            </w:r>
          </w:p>
        </w:tc>
        <w:tc>
          <w:tcPr>
            <w:tcW w:w="1200" w:type="dxa"/>
            <w:vAlign w:val="center"/>
          </w:tcPr>
          <w:p>
            <w:pPr>
              <w:spacing w:before="0" w:after="0"/>
              <w:jc w:val="right"/>
            </w:pPr>
            <w:r>
              <w:rPr>
                <w:sz w:val="18"/>
                <w:szCs w:val="18"/>
              </w:rPr>
              <w:t xml:space="preserve">25,916</w:t>
            </w:r>
          </w:p>
        </w:tc>
        <w:tc>
          <w:tcPr>
            <w:tcW w:w="1200" w:type="dxa"/>
            <w:vAlign w:val="center"/>
          </w:tcPr>
          <w:p>
            <w:pPr>
              <w:spacing w:before="0" w:after="0"/>
              <w:jc w:val="right"/>
            </w:pPr>
            <w:r>
              <w:rPr>
                <w:sz w:val="18"/>
                <w:szCs w:val="18"/>
              </w:rPr>
              <w:t xml:space="preserve">32,804</w:t>
            </w:r>
          </w:p>
        </w:tc>
        <w:tc>
          <w:tcPr>
            <w:tcW w:w="1200" w:type="dxa"/>
            <w:vAlign w:val="center"/>
          </w:tcPr>
          <w:p>
            <w:pPr>
              <w:spacing w:before="0" w:after="0"/>
              <w:jc w:val="right"/>
            </w:pPr>
            <w:r>
              <w:rPr>
                <w:sz w:val="18"/>
                <w:szCs w:val="18"/>
              </w:rPr>
              <w:t xml:space="preserve">37,392</w:t>
            </w:r>
          </w:p>
        </w:tc>
      </w:tr>
      <w:tr>
        <w:tc>
          <w:tcPr>
            <w:tcW w:w="3072" w:type="dxa"/>
            <w:vAlign w:val="center"/>
          </w:tcPr>
          <w:p>
            <w:pPr>
              <w:spacing w:before="0" w:after="0"/>
              <w:jc w:val="left"/>
            </w:pPr>
            <w:r>
              <w:rPr>
                <w:sz w:val="18"/>
                <w:szCs w:val="18"/>
              </w:rPr>
              <w:t xml:space="preserve">Number of stores at year end</w:t>
            </w:r>
          </w:p>
        </w:tc>
        <w:tc>
          <w:tcPr>
            <w:tcW w:w="1200" w:type="dxa"/>
            <w:vAlign w:val="center"/>
          </w:tcPr>
          <w:p>
            <w:pPr>
              <w:spacing w:before="0" w:after="0"/>
              <w:jc w:val="right"/>
            </w:pPr>
            <w:r>
              <w:rPr>
                <w:sz w:val="18"/>
                <w:szCs w:val="18"/>
              </w:rPr>
              <w:t xml:space="preserve">100</w:t>
            </w:r>
          </w:p>
        </w:tc>
        <w:tc>
          <w:tcPr>
            <w:tcW w:w="1200" w:type="dxa"/>
            <w:vAlign w:val="center"/>
          </w:tcPr>
          <w:p>
            <w:pPr>
              <w:spacing w:before="0" w:after="0"/>
              <w:jc w:val="right"/>
            </w:pPr>
            <w:r>
              <w:rPr>
                <w:sz w:val="18"/>
                <w:szCs w:val="18"/>
              </w:rPr>
              <w:t xml:space="preserve">119</w:t>
            </w:r>
          </w:p>
        </w:tc>
        <w:tc>
          <w:tcPr>
            <w:tcW w:w="1200" w:type="dxa"/>
            <w:vAlign w:val="center"/>
          </w:tcPr>
          <w:p>
            <w:pPr>
              <w:spacing w:before="0" w:after="0"/>
              <w:jc w:val="right"/>
            </w:pPr>
            <w:r>
              <w:rPr>
                <w:sz w:val="18"/>
                <w:szCs w:val="18"/>
              </w:rPr>
              <w:t xml:space="preserve">140</w:t>
            </w:r>
          </w:p>
        </w:tc>
        <w:tc>
          <w:tcPr>
            <w:tcW w:w="1200" w:type="dxa"/>
            <w:vAlign w:val="center"/>
          </w:tcPr>
          <w:p>
            <w:pPr>
              <w:spacing w:before="0" w:after="0"/>
              <w:jc w:val="right"/>
            </w:pPr>
            <w:r>
              <w:rPr>
                <w:sz w:val="18"/>
                <w:szCs w:val="18"/>
              </w:rPr>
              <w:t xml:space="preserve">159</w:t>
            </w:r>
          </w:p>
        </w:tc>
        <w:tc>
          <w:tcPr>
            <w:tcW w:w="1200" w:type="dxa"/>
            <w:vAlign w:val="center"/>
          </w:tcPr>
          <w:p>
            <w:pPr>
              <w:spacing w:before="0" w:after="0"/>
              <w:jc w:val="right"/>
            </w:pPr>
            <w:r>
              <w:rPr>
                <w:sz w:val="18"/>
                <w:szCs w:val="18"/>
              </w:rPr>
              <w:t xml:space="preserve">178</w:t>
            </w:r>
          </w:p>
        </w:tc>
      </w:tr>
      <w:tr>
        <w:tc>
          <w:tcPr>
            <w:tcW w:w="3072" w:type="dxa"/>
            <w:vAlign w:val="center"/>
          </w:tcPr>
          <w:p>
            <w:pPr>
              <w:spacing w:before="0" w:after="0"/>
              <w:jc w:val="left"/>
            </w:pPr>
            <w:r>
              <w:rPr>
                <w:sz w:val="18"/>
                <w:szCs w:val="18"/>
              </w:rPr>
              <w:t xml:space="preserve">Employees</w:t>
            </w:r>
          </w:p>
        </w:tc>
        <w:tc>
          <w:tcPr>
            <w:tcW w:w="1200" w:type="dxa"/>
            <w:vAlign w:val="center"/>
          </w:tcPr>
          <w:p>
            <w:pPr>
              <w:spacing w:before="0" w:after="0"/>
              <w:jc w:val="right"/>
            </w:pPr>
            <w:r>
              <w:rPr>
                <w:sz w:val="18"/>
                <w:szCs w:val="18"/>
              </w:rPr>
              <w:t xml:space="preserve">2,946</w:t>
            </w:r>
          </w:p>
        </w:tc>
        <w:tc>
          <w:tcPr>
            <w:tcW w:w="1200" w:type="dxa"/>
            <w:vAlign w:val="center"/>
          </w:tcPr>
          <w:p>
            <w:pPr>
              <w:spacing w:before="0" w:after="0"/>
              <w:jc w:val="right"/>
            </w:pPr>
            <w:r>
              <w:rPr>
                <w:sz w:val="18"/>
                <w:szCs w:val="18"/>
              </w:rPr>
              <w:t xml:space="preserve">3,630</w:t>
            </w:r>
          </w:p>
        </w:tc>
        <w:tc>
          <w:tcPr>
            <w:tcW w:w="1200" w:type="dxa"/>
            <w:vAlign w:val="center"/>
          </w:tcPr>
          <w:p>
            <w:pPr>
              <w:spacing w:before="0" w:after="0"/>
              <w:jc w:val="right"/>
            </w:pPr>
            <w:r>
              <w:rPr>
                <w:sz w:val="18"/>
                <w:szCs w:val="18"/>
              </w:rPr>
              <w:t xml:space="preserve">4,267</w:t>
            </w:r>
          </w:p>
        </w:tc>
        <w:tc>
          <w:tcPr>
            <w:tcW w:w="1200" w:type="dxa"/>
            <w:vAlign w:val="center"/>
          </w:tcPr>
          <w:p>
            <w:pPr>
              <w:spacing w:before="0" w:after="0"/>
              <w:jc w:val="right"/>
            </w:pPr>
            <w:r>
              <w:rPr>
                <w:sz w:val="18"/>
                <w:szCs w:val="18"/>
              </w:rPr>
              <w:t xml:space="preserve">4,826</w:t>
            </w:r>
          </w:p>
        </w:tc>
        <w:tc>
          <w:tcPr>
            <w:tcW w:w="1200" w:type="dxa"/>
            <w:vAlign w:val="center"/>
          </w:tcPr>
          <w:p>
            <w:pPr>
              <w:spacing w:before="0" w:after="0"/>
              <w:jc w:val="right"/>
            </w:pPr>
            <w:r>
              <w:rPr>
                <w:sz w:val="18"/>
                <w:szCs w:val="18"/>
              </w:rPr>
              <w:t xml:space="preserve">5,509</w:t>
            </w:r>
          </w:p>
        </w:tc>
      </w:tr>
    </w:tbl>
    <w:p>
      <w:pPr/>
    </w:p>
    <w:p>
      <w:pPr>
        <w:ind w:left="0" w:firstLine="360"/>
      </w:pPr>
      <w:r>
        <w:t xml:space="preserve">Net cash used in financing activities was $10,945 thousand, reflecting repayments of the term loan and dividends paid. The Company depends on a small number of dairy and bakery suppliers in each region, and an interruption in their deliveries could affect sales at the stores they serve. Green coffee is purchased from exporters and cooperatives in Central America, South America and East Africa under fixed-price contracts that generally cover the next nine to twelve months of expected needs.</w:t>
      </w:r>
    </w:p>
    <w:p>
      <w:pPr>
        <w:keepNext/>
      </w:pPr>
      <w:r>
        <w:rPr>
          <w:b/>
        </w:rPr>
        <w:t xml:space="preserve">(2) Parent company</w:t>
      </w:r>
    </w:p>
    <w:tbl>
      <w:tblPr>
        <w:tblW w:w="907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72" w:type="dxa"/>
          <w:right w:w="72" w:type="dxa"/>
        </w:tblCellMar>
      </w:tblPr>
      <w:tblGrid>
        <w:gridCol w:w="3072"/>
        <w:gridCol w:w="1200"/>
        <w:gridCol w:w="1200"/>
        <w:gridCol w:w="1200"/>
        <w:gridCol w:w="1200"/>
        <w:gridCol w:w="1200"/>
      </w:tblGrid>
      <w:tr>
        <w:trPr>
          <w:tblHeader/>
        </w:trPr>
        <w:tc>
          <w:tcPr>
            <w:tcW w:w="3072" w:type="dxa"/>
            <w:shd w:val="clear" w:color="auto" w:fill="DDEBF7"/>
            <w:vAlign w:val="center"/>
          </w:tcPr>
          <w:p>
            <w:pPr>
              <w:spacing w:before="0" w:after="0"/>
              <w:jc w:val="center"/>
            </w:pPr>
            <w:r>
              <w:rPr>
                <w:b/>
                <w:sz w:val="18"/>
                <w:szCs w:val="18"/>
              </w:rPr>
              <w:t xml:space="preserve">Fiscal year</w:t>
            </w:r>
          </w:p>
        </w:tc>
        <w:tc>
          <w:tcPr>
            <w:tcW w:w="1200" w:type="dxa"/>
            <w:shd w:val="clear" w:color="auto" w:fill="DDEBF7"/>
            <w:vAlign w:val="center"/>
          </w:tcPr>
          <w:p>
            <w:pPr>
              <w:spacing w:before="0" w:after="0"/>
              <w:jc w:val="center"/>
            </w:pPr>
            <w:r>
              <w:rPr>
                <w:b/>
                <w:sz w:val="18"/>
                <w:szCs w:val="18"/>
              </w:rPr>
              <w:t xml:space="preserve">FY2021</w:t>
            </w:r>
          </w:p>
        </w:tc>
        <w:tc>
          <w:tcPr>
            <w:tcW w:w="1200" w:type="dxa"/>
            <w:shd w:val="clear" w:color="auto" w:fill="DDEBF7"/>
            <w:vAlign w:val="center"/>
          </w:tcPr>
          <w:p>
            <w:pPr>
              <w:spacing w:before="0" w:after="0"/>
              <w:jc w:val="center"/>
            </w:pPr>
            <w:r>
              <w:rPr>
                <w:b/>
                <w:sz w:val="18"/>
                <w:szCs w:val="18"/>
              </w:rPr>
              <w:t xml:space="preserve">FY2022</w:t>
            </w:r>
          </w:p>
        </w:tc>
        <w:tc>
          <w:tcPr>
            <w:tcW w:w="1200" w:type="dxa"/>
            <w:shd w:val="clear" w:color="auto" w:fill="DDEBF7"/>
            <w:vAlign w:val="center"/>
          </w:tcPr>
          <w:p>
            <w:pPr>
              <w:spacing w:before="0" w:after="0"/>
              <w:jc w:val="center"/>
            </w:pPr>
            <w:r>
              <w:rPr>
                <w:b/>
                <w:sz w:val="18"/>
                <w:szCs w:val="18"/>
              </w:rPr>
              <w:t xml:space="preserve">FY2023</w:t>
            </w:r>
          </w:p>
        </w:tc>
        <w:tc>
          <w:tcPr>
            <w:tcW w:w="1200" w:type="dxa"/>
            <w:shd w:val="clear" w:color="auto" w:fill="DDEBF7"/>
            <w:vAlign w:val="center"/>
          </w:tcPr>
          <w:p>
            <w:pPr>
              <w:spacing w:before="0" w:after="0"/>
              <w:jc w:val="center"/>
            </w:pPr>
            <w:r>
              <w:rPr>
                <w:b/>
                <w:sz w:val="18"/>
                <w:szCs w:val="18"/>
              </w:rPr>
              <w:t xml:space="preserve">FY2024</w:t>
            </w:r>
          </w:p>
        </w:tc>
        <w:tc>
          <w:tcPr>
            <w:tcW w:w="1200" w:type="dxa"/>
            <w:shd w:val="clear" w:color="auto" w:fill="DDEBF7"/>
            <w:vAlign w:val="center"/>
          </w:tcPr>
          <w:p>
            <w:pPr>
              <w:spacing w:before="0" w:after="0"/>
              <w:jc w:val="center"/>
            </w:pPr>
            <w:r>
              <w:rPr>
                <w:b/>
                <w:sz w:val="18"/>
                <w:szCs w:val="18"/>
              </w:rPr>
              <w:t xml:space="preserve">FY2025</w:t>
            </w:r>
          </w:p>
        </w:tc>
      </w:tr>
      <w:tr>
        <w:tc>
          <w:tcPr>
            <w:tcW w:w="3072" w:type="dxa"/>
            <w:vAlign w:val="center"/>
          </w:tcPr>
          <w:p>
            <w:pPr>
              <w:spacing w:before="0" w:after="0"/>
              <w:jc w:val="left"/>
            </w:pPr>
            <w:r>
              <w:rPr>
                <w:sz w:val="18"/>
                <w:szCs w:val="18"/>
              </w:rPr>
              <w:t xml:space="preserve">Revenue (USD thousands)</w:t>
            </w:r>
          </w:p>
        </w:tc>
        <w:tc>
          <w:tcPr>
            <w:tcW w:w="1200" w:type="dxa"/>
            <w:vAlign w:val="center"/>
          </w:tcPr>
          <w:p>
            <w:pPr>
              <w:spacing w:before="0" w:after="0"/>
              <w:jc w:val="right"/>
            </w:pPr>
            <w:r>
              <w:rPr>
                <w:sz w:val="18"/>
                <w:szCs w:val="18"/>
              </w:rPr>
              <w:t xml:space="preserve">170,045</w:t>
            </w:r>
          </w:p>
        </w:tc>
        <w:tc>
          <w:tcPr>
            <w:tcW w:w="1200" w:type="dxa"/>
            <w:vAlign w:val="center"/>
          </w:tcPr>
          <w:p>
            <w:pPr>
              <w:spacing w:before="0" w:after="0"/>
              <w:jc w:val="right"/>
            </w:pPr>
            <w:r>
              <w:rPr>
                <w:sz w:val="18"/>
                <w:szCs w:val="18"/>
              </w:rPr>
              <w:t xml:space="preserve">190,617</w:t>
            </w:r>
          </w:p>
        </w:tc>
        <w:tc>
          <w:tcPr>
            <w:tcW w:w="1200" w:type="dxa"/>
            <w:vAlign w:val="center"/>
          </w:tcPr>
          <w:p>
            <w:pPr>
              <w:spacing w:before="0" w:after="0"/>
              <w:jc w:val="right"/>
            </w:pPr>
            <w:r>
              <w:rPr>
                <w:sz w:val="18"/>
                <w:szCs w:val="18"/>
              </w:rPr>
              <w:t xml:space="preserve">216,511</w:t>
            </w:r>
          </w:p>
        </w:tc>
        <w:tc>
          <w:tcPr>
            <w:tcW w:w="1200" w:type="dxa"/>
            <w:vAlign w:val="center"/>
          </w:tcPr>
          <w:p>
            <w:pPr>
              <w:spacing w:before="0" w:after="0"/>
              <w:jc w:val="right"/>
            </w:pPr>
            <w:r>
              <w:rPr>
                <w:sz w:val="18"/>
                <w:szCs w:val="18"/>
              </w:rPr>
              <w:t xml:space="preserve">247,492</w:t>
            </w:r>
          </w:p>
        </w:tc>
        <w:tc>
          <w:tcPr>
            <w:tcW w:w="1200" w:type="dxa"/>
            <w:vAlign w:val="center"/>
          </w:tcPr>
          <w:p>
            <w:pPr>
              <w:spacing w:before="0" w:after="0"/>
              <w:jc w:val="right"/>
            </w:pPr>
            <w:r>
              <w:rPr>
                <w:sz w:val="18"/>
                <w:szCs w:val="18"/>
              </w:rPr>
              <w:t xml:space="preserve">275,825</w:t>
            </w:r>
          </w:p>
        </w:tc>
      </w:tr>
      <w:tr>
        <w:tc>
          <w:tcPr>
            <w:tcW w:w="3072" w:type="dxa"/>
            <w:vAlign w:val="center"/>
          </w:tcPr>
          <w:p>
            <w:pPr>
              <w:spacing w:before="0" w:after="0"/>
              <w:jc w:val="left"/>
            </w:pPr>
            <w:r>
              <w:rPr>
                <w:sz w:val="18"/>
                <w:szCs w:val="18"/>
              </w:rPr>
              <w:t xml:space="preserve">Operating income (USD thousands)</w:t>
            </w:r>
          </w:p>
        </w:tc>
        <w:tc>
          <w:tcPr>
            <w:tcW w:w="1200" w:type="dxa"/>
            <w:vAlign w:val="center"/>
          </w:tcPr>
          <w:p>
            <w:pPr>
              <w:spacing w:before="0" w:after="0"/>
              <w:jc w:val="right"/>
            </w:pPr>
            <w:r>
              <w:rPr>
                <w:sz w:val="18"/>
                <w:szCs w:val="18"/>
              </w:rPr>
              <w:t xml:space="preserve">14,589</w:t>
            </w:r>
          </w:p>
        </w:tc>
        <w:tc>
          <w:tcPr>
            <w:tcW w:w="1200" w:type="dxa"/>
            <w:vAlign w:val="center"/>
          </w:tcPr>
          <w:p>
            <w:pPr>
              <w:spacing w:before="0" w:after="0"/>
              <w:jc w:val="right"/>
            </w:pPr>
            <w:r>
              <w:rPr>
                <w:sz w:val="18"/>
                <w:szCs w:val="18"/>
              </w:rPr>
              <w:t xml:space="preserve">17,019</w:t>
            </w:r>
          </w:p>
        </w:tc>
        <w:tc>
          <w:tcPr>
            <w:tcW w:w="1200" w:type="dxa"/>
            <w:vAlign w:val="center"/>
          </w:tcPr>
          <w:p>
            <w:pPr>
              <w:spacing w:before="0" w:after="0"/>
              <w:jc w:val="right"/>
            </w:pPr>
            <w:r>
              <w:rPr>
                <w:sz w:val="18"/>
                <w:szCs w:val="18"/>
              </w:rPr>
              <w:t xml:space="preserve">20,302</w:t>
            </w:r>
          </w:p>
        </w:tc>
        <w:tc>
          <w:tcPr>
            <w:tcW w:w="1200" w:type="dxa"/>
            <w:vAlign w:val="center"/>
          </w:tcPr>
          <w:p>
            <w:pPr>
              <w:spacing w:before="0" w:after="0"/>
              <w:jc w:val="right"/>
            </w:pPr>
            <w:r>
              <w:rPr>
                <w:sz w:val="18"/>
                <w:szCs w:val="18"/>
              </w:rPr>
              <w:t xml:space="preserve">21,620</w:t>
            </w:r>
          </w:p>
        </w:tc>
        <w:tc>
          <w:tcPr>
            <w:tcW w:w="1200" w:type="dxa"/>
            <w:vAlign w:val="center"/>
          </w:tcPr>
          <w:p>
            <w:pPr>
              <w:spacing w:before="0" w:after="0"/>
              <w:jc w:val="right"/>
            </w:pPr>
            <w:r>
              <w:rPr>
                <w:sz w:val="18"/>
                <w:szCs w:val="18"/>
              </w:rPr>
              <w:t xml:space="preserve">25,268</w:t>
            </w:r>
          </w:p>
        </w:tc>
      </w:tr>
      <w:tr>
        <w:tc>
          <w:tcPr>
            <w:tcW w:w="3072" w:type="dxa"/>
            <w:vAlign w:val="center"/>
          </w:tcPr>
          <w:p>
            <w:pPr>
              <w:spacing w:before="0" w:after="0"/>
              <w:jc w:val="left"/>
            </w:pPr>
            <w:r>
              <w:rPr>
                <w:sz w:val="18"/>
                <w:szCs w:val="18"/>
              </w:rPr>
              <w:t xml:space="preserve">Net income (USD thousands)</w:t>
            </w:r>
          </w:p>
        </w:tc>
        <w:tc>
          <w:tcPr>
            <w:tcW w:w="1200" w:type="dxa"/>
            <w:vAlign w:val="center"/>
          </w:tcPr>
          <w:p>
            <w:pPr>
              <w:spacing w:before="0" w:after="0"/>
              <w:jc w:val="right"/>
            </w:pPr>
            <w:r>
              <w:rPr>
                <w:sz w:val="18"/>
                <w:szCs w:val="18"/>
              </w:rPr>
              <w:t xml:space="preserve">10,715</w:t>
            </w:r>
          </w:p>
        </w:tc>
        <w:tc>
          <w:tcPr>
            <w:tcW w:w="1200" w:type="dxa"/>
            <w:vAlign w:val="center"/>
          </w:tcPr>
          <w:p>
            <w:pPr>
              <w:spacing w:before="0" w:after="0"/>
              <w:jc w:val="right"/>
            </w:pPr>
            <w:r>
              <w:rPr>
                <w:sz w:val="18"/>
                <w:szCs w:val="18"/>
              </w:rPr>
              <w:t xml:space="preserve">10,817</w:t>
            </w:r>
          </w:p>
        </w:tc>
        <w:tc>
          <w:tcPr>
            <w:tcW w:w="1200" w:type="dxa"/>
            <w:vAlign w:val="center"/>
          </w:tcPr>
          <w:p>
            <w:pPr>
              <w:spacing w:before="0" w:after="0"/>
              <w:jc w:val="right"/>
            </w:pPr>
            <w:r>
              <w:rPr>
                <w:sz w:val="18"/>
                <w:szCs w:val="18"/>
              </w:rPr>
              <w:t xml:space="preserve">12,378</w:t>
            </w:r>
          </w:p>
        </w:tc>
        <w:tc>
          <w:tcPr>
            <w:tcW w:w="1200" w:type="dxa"/>
            <w:vAlign w:val="center"/>
          </w:tcPr>
          <w:p>
            <w:pPr>
              <w:spacing w:before="0" w:after="0"/>
              <w:jc w:val="right"/>
            </w:pPr>
            <w:r>
              <w:rPr>
                <w:sz w:val="18"/>
                <w:szCs w:val="18"/>
              </w:rPr>
              <w:t xml:space="preserve">15,578</w:t>
            </w:r>
          </w:p>
        </w:tc>
        <w:tc>
          <w:tcPr>
            <w:tcW w:w="1200" w:type="dxa"/>
            <w:vAlign w:val="center"/>
          </w:tcPr>
          <w:p>
            <w:pPr>
              <w:spacing w:before="0" w:after="0"/>
              <w:jc w:val="right"/>
            </w:pPr>
            <w:r>
              <w:rPr>
                <w:sz w:val="18"/>
                <w:szCs w:val="18"/>
              </w:rPr>
              <w:t xml:space="preserve">15,465</w:t>
            </w:r>
          </w:p>
        </w:tc>
      </w:tr>
      <w:tr>
        <w:tc>
          <w:tcPr>
            <w:tcW w:w="3072" w:type="dxa"/>
            <w:vAlign w:val="center"/>
          </w:tcPr>
          <w:p>
            <w:pPr>
              <w:spacing w:before="0" w:after="0"/>
              <w:jc w:val="left"/>
            </w:pPr>
            <w:r>
              <w:rPr>
                <w:sz w:val="18"/>
                <w:szCs w:val="18"/>
              </w:rPr>
              <w:t xml:space="preserve">Common stock (USD thousands)</w:t>
            </w:r>
          </w:p>
        </w:tc>
        <w:tc>
          <w:tcPr>
            <w:tcW w:w="1200" w:type="dxa"/>
            <w:vAlign w:val="center"/>
          </w:tcPr>
          <w:p>
            <w:pPr>
              <w:spacing w:before="0" w:after="0"/>
              <w:jc w:val="right"/>
            </w:pPr>
            <w:r>
              <w:rPr>
                <w:sz w:val="18"/>
                <w:szCs w:val="18"/>
              </w:rPr>
              <w:t xml:space="preserve">412</w:t>
            </w:r>
          </w:p>
        </w:tc>
        <w:tc>
          <w:tcPr>
            <w:tcW w:w="1200" w:type="dxa"/>
            <w:vAlign w:val="center"/>
          </w:tcPr>
          <w:p>
            <w:pPr>
              <w:spacing w:before="0" w:after="0"/>
              <w:jc w:val="right"/>
            </w:pPr>
            <w:r>
              <w:rPr>
                <w:sz w:val="18"/>
                <w:szCs w:val="18"/>
              </w:rPr>
              <w:t xml:space="preserve">412</w:t>
            </w:r>
          </w:p>
        </w:tc>
        <w:tc>
          <w:tcPr>
            <w:tcW w:w="1200" w:type="dxa"/>
            <w:vAlign w:val="center"/>
          </w:tcPr>
          <w:p>
            <w:pPr>
              <w:spacing w:before="0" w:after="0"/>
              <w:jc w:val="right"/>
            </w:pPr>
            <w:r>
              <w:rPr>
                <w:sz w:val="18"/>
                <w:szCs w:val="18"/>
              </w:rPr>
              <w:t xml:space="preserve">412</w:t>
            </w:r>
          </w:p>
        </w:tc>
        <w:tc>
          <w:tcPr>
            <w:tcW w:w="1200" w:type="dxa"/>
            <w:vAlign w:val="center"/>
          </w:tcPr>
          <w:p>
            <w:pPr>
              <w:spacing w:before="0" w:after="0"/>
              <w:jc w:val="right"/>
            </w:pPr>
            <w:r>
              <w:rPr>
                <w:sz w:val="18"/>
                <w:szCs w:val="18"/>
              </w:rPr>
              <w:t xml:space="preserve">412</w:t>
            </w:r>
          </w:p>
        </w:tc>
        <w:tc>
          <w:tcPr>
            <w:tcW w:w="1200" w:type="dxa"/>
            <w:vAlign w:val="center"/>
          </w:tcPr>
          <w:p>
            <w:pPr>
              <w:spacing w:before="0" w:after="0"/>
              <w:jc w:val="right"/>
            </w:pPr>
            <w:r>
              <w:rPr>
                <w:sz w:val="18"/>
                <w:szCs w:val="18"/>
              </w:rPr>
              <w:t xml:space="preserve">412</w:t>
            </w:r>
          </w:p>
        </w:tc>
      </w:tr>
      <w:tr>
        <w:tc>
          <w:tcPr>
            <w:tcW w:w="3072" w:type="dxa"/>
            <w:vAlign w:val="center"/>
          </w:tcPr>
          <w:p>
            <w:pPr>
              <w:spacing w:before="0" w:after="0"/>
              <w:jc w:val="left"/>
            </w:pPr>
            <w:r>
              <w:rPr>
                <w:sz w:val="18"/>
                <w:szCs w:val="18"/>
              </w:rPr>
              <w:t xml:space="preserve">Shares outstanding</w:t>
            </w:r>
          </w:p>
        </w:tc>
        <w:tc>
          <w:tcPr>
            <w:tcW w:w="1200" w:type="dxa"/>
            <w:vAlign w:val="center"/>
          </w:tcPr>
          <w:p>
            <w:pPr>
              <w:spacing w:before="0" w:after="0"/>
              <w:jc w:val="right"/>
            </w:pPr>
            <w:r>
              <w:rPr>
                <w:sz w:val="18"/>
                <w:szCs w:val="18"/>
              </w:rPr>
              <w:t xml:space="preserve">41,250,000</w:t>
            </w:r>
          </w:p>
        </w:tc>
        <w:tc>
          <w:tcPr>
            <w:tcW w:w="1200" w:type="dxa"/>
            <w:vAlign w:val="center"/>
          </w:tcPr>
          <w:p>
            <w:pPr>
              <w:spacing w:before="0" w:after="0"/>
              <w:jc w:val="right"/>
            </w:pPr>
            <w:r>
              <w:rPr>
                <w:sz w:val="18"/>
                <w:szCs w:val="18"/>
              </w:rPr>
              <w:t xml:space="preserve">41,400,000</w:t>
            </w:r>
          </w:p>
        </w:tc>
        <w:tc>
          <w:tcPr>
            <w:tcW w:w="1200" w:type="dxa"/>
            <w:vAlign w:val="center"/>
          </w:tcPr>
          <w:p>
            <w:pPr>
              <w:spacing w:before="0" w:after="0"/>
              <w:jc w:val="right"/>
            </w:pPr>
            <w:r>
              <w:rPr>
                <w:sz w:val="18"/>
                <w:szCs w:val="18"/>
              </w:rPr>
              <w:t xml:space="preserve">41,550,000</w:t>
            </w:r>
          </w:p>
        </w:tc>
        <w:tc>
          <w:tcPr>
            <w:tcW w:w="1200" w:type="dxa"/>
            <w:vAlign w:val="center"/>
          </w:tcPr>
          <w:p>
            <w:pPr>
              <w:spacing w:before="0" w:after="0"/>
              <w:jc w:val="right"/>
            </w:pPr>
            <w:r>
              <w:rPr>
                <w:sz w:val="18"/>
                <w:szCs w:val="18"/>
              </w:rPr>
              <w:t xml:space="preserve">41,700,000</w:t>
            </w:r>
          </w:p>
        </w:tc>
        <w:tc>
          <w:tcPr>
            <w:tcW w:w="1200" w:type="dxa"/>
            <w:vAlign w:val="center"/>
          </w:tcPr>
          <w:p>
            <w:pPr>
              <w:spacing w:before="0" w:after="0"/>
              <w:jc w:val="right"/>
            </w:pPr>
            <w:r>
              <w:rPr>
                <w:sz w:val="18"/>
                <w:szCs w:val="18"/>
              </w:rPr>
              <w:t xml:space="preserve">41,850,000</w:t>
            </w:r>
          </w:p>
        </w:tc>
      </w:tr>
      <w:tr>
        <w:tc>
          <w:tcPr>
            <w:tcW w:w="3072" w:type="dxa"/>
            <w:vAlign w:val="center"/>
          </w:tcPr>
          <w:p>
            <w:pPr>
              <w:spacing w:before="0" w:after="0"/>
              <w:jc w:val="left"/>
            </w:pPr>
            <w:r>
              <w:rPr>
                <w:sz w:val="18"/>
                <w:szCs w:val="18"/>
              </w:rPr>
              <w:t xml:space="preserve">Total equity (USD thousands)</w:t>
            </w:r>
          </w:p>
        </w:tc>
        <w:tc>
          <w:tcPr>
            <w:tcW w:w="1200" w:type="dxa"/>
            <w:vAlign w:val="center"/>
          </w:tcPr>
          <w:p>
            <w:pPr>
              <w:spacing w:before="0" w:after="0"/>
              <w:jc w:val="right"/>
            </w:pPr>
            <w:r>
              <w:rPr>
                <w:sz w:val="18"/>
                <w:szCs w:val="18"/>
              </w:rPr>
              <w:t xml:space="preserve">105,571</w:t>
            </w:r>
          </w:p>
        </w:tc>
        <w:tc>
          <w:tcPr>
            <w:tcW w:w="1200" w:type="dxa"/>
            <w:vAlign w:val="center"/>
          </w:tcPr>
          <w:p>
            <w:pPr>
              <w:spacing w:before="0" w:after="0"/>
              <w:jc w:val="right"/>
            </w:pPr>
            <w:r>
              <w:rPr>
                <w:sz w:val="18"/>
                <w:szCs w:val="18"/>
              </w:rPr>
              <w:t xml:space="preserve">117,311</w:t>
            </w:r>
          </w:p>
        </w:tc>
        <w:tc>
          <w:tcPr>
            <w:tcW w:w="1200" w:type="dxa"/>
            <w:vAlign w:val="center"/>
          </w:tcPr>
          <w:p>
            <w:pPr>
              <w:spacing w:before="0" w:after="0"/>
              <w:jc w:val="right"/>
            </w:pPr>
            <w:r>
              <w:rPr>
                <w:sz w:val="18"/>
                <w:szCs w:val="18"/>
              </w:rPr>
              <w:t xml:space="preserve">140,088</w:t>
            </w:r>
          </w:p>
        </w:tc>
        <w:tc>
          <w:tcPr>
            <w:tcW w:w="1200" w:type="dxa"/>
            <w:vAlign w:val="center"/>
          </w:tcPr>
          <w:p>
            <w:pPr>
              <w:spacing w:before="0" w:after="0"/>
              <w:jc w:val="right"/>
            </w:pPr>
            <w:r>
              <w:rPr>
                <w:sz w:val="18"/>
                <w:szCs w:val="18"/>
              </w:rPr>
              <w:t xml:space="preserve">148,482</w:t>
            </w:r>
          </w:p>
        </w:tc>
        <w:tc>
          <w:tcPr>
            <w:tcW w:w="1200" w:type="dxa"/>
            <w:vAlign w:val="center"/>
          </w:tcPr>
          <w:p>
            <w:pPr>
              <w:spacing w:before="0" w:after="0"/>
              <w:jc w:val="right"/>
            </w:pPr>
            <w:r>
              <w:rPr>
                <w:sz w:val="18"/>
                <w:szCs w:val="18"/>
              </w:rPr>
              <w:t xml:space="preserve">156,742</w:t>
            </w:r>
          </w:p>
        </w:tc>
      </w:tr>
      <w:tr>
        <w:tc>
          <w:tcPr>
            <w:tcW w:w="3072" w:type="dxa"/>
            <w:vAlign w:val="center"/>
          </w:tcPr>
          <w:p>
            <w:pPr>
              <w:spacing w:before="0" w:after="0"/>
              <w:jc w:val="left"/>
            </w:pPr>
            <w:r>
              <w:rPr>
                <w:sz w:val="18"/>
                <w:szCs w:val="18"/>
              </w:rPr>
              <w:t xml:space="preserve">Total assets (USD thousands)</w:t>
            </w:r>
          </w:p>
        </w:tc>
        <w:tc>
          <w:tcPr>
            <w:tcW w:w="1200" w:type="dxa"/>
            <w:vAlign w:val="center"/>
          </w:tcPr>
          <w:p>
            <w:pPr>
              <w:spacing w:before="0" w:after="0"/>
              <w:jc w:val="right"/>
            </w:pPr>
            <w:r>
              <w:rPr>
                <w:sz w:val="18"/>
                <w:szCs w:val="18"/>
              </w:rPr>
              <w:t xml:space="preserve">242,988</w:t>
            </w:r>
          </w:p>
        </w:tc>
        <w:tc>
          <w:tcPr>
            <w:tcW w:w="1200" w:type="dxa"/>
            <w:vAlign w:val="center"/>
          </w:tcPr>
          <w:p>
            <w:pPr>
              <w:spacing w:before="0" w:after="0"/>
              <w:jc w:val="right"/>
            </w:pPr>
            <w:r>
              <w:rPr>
                <w:sz w:val="18"/>
                <w:szCs w:val="18"/>
              </w:rPr>
              <w:t xml:space="preserve">260,484</w:t>
            </w:r>
          </w:p>
        </w:tc>
        <w:tc>
          <w:tcPr>
            <w:tcW w:w="1200" w:type="dxa"/>
            <w:vAlign w:val="center"/>
          </w:tcPr>
          <w:p>
            <w:pPr>
              <w:spacing w:before="0" w:after="0"/>
              <w:jc w:val="right"/>
            </w:pPr>
            <w:r>
              <w:rPr>
                <w:sz w:val="18"/>
                <w:szCs w:val="18"/>
              </w:rPr>
              <w:t xml:space="preserve">274,496</w:t>
            </w:r>
          </w:p>
        </w:tc>
        <w:tc>
          <w:tcPr>
            <w:tcW w:w="1200" w:type="dxa"/>
            <w:vAlign w:val="center"/>
          </w:tcPr>
          <w:p>
            <w:pPr>
              <w:spacing w:before="0" w:after="0"/>
              <w:jc w:val="right"/>
            </w:pPr>
            <w:r>
              <w:rPr>
                <w:sz w:val="18"/>
                <w:szCs w:val="18"/>
              </w:rPr>
              <w:t xml:space="preserve">317,498</w:t>
            </w:r>
          </w:p>
        </w:tc>
        <w:tc>
          <w:tcPr>
            <w:tcW w:w="1200" w:type="dxa"/>
            <w:vAlign w:val="center"/>
          </w:tcPr>
          <w:p>
            <w:pPr>
              <w:spacing w:before="0" w:after="0"/>
              <w:jc w:val="right"/>
            </w:pPr>
            <w:r>
              <w:rPr>
                <w:sz w:val="18"/>
                <w:szCs w:val="18"/>
              </w:rPr>
              <w:t xml:space="preserve">378,832</w:t>
            </w:r>
          </w:p>
        </w:tc>
      </w:tr>
      <w:tr>
        <w:tc>
          <w:tcPr>
            <w:tcW w:w="3072" w:type="dxa"/>
            <w:vAlign w:val="center"/>
          </w:tcPr>
          <w:p>
            <w:pPr>
              <w:spacing w:before="0" w:after="0"/>
              <w:jc w:val="left"/>
            </w:pPr>
            <w:r>
              <w:rPr>
                <w:sz w:val="18"/>
                <w:szCs w:val="18"/>
              </w:rPr>
              <w:t xml:space="preserve">Book value per share (USD)</w:t>
            </w:r>
          </w:p>
        </w:tc>
        <w:tc>
          <w:tcPr>
            <w:tcW w:w="1200" w:type="dxa"/>
            <w:vAlign w:val="center"/>
          </w:tcPr>
          <w:p>
            <w:pPr>
              <w:spacing w:before="0" w:after="0"/>
              <w:jc w:val="right"/>
            </w:pPr>
            <w:r>
              <w:rPr>
                <w:sz w:val="18"/>
                <w:szCs w:val="18"/>
              </w:rPr>
              <w:t xml:space="preserve">2.42</w:t>
            </w:r>
          </w:p>
        </w:tc>
        <w:tc>
          <w:tcPr>
            <w:tcW w:w="1200" w:type="dxa"/>
            <w:vAlign w:val="center"/>
          </w:tcPr>
          <w:p>
            <w:pPr>
              <w:spacing w:before="0" w:after="0"/>
              <w:jc w:val="right"/>
            </w:pPr>
            <w:r>
              <w:rPr>
                <w:sz w:val="18"/>
                <w:szCs w:val="18"/>
              </w:rPr>
              <w:t xml:space="preserve">2.74</w:t>
            </w:r>
          </w:p>
        </w:tc>
        <w:tc>
          <w:tcPr>
            <w:tcW w:w="1200" w:type="dxa"/>
            <w:vAlign w:val="center"/>
          </w:tcPr>
          <w:p>
            <w:pPr>
              <w:spacing w:before="0" w:after="0"/>
              <w:jc w:val="right"/>
            </w:pPr>
            <w:r>
              <w:rPr>
                <w:sz w:val="18"/>
                <w:szCs w:val="18"/>
              </w:rPr>
              <w:t xml:space="preserve">3.13</w:t>
            </w:r>
          </w:p>
        </w:tc>
        <w:tc>
          <w:tcPr>
            <w:tcW w:w="1200" w:type="dxa"/>
            <w:vAlign w:val="center"/>
          </w:tcPr>
          <w:p>
            <w:pPr>
              <w:spacing w:before="0" w:after="0"/>
              <w:jc w:val="right"/>
            </w:pPr>
            <w:r>
              <w:rPr>
                <w:sz w:val="18"/>
                <w:szCs w:val="18"/>
              </w:rPr>
              <w:t xml:space="preserve">3.59</w:t>
            </w:r>
          </w:p>
        </w:tc>
        <w:tc>
          <w:tcPr>
            <w:tcW w:w="1200" w:type="dxa"/>
            <w:vAlign w:val="center"/>
          </w:tcPr>
          <w:p>
            <w:pPr>
              <w:spacing w:before="0" w:after="0"/>
              <w:jc w:val="right"/>
            </w:pPr>
            <w:r>
              <w:rPr>
                <w:sz w:val="18"/>
                <w:szCs w:val="18"/>
              </w:rPr>
              <w:t xml:space="preserve">3.91</w:t>
            </w:r>
          </w:p>
        </w:tc>
      </w:tr>
      <w:tr>
        <w:tc>
          <w:tcPr>
            <w:tcW w:w="3072" w:type="dxa"/>
            <w:vAlign w:val="center"/>
          </w:tcPr>
          <w:p>
            <w:pPr>
              <w:spacing w:before="0" w:after="0"/>
              <w:jc w:val="left"/>
            </w:pPr>
            <w:r>
              <w:rPr>
                <w:sz w:val="18"/>
                <w:szCs w:val="18"/>
              </w:rPr>
              <w:t xml:space="preserve">Earnings per share (USD)</w:t>
            </w:r>
          </w:p>
        </w:tc>
        <w:tc>
          <w:tcPr>
            <w:tcW w:w="1200" w:type="dxa"/>
            <w:vAlign w:val="center"/>
          </w:tcPr>
          <w:p>
            <w:pPr>
              <w:spacing w:before="0" w:after="0"/>
              <w:jc w:val="right"/>
            </w:pPr>
            <w:r>
              <w:rPr>
                <w:sz w:val="18"/>
                <w:szCs w:val="18"/>
              </w:rPr>
              <w:t xml:space="preserve">0.23</w:t>
            </w:r>
          </w:p>
        </w:tc>
        <w:tc>
          <w:tcPr>
            <w:tcW w:w="1200" w:type="dxa"/>
            <w:vAlign w:val="center"/>
          </w:tcPr>
          <w:p>
            <w:pPr>
              <w:spacing w:before="0" w:after="0"/>
              <w:jc w:val="right"/>
            </w:pPr>
            <w:r>
              <w:rPr>
                <w:sz w:val="18"/>
                <w:szCs w:val="18"/>
              </w:rPr>
              <w:t xml:space="preserve">0.27</w:t>
            </w:r>
          </w:p>
        </w:tc>
        <w:tc>
          <w:tcPr>
            <w:tcW w:w="1200" w:type="dxa"/>
            <w:vAlign w:val="center"/>
          </w:tcPr>
          <w:p>
            <w:pPr>
              <w:spacing w:before="0" w:after="0"/>
              <w:jc w:val="right"/>
            </w:pPr>
            <w:r>
              <w:rPr>
                <w:sz w:val="18"/>
                <w:szCs w:val="18"/>
              </w:rPr>
              <w:t xml:space="preserve">0.32</w:t>
            </w:r>
          </w:p>
        </w:tc>
        <w:tc>
          <w:tcPr>
            <w:tcW w:w="1200" w:type="dxa"/>
            <w:vAlign w:val="center"/>
          </w:tcPr>
          <w:p>
            <w:pPr>
              <w:spacing w:before="0" w:after="0"/>
              <w:jc w:val="right"/>
            </w:pPr>
            <w:r>
              <w:rPr>
                <w:sz w:val="18"/>
                <w:szCs w:val="18"/>
              </w:rPr>
              <w:t xml:space="preserve">0.36</w:t>
            </w:r>
          </w:p>
        </w:tc>
        <w:tc>
          <w:tcPr>
            <w:tcW w:w="1200" w:type="dxa"/>
            <w:vAlign w:val="center"/>
          </w:tcPr>
          <w:p>
            <w:pPr>
              <w:spacing w:before="0" w:after="0"/>
              <w:jc w:val="right"/>
            </w:pPr>
            <w:r>
              <w:rPr>
                <w:sz w:val="18"/>
                <w:szCs w:val="18"/>
              </w:rPr>
              <w:t xml:space="preserve">0.42</w:t>
            </w:r>
          </w:p>
        </w:tc>
      </w:tr>
      <w:tr>
        <w:tc>
          <w:tcPr>
            <w:tcW w:w="3072" w:type="dxa"/>
            <w:vAlign w:val="center"/>
          </w:tcPr>
          <w:p>
            <w:pPr>
              <w:spacing w:before="0" w:after="0"/>
              <w:jc w:val="left"/>
            </w:pPr>
            <w:r>
              <w:rPr>
                <w:sz w:val="18"/>
                <w:szCs w:val="18"/>
              </w:rPr>
              <w:t xml:space="preserve">Equity ratio (%)</w:t>
            </w:r>
          </w:p>
        </w:tc>
        <w:tc>
          <w:tcPr>
            <w:tcW w:w="1200" w:type="dxa"/>
            <w:vAlign w:val="center"/>
          </w:tcPr>
          <w:p>
            <w:pPr>
              <w:spacing w:before="0" w:after="0"/>
              <w:jc w:val="right"/>
            </w:pPr>
            <w:r>
              <w:rPr>
                <w:sz w:val="18"/>
                <w:szCs w:val="18"/>
              </w:rPr>
              <w:t xml:space="preserve">45.2</w:t>
            </w:r>
          </w:p>
        </w:tc>
        <w:tc>
          <w:tcPr>
            <w:tcW w:w="1200" w:type="dxa"/>
            <w:vAlign w:val="center"/>
          </w:tcPr>
          <w:p>
            <w:pPr>
              <w:spacing w:before="0" w:after="0"/>
              <w:jc w:val="right"/>
            </w:pPr>
            <w:r>
              <w:rPr>
                <w:sz w:val="18"/>
                <w:szCs w:val="18"/>
              </w:rPr>
              <w:t xml:space="preserve">43.0</w:t>
            </w:r>
          </w:p>
        </w:tc>
        <w:tc>
          <w:tcPr>
            <w:tcW w:w="1200" w:type="dxa"/>
            <w:vAlign w:val="center"/>
          </w:tcPr>
          <w:p>
            <w:pPr>
              <w:spacing w:before="0" w:after="0"/>
              <w:jc w:val="right"/>
            </w:pPr>
            <w:r>
              <w:rPr>
                <w:sz w:val="18"/>
                <w:szCs w:val="18"/>
              </w:rPr>
              <w:t xml:space="preserve">43.9</w:t>
            </w:r>
          </w:p>
        </w:tc>
        <w:tc>
          <w:tcPr>
            <w:tcW w:w="1200" w:type="dxa"/>
            <w:vAlign w:val="center"/>
          </w:tcPr>
          <w:p>
            <w:pPr>
              <w:spacing w:before="0" w:after="0"/>
              <w:jc w:val="right"/>
            </w:pPr>
            <w:r>
              <w:rPr>
                <w:sz w:val="18"/>
                <w:szCs w:val="18"/>
              </w:rPr>
              <w:t xml:space="preserve">42.7</w:t>
            </w:r>
          </w:p>
        </w:tc>
        <w:tc>
          <w:tcPr>
            <w:tcW w:w="1200" w:type="dxa"/>
            <w:vAlign w:val="center"/>
          </w:tcPr>
          <w:p>
            <w:pPr>
              <w:spacing w:before="0" w:after="0"/>
              <w:jc w:val="right"/>
            </w:pPr>
            <w:r>
              <w:rPr>
                <w:sz w:val="18"/>
                <w:szCs w:val="18"/>
              </w:rPr>
              <w:t xml:space="preserve">45.5</w:t>
            </w:r>
          </w:p>
        </w:tc>
      </w:tr>
      <w:tr>
        <w:tc>
          <w:tcPr>
            <w:tcW w:w="3072" w:type="dxa"/>
            <w:vAlign w:val="center"/>
          </w:tcPr>
          <w:p>
            <w:pPr>
              <w:spacing w:before="0" w:after="0"/>
              <w:jc w:val="left"/>
            </w:pPr>
            <w:r>
              <w:rPr>
                <w:sz w:val="18"/>
                <w:szCs w:val="18"/>
              </w:rPr>
              <w:t xml:space="preserve">Return on equity (%)</w:t>
            </w:r>
          </w:p>
        </w:tc>
        <w:tc>
          <w:tcPr>
            <w:tcW w:w="1200" w:type="dxa"/>
            <w:vAlign w:val="center"/>
          </w:tcPr>
          <w:p>
            <w:pPr>
              <w:spacing w:before="0" w:after="0"/>
              <w:jc w:val="right"/>
            </w:pPr>
            <w:r>
              <w:rPr>
                <w:sz w:val="18"/>
                <w:szCs w:val="18"/>
              </w:rPr>
              <w:t xml:space="preserve">8.6</w:t>
            </w:r>
          </w:p>
        </w:tc>
        <w:tc>
          <w:tcPr>
            <w:tcW w:w="1200" w:type="dxa"/>
            <w:vAlign w:val="center"/>
          </w:tcPr>
          <w:p>
            <w:pPr>
              <w:spacing w:before="0" w:after="0"/>
              <w:jc w:val="right"/>
            </w:pPr>
            <w:r>
              <w:rPr>
                <w:sz w:val="18"/>
                <w:szCs w:val="18"/>
              </w:rPr>
              <w:t xml:space="preserve">10.2</w:t>
            </w:r>
          </w:p>
        </w:tc>
        <w:tc>
          <w:tcPr>
            <w:tcW w:w="1200" w:type="dxa"/>
            <w:vAlign w:val="center"/>
          </w:tcPr>
          <w:p>
            <w:pPr>
              <w:spacing w:before="0" w:after="0"/>
              <w:jc w:val="right"/>
            </w:pPr>
            <w:r>
              <w:rPr>
                <w:sz w:val="18"/>
                <w:szCs w:val="18"/>
              </w:rPr>
              <w:t xml:space="preserve">9.0</w:t>
            </w:r>
          </w:p>
        </w:tc>
        <w:tc>
          <w:tcPr>
            <w:tcW w:w="1200" w:type="dxa"/>
            <w:vAlign w:val="center"/>
          </w:tcPr>
          <w:p>
            <w:pPr>
              <w:spacing w:before="0" w:after="0"/>
              <w:jc w:val="right"/>
            </w:pPr>
            <w:r>
              <w:rPr>
                <w:sz w:val="18"/>
                <w:szCs w:val="18"/>
              </w:rPr>
              <w:t xml:space="preserve">8.9</w:t>
            </w:r>
          </w:p>
        </w:tc>
        <w:tc>
          <w:tcPr>
            <w:tcW w:w="1200" w:type="dxa"/>
            <w:vAlign w:val="center"/>
          </w:tcPr>
          <w:p>
            <w:pPr>
              <w:spacing w:before="0" w:after="0"/>
              <w:jc w:val="right"/>
            </w:pPr>
            <w:r>
              <w:rPr>
                <w:sz w:val="18"/>
                <w:szCs w:val="18"/>
              </w:rPr>
              <w:t xml:space="preserve">11.8</w:t>
            </w:r>
          </w:p>
        </w:tc>
      </w:tr>
      <w:tr>
        <w:tc>
          <w:tcPr>
            <w:tcW w:w="3072" w:type="dxa"/>
            <w:vAlign w:val="center"/>
          </w:tcPr>
          <w:p>
            <w:pPr>
              <w:spacing w:before="0" w:after="0"/>
              <w:jc w:val="left"/>
            </w:pPr>
            <w:r>
              <w:rPr>
                <w:sz w:val="18"/>
                <w:szCs w:val="18"/>
              </w:rPr>
              <w:t xml:space="preserve">Net cash provided by operating activities (USD thousands)</w:t>
            </w:r>
          </w:p>
        </w:tc>
        <w:tc>
          <w:tcPr>
            <w:tcW w:w="1200" w:type="dxa"/>
            <w:vAlign w:val="center"/>
          </w:tcPr>
          <w:p>
            <w:pPr>
              <w:spacing w:before="0" w:after="0"/>
              <w:jc w:val="right"/>
            </w:pPr>
            <w:r>
              <w:rPr>
                <w:sz w:val="18"/>
                <w:szCs w:val="18"/>
              </w:rPr>
              <w:t xml:space="preserve">20,399</w:t>
            </w:r>
          </w:p>
        </w:tc>
        <w:tc>
          <w:tcPr>
            <w:tcW w:w="1200" w:type="dxa"/>
            <w:vAlign w:val="center"/>
          </w:tcPr>
          <w:p>
            <w:pPr>
              <w:spacing w:before="0" w:after="0"/>
              <w:jc w:val="right"/>
            </w:pPr>
            <w:r>
              <w:rPr>
                <w:sz w:val="18"/>
                <w:szCs w:val="18"/>
              </w:rPr>
              <w:t xml:space="preserve">26,430</w:t>
            </w:r>
          </w:p>
        </w:tc>
        <w:tc>
          <w:tcPr>
            <w:tcW w:w="1200" w:type="dxa"/>
            <w:vAlign w:val="center"/>
          </w:tcPr>
          <w:p>
            <w:pPr>
              <w:spacing w:before="0" w:after="0"/>
              <w:jc w:val="right"/>
            </w:pPr>
            <w:r>
              <w:rPr>
                <w:sz w:val="18"/>
                <w:szCs w:val="18"/>
              </w:rPr>
              <w:t xml:space="preserve">25,868</w:t>
            </w:r>
          </w:p>
        </w:tc>
        <w:tc>
          <w:tcPr>
            <w:tcW w:w="1200" w:type="dxa"/>
            <w:vAlign w:val="center"/>
          </w:tcPr>
          <w:p>
            <w:pPr>
              <w:spacing w:before="0" w:after="0"/>
              <w:jc w:val="right"/>
            </w:pPr>
            <w:r>
              <w:rPr>
                <w:sz w:val="18"/>
                <w:szCs w:val="18"/>
              </w:rPr>
              <w:t xml:space="preserve">33,492</w:t>
            </w:r>
          </w:p>
        </w:tc>
        <w:tc>
          <w:tcPr>
            <w:tcW w:w="1200" w:type="dxa"/>
            <w:vAlign w:val="center"/>
          </w:tcPr>
          <w:p>
            <w:pPr>
              <w:spacing w:before="0" w:after="0"/>
              <w:jc w:val="right"/>
            </w:pPr>
            <w:r>
              <w:rPr>
                <w:sz w:val="18"/>
                <w:szCs w:val="18"/>
              </w:rPr>
              <w:t xml:space="preserve">33,831</w:t>
            </w:r>
          </w:p>
        </w:tc>
      </w:tr>
      <w:tr>
        <w:tc>
          <w:tcPr>
            <w:tcW w:w="3072" w:type="dxa"/>
            <w:vAlign w:val="center"/>
          </w:tcPr>
          <w:p>
            <w:pPr>
              <w:spacing w:before="0" w:after="0"/>
              <w:jc w:val="left"/>
            </w:pPr>
            <w:r>
              <w:rPr>
                <w:sz w:val="18"/>
                <w:szCs w:val="18"/>
              </w:rPr>
              <w:t xml:space="preserve">Number of stores at year end</w:t>
            </w:r>
          </w:p>
        </w:tc>
        <w:tc>
          <w:tcPr>
            <w:tcW w:w="1200" w:type="dxa"/>
            <w:vAlign w:val="center"/>
          </w:tcPr>
          <w:p>
            <w:pPr>
              <w:spacing w:before="0" w:after="0"/>
              <w:jc w:val="right"/>
            </w:pPr>
            <w:r>
              <w:rPr>
                <w:sz w:val="18"/>
                <w:szCs w:val="18"/>
              </w:rPr>
              <w:t xml:space="preserve">99</w:t>
            </w:r>
          </w:p>
        </w:tc>
        <w:tc>
          <w:tcPr>
            <w:tcW w:w="1200" w:type="dxa"/>
            <w:vAlign w:val="center"/>
          </w:tcPr>
          <w:p>
            <w:pPr>
              <w:spacing w:before="0" w:after="0"/>
              <w:jc w:val="right"/>
            </w:pPr>
            <w:r>
              <w:rPr>
                <w:sz w:val="18"/>
                <w:szCs w:val="18"/>
              </w:rPr>
              <w:t xml:space="preserve">120</w:t>
            </w:r>
          </w:p>
        </w:tc>
        <w:tc>
          <w:tcPr>
            <w:tcW w:w="1200" w:type="dxa"/>
            <w:vAlign w:val="center"/>
          </w:tcPr>
          <w:p>
            <w:pPr>
              <w:spacing w:before="0" w:after="0"/>
              <w:jc w:val="right"/>
            </w:pPr>
            <w:r>
              <w:rPr>
                <w:sz w:val="18"/>
                <w:szCs w:val="18"/>
              </w:rPr>
              <w:t xml:space="preserve">142</w:t>
            </w:r>
          </w:p>
        </w:tc>
        <w:tc>
          <w:tcPr>
            <w:tcW w:w="1200" w:type="dxa"/>
            <w:vAlign w:val="center"/>
          </w:tcPr>
          <w:p>
            <w:pPr>
              <w:spacing w:before="0" w:after="0"/>
              <w:jc w:val="right"/>
            </w:pPr>
            <w:r>
              <w:rPr>
                <w:sz w:val="18"/>
                <w:szCs w:val="18"/>
              </w:rPr>
              <w:t xml:space="preserve">162</w:t>
            </w:r>
          </w:p>
        </w:tc>
        <w:tc>
          <w:tcPr>
            <w:tcW w:w="1200" w:type="dxa"/>
            <w:vAlign w:val="center"/>
          </w:tcPr>
          <w:p>
            <w:pPr>
              <w:spacing w:before="0" w:after="0"/>
              <w:jc w:val="right"/>
            </w:pPr>
            <w:r>
              <w:rPr>
                <w:sz w:val="18"/>
                <w:szCs w:val="18"/>
              </w:rPr>
              <w:t xml:space="preserve">182</w:t>
            </w:r>
          </w:p>
        </w:tc>
      </w:tr>
      <w:tr>
        <w:tc>
          <w:tcPr>
            <w:tcW w:w="3072" w:type="dxa"/>
            <w:vAlign w:val="center"/>
          </w:tcPr>
          <w:p>
            <w:pPr>
              <w:spacing w:before="0" w:after="0"/>
              <w:jc w:val="left"/>
            </w:pPr>
            <w:r>
              <w:rPr>
                <w:sz w:val="18"/>
                <w:szCs w:val="18"/>
              </w:rPr>
              <w:t xml:space="preserve">Employees</w:t>
            </w:r>
          </w:p>
        </w:tc>
        <w:tc>
          <w:tcPr>
            <w:tcW w:w="1200" w:type="dxa"/>
            <w:vAlign w:val="center"/>
          </w:tcPr>
          <w:p>
            <w:pPr>
              <w:spacing w:before="0" w:after="0"/>
              <w:jc w:val="right"/>
            </w:pPr>
            <w:r>
              <w:rPr>
                <w:sz w:val="18"/>
                <w:szCs w:val="18"/>
              </w:rPr>
              <w:t xml:space="preserve">2,949</w:t>
            </w:r>
          </w:p>
        </w:tc>
        <w:tc>
          <w:tcPr>
            <w:tcW w:w="1200" w:type="dxa"/>
            <w:vAlign w:val="center"/>
          </w:tcPr>
          <w:p>
            <w:pPr>
              <w:spacing w:before="0" w:after="0"/>
              <w:jc w:val="right"/>
            </w:pPr>
            <w:r>
              <w:rPr>
                <w:sz w:val="18"/>
                <w:szCs w:val="18"/>
              </w:rPr>
              <w:t xml:space="preserve">3,554</w:t>
            </w:r>
          </w:p>
        </w:tc>
        <w:tc>
          <w:tcPr>
            <w:tcW w:w="1200" w:type="dxa"/>
            <w:vAlign w:val="center"/>
          </w:tcPr>
          <w:p>
            <w:pPr>
              <w:spacing w:before="0" w:after="0"/>
              <w:jc w:val="right"/>
            </w:pPr>
            <w:r>
              <w:rPr>
                <w:sz w:val="18"/>
                <w:szCs w:val="18"/>
              </w:rPr>
              <w:t xml:space="preserve">4,259</w:t>
            </w:r>
          </w:p>
        </w:tc>
        <w:tc>
          <w:tcPr>
            <w:tcW w:w="1200" w:type="dxa"/>
            <w:vAlign w:val="center"/>
          </w:tcPr>
          <w:p>
            <w:pPr>
              <w:spacing w:before="0" w:after="0"/>
              <w:jc w:val="right"/>
            </w:pPr>
            <w:r>
              <w:rPr>
                <w:sz w:val="18"/>
                <w:szCs w:val="18"/>
              </w:rPr>
              <w:t xml:space="preserve">4,822</w:t>
            </w:r>
          </w:p>
        </w:tc>
        <w:tc>
          <w:tcPr>
            <w:tcW w:w="1200" w:type="dxa"/>
            <w:vAlign w:val="center"/>
          </w:tcPr>
          <w:p>
            <w:pPr>
              <w:spacing w:before="0" w:after="0"/>
              <w:jc w:val="right"/>
            </w:pPr>
            <w:r>
              <w:rPr>
                <w:sz w:val="18"/>
                <w:szCs w:val="18"/>
              </w:rPr>
              <w:t xml:space="preserve">5,543</w:t>
            </w:r>
          </w:p>
        </w:tc>
      </w:tr>
    </w:tbl>
    <w:p>
      <w:pPr/>
    </w:p>
    <w:p>
      <w:pPr>
        <w:ind w:left="0" w:firstLine="360"/>
      </w:pPr>
      <w:r>
        <w:t xml:space="preserve">Total assets at the end of the fiscal year were $184,657 thousand, an increase of $16,899 thousand from the end of the prior fiscal year. Nimbus Coffee leases all of its store premises under operating leases with initial terms of ten years, most of which include options to renew. Net cash provided by operating activities was $56,636 thousand, mainly reflecting net income and depreciation and amortization. The loyalty program had 630 thousand active members at the end of the fiscal year, and purchases by members accounted for 8.8% of store revenue.</w:t>
      </w:r>
    </w:p>
    <w:p>
      <w:pPr>
        <w:pStyle w:val="Heading3"/>
        <w:keepNext/>
      </w:pPr>
      <w:r>
        <w:t xml:space="preserve">2. History</w:t>
      </w:r>
    </w:p>
    <w:tbl>
      <w:tblPr>
        <w:tblW w:w="907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72" w:type="dxa"/>
          <w:right w:w="72" w:type="dxa"/>
        </w:tblCellMar>
      </w:tblPr>
      <w:tblGrid>
        <w:gridCol w:w="1800"/>
        <w:gridCol w:w="7272"/>
      </w:tblGrid>
      <w:tr>
        <w:trPr>
          <w:tblHeader/>
        </w:trPr>
        <w:tc>
          <w:tcPr>
            <w:tcW w:w="1800" w:type="dxa"/>
            <w:shd w:val="clear" w:color="auto" w:fill="DDEBF7"/>
            <w:vAlign w:val="center"/>
          </w:tcPr>
          <w:p>
            <w:pPr>
              <w:spacing w:before="0" w:after="0"/>
              <w:jc w:val="center"/>
            </w:pPr>
            <w:r>
              <w:rPr>
                <w:b/>
                <w:sz w:val="18"/>
                <w:szCs w:val="18"/>
              </w:rPr>
              <w:t xml:space="preserve">Date</w:t>
            </w:r>
          </w:p>
        </w:tc>
        <w:tc>
          <w:tcPr>
            <w:tcW w:w="7272" w:type="dxa"/>
            <w:shd w:val="clear" w:color="auto" w:fill="DDEBF7"/>
            <w:vAlign w:val="center"/>
          </w:tcPr>
          <w:p>
            <w:pPr>
              <w:spacing w:before="0" w:after="0"/>
              <w:jc w:val="center"/>
            </w:pPr>
            <w:r>
              <w:rPr>
                <w:b/>
                <w:sz w:val="18"/>
                <w:szCs w:val="18"/>
              </w:rPr>
              <w:t xml:space="preserve">Event</w:t>
            </w:r>
          </w:p>
        </w:tc>
      </w:tr>
      <w:tr>
        <w:tc>
          <w:tcPr>
            <w:tcW w:w="1800" w:type="dxa"/>
            <w:vAlign w:val="center"/>
          </w:tcPr>
          <w:p>
            <w:pPr>
              <w:spacing w:before="0" w:after="0"/>
              <w:jc w:val="left"/>
            </w:pPr>
            <w:r>
              <w:rPr>
                <w:sz w:val="18"/>
                <w:szCs w:val="18"/>
              </w:rPr>
              <w:t xml:space="preserve">May 2011</w:t>
            </w:r>
          </w:p>
        </w:tc>
        <w:tc>
          <w:tcPr>
            <w:tcW w:w="7272" w:type="dxa"/>
            <w:vAlign w:val="center"/>
          </w:tcPr>
          <w:p>
            <w:pPr>
              <w:spacing w:before="0" w:after="0"/>
              <w:jc w:val="left"/>
            </w:pPr>
            <w:r>
              <w:rPr>
                <w:sz w:val="18"/>
                <w:szCs w:val="18"/>
              </w:rPr>
              <w:t xml:space="preserve">Company founded in Northfield</w:t>
            </w:r>
          </w:p>
        </w:tc>
      </w:tr>
      <w:tr>
        <w:tc>
          <w:tcPr>
            <w:tcW w:w="1800" w:type="dxa"/>
            <w:vAlign w:val="center"/>
          </w:tcPr>
          <w:p>
            <w:pPr>
              <w:spacing w:before="0" w:after="0"/>
              <w:jc w:val="left"/>
            </w:pPr>
            <w:r>
              <w:rPr>
                <w:sz w:val="18"/>
                <w:szCs w:val="18"/>
              </w:rPr>
              <w:t xml:space="preserve">March 2012</w:t>
            </w:r>
          </w:p>
        </w:tc>
        <w:tc>
          <w:tcPr>
            <w:tcW w:w="7272" w:type="dxa"/>
            <w:vAlign w:val="center"/>
          </w:tcPr>
          <w:p>
            <w:pPr>
              <w:spacing w:before="0" w:after="0"/>
              <w:jc w:val="left"/>
            </w:pPr>
            <w:r>
              <w:rPr>
                <w:sz w:val="18"/>
                <w:szCs w:val="18"/>
              </w:rPr>
              <w:t xml:space="preserve">First Nimbus Coffee shop opened on Harbor Street, Northfield</w:t>
            </w:r>
          </w:p>
        </w:tc>
      </w:tr>
      <w:tr>
        <w:tc>
          <w:tcPr>
            <w:tcW w:w="1800" w:type="dxa"/>
            <w:vAlign w:val="center"/>
          </w:tcPr>
          <w:p>
            <w:pPr>
              <w:spacing w:before="0" w:after="0"/>
              <w:jc w:val="left"/>
            </w:pPr>
            <w:r>
              <w:rPr>
                <w:sz w:val="18"/>
                <w:szCs w:val="18"/>
              </w:rPr>
              <w:t xml:space="preserve">March 2013</w:t>
            </w:r>
          </w:p>
        </w:tc>
        <w:tc>
          <w:tcPr>
            <w:tcW w:w="7272" w:type="dxa"/>
            <w:vAlign w:val="center"/>
          </w:tcPr>
          <w:p>
            <w:pPr>
              <w:spacing w:before="0" w:after="0"/>
              <w:jc w:val="left"/>
            </w:pPr>
            <w:r>
              <w:rPr>
                <w:sz w:val="18"/>
                <w:szCs w:val="18"/>
              </w:rPr>
              <w:t xml:space="preserve">Began roasting its own coffee in a leased roastery in Northfield</w:t>
            </w:r>
          </w:p>
        </w:tc>
      </w:tr>
      <w:tr>
        <w:tc>
          <w:tcPr>
            <w:tcW w:w="1800" w:type="dxa"/>
            <w:vAlign w:val="center"/>
          </w:tcPr>
          <w:p>
            <w:pPr>
              <w:spacing w:before="0" w:after="0"/>
              <w:jc w:val="left"/>
            </w:pPr>
            <w:r>
              <w:rPr>
                <w:sz w:val="18"/>
                <w:szCs w:val="18"/>
              </w:rPr>
              <w:t xml:space="preserve">March 2014</w:t>
            </w:r>
          </w:p>
        </w:tc>
        <w:tc>
          <w:tcPr>
            <w:tcW w:w="7272" w:type="dxa"/>
            <w:vAlign w:val="center"/>
          </w:tcPr>
          <w:p>
            <w:pPr>
              <w:spacing w:before="0" w:after="0"/>
              <w:jc w:val="left"/>
            </w:pPr>
            <w:r>
              <w:rPr>
                <w:sz w:val="18"/>
                <w:szCs w:val="18"/>
              </w:rPr>
              <w:t xml:space="preserve">First store outside Northfield opened in Eastbay</w:t>
            </w:r>
          </w:p>
        </w:tc>
      </w:tr>
      <w:tr>
        <w:tc>
          <w:tcPr>
            <w:tcW w:w="1800" w:type="dxa"/>
            <w:vAlign w:val="center"/>
          </w:tcPr>
          <w:p>
            <w:pPr>
              <w:spacing w:before="0" w:after="0"/>
              <w:jc w:val="left"/>
            </w:pPr>
            <w:r>
              <w:rPr>
                <w:sz w:val="18"/>
                <w:szCs w:val="18"/>
              </w:rPr>
              <w:t xml:space="preserve">July 2015</w:t>
            </w:r>
          </w:p>
        </w:tc>
        <w:tc>
          <w:tcPr>
            <w:tcW w:w="7272" w:type="dxa"/>
            <w:vAlign w:val="center"/>
          </w:tcPr>
          <w:p>
            <w:pPr>
              <w:spacing w:before="0" w:after="0"/>
              <w:jc w:val="left"/>
            </w:pPr>
            <w:r>
              <w:rPr>
                <w:sz w:val="18"/>
                <w:szCs w:val="18"/>
              </w:rPr>
              <w:t xml:space="preserve">Launched the online store for whole beans and brewing equipment</w:t>
            </w:r>
          </w:p>
        </w:tc>
      </w:tr>
      <w:tr>
        <w:tc>
          <w:tcPr>
            <w:tcW w:w="1800" w:type="dxa"/>
            <w:vAlign w:val="center"/>
          </w:tcPr>
          <w:p>
            <w:pPr>
              <w:spacing w:before="0" w:after="0"/>
              <w:jc w:val="left"/>
            </w:pPr>
            <w:r>
              <w:rPr>
                <w:sz w:val="18"/>
                <w:szCs w:val="18"/>
              </w:rPr>
              <w:t xml:space="preserve">October 2016</w:t>
            </w:r>
          </w:p>
        </w:tc>
        <w:tc>
          <w:tcPr>
            <w:tcW w:w="7272" w:type="dxa"/>
            <w:vAlign w:val="center"/>
          </w:tcPr>
          <w:p>
            <w:pPr>
              <w:spacing w:before="0" w:after="0"/>
              <w:jc w:val="left"/>
            </w:pPr>
            <w:r>
              <w:rPr>
                <w:sz w:val="18"/>
                <w:szCs w:val="18"/>
              </w:rPr>
              <w:t xml:space="preserve">Opened the 25th store</w:t>
            </w:r>
          </w:p>
        </w:tc>
      </w:tr>
      <w:tr>
        <w:tc>
          <w:tcPr>
            <w:tcW w:w="1800" w:type="dxa"/>
            <w:vAlign w:val="center"/>
          </w:tcPr>
          <w:p>
            <w:pPr>
              <w:spacing w:before="0" w:after="0"/>
              <w:jc w:val="left"/>
            </w:pPr>
            <w:r>
              <w:rPr>
                <w:sz w:val="18"/>
                <w:szCs w:val="18"/>
              </w:rPr>
              <w:t xml:space="preserve">March 2017</w:t>
            </w:r>
          </w:p>
        </w:tc>
        <w:tc>
          <w:tcPr>
            <w:tcW w:w="7272" w:type="dxa"/>
            <w:vAlign w:val="center"/>
          </w:tcPr>
          <w:p>
            <w:pPr>
              <w:spacing w:before="0" w:after="0"/>
              <w:jc w:val="left"/>
            </w:pPr>
            <w:r>
              <w:rPr>
                <w:sz w:val="18"/>
                <w:szCs w:val="18"/>
              </w:rPr>
              <w:t xml:space="preserve">Entered the Southport and Westridge regions</w:t>
            </w:r>
          </w:p>
        </w:tc>
      </w:tr>
      <w:tr>
        <w:tc>
          <w:tcPr>
            <w:tcW w:w="1800" w:type="dxa"/>
            <w:vAlign w:val="center"/>
          </w:tcPr>
          <w:p>
            <w:pPr>
              <w:spacing w:before="0" w:after="0"/>
              <w:jc w:val="left"/>
            </w:pPr>
            <w:r>
              <w:rPr>
                <w:sz w:val="18"/>
                <w:szCs w:val="18"/>
              </w:rPr>
              <w:t xml:space="preserve">March 2018</w:t>
            </w:r>
          </w:p>
        </w:tc>
        <w:tc>
          <w:tcPr>
            <w:tcW w:w="7272" w:type="dxa"/>
            <w:vAlign w:val="center"/>
          </w:tcPr>
          <w:p>
            <w:pPr>
              <w:spacing w:before="0" w:after="0"/>
              <w:jc w:val="left"/>
            </w:pPr>
            <w:r>
              <w:rPr>
                <w:sz w:val="18"/>
                <w:szCs w:val="18"/>
              </w:rPr>
              <w:t xml:space="preserve">Introduced the Nimbus Rewards loyalty program</w:t>
            </w:r>
          </w:p>
        </w:tc>
      </w:tr>
      <w:tr>
        <w:tc>
          <w:tcPr>
            <w:tcW w:w="1800" w:type="dxa"/>
            <w:vAlign w:val="center"/>
          </w:tcPr>
          <w:p>
            <w:pPr>
              <w:spacing w:before="0" w:after="0"/>
              <w:jc w:val="left"/>
            </w:pPr>
            <w:r>
              <w:rPr>
                <w:sz w:val="18"/>
                <w:szCs w:val="18"/>
              </w:rPr>
              <w:t xml:space="preserve">May 2019</w:t>
            </w:r>
          </w:p>
        </w:tc>
        <w:tc>
          <w:tcPr>
            <w:tcW w:w="7272" w:type="dxa"/>
            <w:vAlign w:val="center"/>
          </w:tcPr>
          <w:p>
            <w:pPr>
              <w:spacing w:before="0" w:after="0"/>
              <w:jc w:val="left"/>
            </w:pPr>
            <w:r>
              <w:rPr>
                <w:sz w:val="18"/>
                <w:szCs w:val="18"/>
              </w:rPr>
              <w:t xml:space="preserve">Moved roasting to a new roastery and training center in Northfield</w:t>
            </w:r>
          </w:p>
        </w:tc>
      </w:tr>
      <w:tr>
        <w:tc>
          <w:tcPr>
            <w:tcW w:w="1800" w:type="dxa"/>
            <w:vAlign w:val="center"/>
          </w:tcPr>
          <w:p>
            <w:pPr>
              <w:spacing w:before="0" w:after="0"/>
              <w:jc w:val="left"/>
            </w:pPr>
            <w:r>
              <w:rPr>
                <w:sz w:val="18"/>
                <w:szCs w:val="18"/>
              </w:rPr>
              <w:t xml:space="preserve">May 2020</w:t>
            </w:r>
          </w:p>
        </w:tc>
        <w:tc>
          <w:tcPr>
            <w:tcW w:w="7272" w:type="dxa"/>
            <w:vAlign w:val="center"/>
          </w:tcPr>
          <w:p>
            <w:pPr>
              <w:spacing w:before="0" w:after="0"/>
              <w:jc w:val="left"/>
            </w:pPr>
            <w:r>
              <w:rPr>
                <w:sz w:val="18"/>
                <w:szCs w:val="18"/>
              </w:rPr>
              <w:t xml:space="preserve">Entered the Lakeside and Hillcrest regions</w:t>
            </w:r>
          </w:p>
        </w:tc>
      </w:tr>
      <w:tr>
        <w:tc>
          <w:tcPr>
            <w:tcW w:w="1800" w:type="dxa"/>
            <w:vAlign w:val="center"/>
          </w:tcPr>
          <w:p>
            <w:pPr>
              <w:spacing w:before="0" w:after="0"/>
              <w:jc w:val="left"/>
            </w:pPr>
            <w:r>
              <w:rPr>
                <w:sz w:val="18"/>
                <w:szCs w:val="18"/>
              </w:rPr>
              <w:t xml:space="preserve">March 2021</w:t>
            </w:r>
          </w:p>
        </w:tc>
        <w:tc>
          <w:tcPr>
            <w:tcW w:w="7272" w:type="dxa"/>
            <w:vAlign w:val="center"/>
          </w:tcPr>
          <w:p>
            <w:pPr>
              <w:spacing w:before="0" w:after="0"/>
              <w:jc w:val="left"/>
            </w:pPr>
            <w:r>
              <w:rPr>
                <w:sz w:val="18"/>
                <w:szCs w:val="18"/>
              </w:rPr>
              <w:t xml:space="preserve">Began wholesale sales of roasted beans to restaurants and hotels</w:t>
            </w:r>
          </w:p>
        </w:tc>
      </w:tr>
      <w:tr>
        <w:tc>
          <w:tcPr>
            <w:tcW w:w="1800" w:type="dxa"/>
            <w:vAlign w:val="center"/>
          </w:tcPr>
          <w:p>
            <w:pPr>
              <w:spacing w:before="0" w:after="0"/>
              <w:jc w:val="left"/>
            </w:pPr>
            <w:r>
              <w:rPr>
                <w:sz w:val="18"/>
                <w:szCs w:val="18"/>
              </w:rPr>
              <w:t xml:space="preserve">March 2022</w:t>
            </w:r>
          </w:p>
        </w:tc>
        <w:tc>
          <w:tcPr>
            <w:tcW w:w="7272" w:type="dxa"/>
            <w:vAlign w:val="center"/>
          </w:tcPr>
          <w:p>
            <w:pPr>
              <w:spacing w:before="0" w:after="0"/>
              <w:jc w:val="left"/>
            </w:pPr>
            <w:r>
              <w:rPr>
                <w:sz w:val="18"/>
                <w:szCs w:val="18"/>
              </w:rPr>
              <w:t xml:space="preserve">Opened the 100th store</w:t>
            </w:r>
          </w:p>
        </w:tc>
      </w:tr>
      <w:tr>
        <w:tc>
          <w:tcPr>
            <w:tcW w:w="1800" w:type="dxa"/>
            <w:vAlign w:val="center"/>
          </w:tcPr>
          <w:p>
            <w:pPr>
              <w:spacing w:before="0" w:after="0"/>
              <w:jc w:val="left"/>
            </w:pPr>
            <w:r>
              <w:rPr>
                <w:sz w:val="18"/>
                <w:szCs w:val="18"/>
              </w:rPr>
              <w:t xml:space="preserve">October 2023</w:t>
            </w:r>
          </w:p>
        </w:tc>
        <w:tc>
          <w:tcPr>
            <w:tcW w:w="7272" w:type="dxa"/>
            <w:vAlign w:val="center"/>
          </w:tcPr>
          <w:p>
            <w:pPr>
              <w:spacing w:before="0" w:after="0"/>
              <w:jc w:val="left"/>
            </w:pPr>
            <w:r>
              <w:rPr>
                <w:sz w:val="18"/>
                <w:szCs w:val="18"/>
              </w:rPr>
              <w:t xml:space="preserve">Entered the Riverside and Harborview regions</w:t>
            </w:r>
          </w:p>
        </w:tc>
      </w:tr>
      <w:tr>
        <w:tc>
          <w:tcPr>
            <w:tcW w:w="1800" w:type="dxa"/>
            <w:vAlign w:val="center"/>
          </w:tcPr>
          <w:p>
            <w:pPr>
              <w:spacing w:before="0" w:after="0"/>
              <w:jc w:val="left"/>
            </w:pPr>
            <w:r>
              <w:rPr>
                <w:sz w:val="18"/>
                <w:szCs w:val="18"/>
              </w:rPr>
              <w:t xml:space="preserve">October 2024</w:t>
            </w:r>
          </w:p>
        </w:tc>
        <w:tc>
          <w:tcPr>
            <w:tcW w:w="7272" w:type="dxa"/>
            <w:vAlign w:val="center"/>
          </w:tcPr>
          <w:p>
            <w:pPr>
              <w:spacing w:before="0" w:after="0"/>
              <w:jc w:val="left"/>
            </w:pPr>
            <w:r>
              <w:rPr>
                <w:sz w:val="18"/>
                <w:szCs w:val="18"/>
              </w:rPr>
              <w:t xml:space="preserve">Added a second roasting line at the Northfield roastery</w:t>
            </w:r>
          </w:p>
        </w:tc>
      </w:tr>
      <w:tr>
        <w:tc>
          <w:tcPr>
            <w:tcW w:w="1800" w:type="dxa"/>
            <w:vAlign w:val="center"/>
          </w:tcPr>
          <w:p>
            <w:pPr>
              <w:spacing w:before="0" w:after="0"/>
              <w:jc w:val="left"/>
            </w:pPr>
            <w:r>
              <w:rPr>
                <w:sz w:val="18"/>
                <w:szCs w:val="18"/>
              </w:rPr>
              <w:t xml:space="preserve">July 2025</w:t>
            </w:r>
          </w:p>
        </w:tc>
        <w:tc>
          <w:tcPr>
            <w:tcW w:w="7272" w:type="dxa"/>
            <w:vAlign w:val="center"/>
          </w:tcPr>
          <w:p>
            <w:pPr>
              <w:spacing w:before="0" w:after="0"/>
              <w:jc w:val="left"/>
            </w:pPr>
            <w:r>
              <w:rPr>
                <w:sz w:val="18"/>
                <w:szCs w:val="18"/>
              </w:rPr>
              <w:t xml:space="preserve">Opened the 180th store</w:t>
            </w:r>
          </w:p>
        </w:tc>
      </w:tr>
    </w:tbl>
    <w:p>
      <w:pPr/>
    </w:p>
    <w:p>
      <w:pPr>
        <w:pStyle w:val="Heading3"/>
        <w:keepNext/>
      </w:pPr>
      <w:r>
        <w:t xml:space="preserve">List of Subsidiaries</w:t>
      </w:r>
    </w:p>
    <w:tbl>
      <w:tblPr>
        <w:tblW w:w="907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72" w:type="dxa"/>
          <w:right w:w="72" w:type="dxa"/>
        </w:tblCellMar>
      </w:tblPr>
      <w:tblGrid>
        <w:gridCol w:w="2272"/>
        <w:gridCol w:w="1300"/>
        <w:gridCol w:w="1300"/>
        <w:gridCol w:w="1600"/>
        <w:gridCol w:w="1100"/>
        <w:gridCol w:w="1500"/>
      </w:tblGrid>
      <w:tr>
        <w:trPr>
          <w:tblHeader/>
        </w:trPr>
        <w:tc>
          <w:tcPr>
            <w:tcW w:w="2272" w:type="dxa"/>
            <w:shd w:val="clear" w:color="auto" w:fill="DDEBF7"/>
            <w:vAlign w:val="center"/>
          </w:tcPr>
          <w:p>
            <w:pPr>
              <w:spacing w:before="0" w:after="0"/>
              <w:jc w:val="center"/>
            </w:pPr>
            <w:r>
              <w:rPr>
                <w:b/>
                <w:sz w:val="18"/>
                <w:szCs w:val="18"/>
              </w:rPr>
              <w:t xml:space="preserve">Name</w:t>
            </w:r>
          </w:p>
        </w:tc>
        <w:tc>
          <w:tcPr>
            <w:tcW w:w="1300" w:type="dxa"/>
            <w:shd w:val="clear" w:color="auto" w:fill="DDEBF7"/>
            <w:vAlign w:val="center"/>
          </w:tcPr>
          <w:p>
            <w:pPr>
              <w:spacing w:before="0" w:after="0"/>
              <w:jc w:val="center"/>
            </w:pPr>
            <w:r>
              <w:rPr>
                <w:b/>
                <w:sz w:val="18"/>
                <w:szCs w:val="18"/>
              </w:rPr>
              <w:t xml:space="preserve">Location</w:t>
            </w:r>
          </w:p>
        </w:tc>
        <w:tc>
          <w:tcPr>
            <w:tcW w:w="1300" w:type="dxa"/>
            <w:shd w:val="clear" w:color="auto" w:fill="DDEBF7"/>
            <w:vAlign w:val="center"/>
          </w:tcPr>
          <w:p>
            <w:pPr>
              <w:spacing w:before="0" w:after="0"/>
              <w:jc w:val="center"/>
            </w:pPr>
            <w:r>
              <w:rPr>
                <w:b/>
                <w:sz w:val="18"/>
                <w:szCs w:val="18"/>
              </w:rPr>
              <w:t xml:space="preserve">Capital (USD thousands)</w:t>
            </w:r>
          </w:p>
        </w:tc>
        <w:tc>
          <w:tcPr>
            <w:tcW w:w="1600" w:type="dxa"/>
            <w:shd w:val="clear" w:color="auto" w:fill="DDEBF7"/>
            <w:vAlign w:val="center"/>
          </w:tcPr>
          <w:p>
            <w:pPr>
              <w:spacing w:before="0" w:after="0"/>
              <w:jc w:val="center"/>
            </w:pPr>
            <w:r>
              <w:rPr>
                <w:b/>
                <w:sz w:val="18"/>
                <w:szCs w:val="18"/>
              </w:rPr>
              <w:t xml:space="preserve">Principal business</w:t>
            </w:r>
          </w:p>
        </w:tc>
        <w:tc>
          <w:tcPr>
            <w:tcW w:w="1100" w:type="dxa"/>
            <w:shd w:val="clear" w:color="auto" w:fill="DDEBF7"/>
            <w:vAlign w:val="center"/>
          </w:tcPr>
          <w:p>
            <w:pPr>
              <w:spacing w:before="0" w:after="0"/>
              <w:jc w:val="center"/>
            </w:pPr>
            <w:r>
              <w:rPr>
                <w:b/>
                <w:sz w:val="18"/>
                <w:szCs w:val="18"/>
              </w:rPr>
              <w:t xml:space="preserve">Voting interest (%)</w:t>
            </w:r>
          </w:p>
        </w:tc>
        <w:tc>
          <w:tcPr>
            <w:tcW w:w="1500" w:type="dxa"/>
            <w:shd w:val="clear" w:color="auto" w:fill="DDEBF7"/>
            <w:vAlign w:val="center"/>
          </w:tcPr>
          <w:p>
            <w:pPr>
              <w:spacing w:before="0" w:after="0"/>
              <w:jc w:val="center"/>
            </w:pPr>
            <w:r>
              <w:rPr>
                <w:b/>
                <w:sz w:val="18"/>
                <w:szCs w:val="18"/>
              </w:rPr>
              <w:t xml:space="preserve">Relationship</w:t>
            </w:r>
          </w:p>
        </w:tc>
      </w:tr>
      <w:tr>
        <w:tc>
          <w:tcPr>
            <w:tcW w:w="2272" w:type="dxa"/>
            <w:vAlign w:val="center"/>
          </w:tcPr>
          <w:p>
            <w:pPr>
              <w:spacing w:before="0" w:after="0"/>
              <w:jc w:val="left"/>
            </w:pPr>
            <w:r>
              <w:rPr>
                <w:sz w:val="18"/>
                <w:szCs w:val="18"/>
              </w:rPr>
              <w:t xml:space="preserve">Nimbus Coffee Northfield LLC</w:t>
            </w:r>
          </w:p>
        </w:tc>
        <w:tc>
          <w:tcPr>
            <w:tcW w:w="1300" w:type="dxa"/>
            <w:vAlign w:val="center"/>
          </w:tcPr>
          <w:p>
            <w:pPr>
              <w:spacing w:before="0" w:after="0"/>
              <w:jc w:val="left"/>
            </w:pPr>
            <w:r>
              <w:rPr>
                <w:sz w:val="18"/>
                <w:szCs w:val="18"/>
              </w:rPr>
              <w:t xml:space="preserve">Northfield</w:t>
            </w:r>
          </w:p>
        </w:tc>
        <w:tc>
          <w:tcPr>
            <w:tcW w:w="1300" w:type="dxa"/>
            <w:vAlign w:val="center"/>
          </w:tcPr>
          <w:p>
            <w:pPr>
              <w:spacing w:before="0" w:after="0"/>
              <w:jc w:val="right"/>
            </w:pPr>
            <w:r>
              <w:rPr>
                <w:sz w:val="18"/>
                <w:szCs w:val="18"/>
              </w:rPr>
              <w:t xml:space="preserve">266</w:t>
            </w:r>
          </w:p>
        </w:tc>
        <w:tc>
          <w:tcPr>
            <w:tcW w:w="1600" w:type="dxa"/>
            <w:vAlign w:val="center"/>
          </w:tcPr>
          <w:p>
            <w:pPr>
              <w:spacing w:before="0" w:after="0"/>
              <w:jc w:val="left"/>
            </w:pPr>
            <w:r>
              <w:rPr>
                <w:sz w:val="18"/>
                <w:szCs w:val="18"/>
              </w:rPr>
              <w:t xml:space="preserve">Store operations</w:t>
            </w:r>
          </w:p>
        </w:tc>
        <w:tc>
          <w:tcPr>
            <w:tcW w:w="1100" w:type="dxa"/>
            <w:vAlign w:val="center"/>
          </w:tcPr>
          <w:p>
            <w:pPr>
              <w:spacing w:before="0" w:after="0"/>
              <w:jc w:val="right"/>
            </w:pPr>
            <w:r>
              <w:rPr>
                <w:sz w:val="18"/>
                <w:szCs w:val="18"/>
              </w:rPr>
              <w:t xml:space="preserve">59.2</w:t>
            </w:r>
          </w:p>
        </w:tc>
        <w:tc>
          <w:tcPr>
            <w:tcW w:w="1500" w:type="dxa"/>
            <w:vAlign w:val="center"/>
          </w:tcPr>
          <w:p>
            <w:pPr>
              <w:spacing w:before="0" w:after="0"/>
              <w:jc w:val="left"/>
            </w:pPr>
            <w:r>
              <w:rPr>
                <w:sz w:val="18"/>
                <w:szCs w:val="18"/>
              </w:rPr>
              <w:t xml:space="preserve">Officers serve concurrently</w:t>
            </w:r>
          </w:p>
        </w:tc>
      </w:tr>
      <w:tr>
        <w:tc>
          <w:tcPr>
            <w:tcW w:w="2272" w:type="dxa"/>
            <w:vAlign w:val="center"/>
          </w:tcPr>
          <w:p>
            <w:pPr>
              <w:spacing w:before="0" w:after="0"/>
              <w:jc w:val="left"/>
            </w:pPr>
            <w:r>
              <w:rPr>
                <w:sz w:val="18"/>
                <w:szCs w:val="18"/>
              </w:rPr>
              <w:t xml:space="preserve">Nimbus Coffee Eastbay LLC</w:t>
            </w:r>
          </w:p>
        </w:tc>
        <w:tc>
          <w:tcPr>
            <w:tcW w:w="1300" w:type="dxa"/>
            <w:vAlign w:val="center"/>
          </w:tcPr>
          <w:p>
            <w:pPr>
              <w:spacing w:before="0" w:after="0"/>
              <w:jc w:val="left"/>
            </w:pPr>
            <w:r>
              <w:rPr>
                <w:sz w:val="18"/>
                <w:szCs w:val="18"/>
              </w:rPr>
              <w:t xml:space="preserve">Eastbay</w:t>
            </w:r>
          </w:p>
        </w:tc>
        <w:tc>
          <w:tcPr>
            <w:tcW w:w="1300" w:type="dxa"/>
            <w:vAlign w:val="center"/>
          </w:tcPr>
          <w:p>
            <w:pPr>
              <w:spacing w:before="0" w:after="0"/>
              <w:jc w:val="right"/>
            </w:pPr>
            <w:r>
              <w:rPr>
                <w:sz w:val="18"/>
                <w:szCs w:val="18"/>
              </w:rPr>
              <w:t xml:space="preserve">303</w:t>
            </w:r>
          </w:p>
        </w:tc>
        <w:tc>
          <w:tcPr>
            <w:tcW w:w="1600" w:type="dxa"/>
            <w:vAlign w:val="center"/>
          </w:tcPr>
          <w:p>
            <w:pPr>
              <w:spacing w:before="0" w:after="0"/>
              <w:jc w:val="left"/>
            </w:pPr>
            <w:r>
              <w:rPr>
                <w:sz w:val="18"/>
                <w:szCs w:val="18"/>
              </w:rPr>
              <w:t xml:space="preserve">Store operations</w:t>
            </w:r>
          </w:p>
        </w:tc>
        <w:tc>
          <w:tcPr>
            <w:tcW w:w="1100" w:type="dxa"/>
            <w:vAlign w:val="center"/>
          </w:tcPr>
          <w:p>
            <w:pPr>
              <w:spacing w:before="0" w:after="0"/>
              <w:jc w:val="right"/>
            </w:pPr>
            <w:r>
              <w:rPr>
                <w:sz w:val="18"/>
                <w:szCs w:val="18"/>
              </w:rPr>
              <w:t xml:space="preserve">100.0</w:t>
            </w:r>
          </w:p>
        </w:tc>
        <w:tc>
          <w:tcPr>
            <w:tcW w:w="1500" w:type="dxa"/>
            <w:vAlign w:val="center"/>
          </w:tcPr>
          <w:p>
            <w:pPr>
              <w:spacing w:before="0" w:after="0"/>
              <w:jc w:val="left"/>
            </w:pPr>
            <w:r>
              <w:rPr>
                <w:sz w:val="18"/>
                <w:szCs w:val="18"/>
              </w:rPr>
              <w:t xml:space="preserve">Officers serve concurrently</w:t>
            </w:r>
          </w:p>
        </w:tc>
      </w:tr>
      <w:tr>
        <w:tc>
          <w:tcPr>
            <w:tcW w:w="2272" w:type="dxa"/>
            <w:vAlign w:val="center"/>
          </w:tcPr>
          <w:p>
            <w:pPr>
              <w:spacing w:before="0" w:after="0"/>
              <w:jc w:val="left"/>
            </w:pPr>
            <w:r>
              <w:rPr>
                <w:sz w:val="18"/>
                <w:szCs w:val="18"/>
              </w:rPr>
              <w:t xml:space="preserve">Nimbus Coffee Southport LLC</w:t>
            </w:r>
          </w:p>
        </w:tc>
        <w:tc>
          <w:tcPr>
            <w:tcW w:w="1300" w:type="dxa"/>
            <w:vAlign w:val="center"/>
          </w:tcPr>
          <w:p>
            <w:pPr>
              <w:spacing w:before="0" w:after="0"/>
              <w:jc w:val="left"/>
            </w:pPr>
            <w:r>
              <w:rPr>
                <w:sz w:val="18"/>
                <w:szCs w:val="18"/>
              </w:rPr>
              <w:t xml:space="preserve">Southport</w:t>
            </w:r>
          </w:p>
        </w:tc>
        <w:tc>
          <w:tcPr>
            <w:tcW w:w="1300" w:type="dxa"/>
            <w:vAlign w:val="center"/>
          </w:tcPr>
          <w:p>
            <w:pPr>
              <w:spacing w:before="0" w:after="0"/>
              <w:jc w:val="right"/>
            </w:pPr>
            <w:r>
              <w:rPr>
                <w:sz w:val="18"/>
                <w:szCs w:val="18"/>
              </w:rPr>
              <w:t xml:space="preserve">351</w:t>
            </w:r>
          </w:p>
        </w:tc>
        <w:tc>
          <w:tcPr>
            <w:tcW w:w="1600" w:type="dxa"/>
            <w:vAlign w:val="center"/>
          </w:tcPr>
          <w:p>
            <w:pPr>
              <w:spacing w:before="0" w:after="0"/>
              <w:jc w:val="left"/>
            </w:pPr>
            <w:r>
              <w:rPr>
                <w:sz w:val="18"/>
                <w:szCs w:val="18"/>
              </w:rPr>
              <w:t xml:space="preserve">Store operations</w:t>
            </w:r>
          </w:p>
        </w:tc>
        <w:tc>
          <w:tcPr>
            <w:tcW w:w="1100" w:type="dxa"/>
            <w:vAlign w:val="center"/>
          </w:tcPr>
          <w:p>
            <w:pPr>
              <w:spacing w:before="0" w:after="0"/>
              <w:jc w:val="right"/>
            </w:pPr>
            <w:r>
              <w:rPr>
                <w:sz w:val="18"/>
                <w:szCs w:val="18"/>
              </w:rPr>
              <w:t xml:space="preserve">100.0</w:t>
            </w:r>
          </w:p>
        </w:tc>
        <w:tc>
          <w:tcPr>
            <w:tcW w:w="1500" w:type="dxa"/>
            <w:vAlign w:val="center"/>
          </w:tcPr>
          <w:p>
            <w:pPr>
              <w:spacing w:before="0" w:after="0"/>
              <w:jc w:val="left"/>
            </w:pPr>
            <w:r>
              <w:rPr>
                <w:sz w:val="18"/>
                <w:szCs w:val="18"/>
              </w:rPr>
              <w:t xml:space="preserve">Officers serve concurrently</w:t>
            </w:r>
          </w:p>
        </w:tc>
      </w:tr>
      <w:tr>
        <w:tc>
          <w:tcPr>
            <w:tcW w:w="2272" w:type="dxa"/>
            <w:vAlign w:val="center"/>
          </w:tcPr>
          <w:p>
            <w:pPr>
              <w:spacing w:before="0" w:after="0"/>
              <w:jc w:val="left"/>
            </w:pPr>
            <w:r>
              <w:rPr>
                <w:sz w:val="18"/>
                <w:szCs w:val="18"/>
              </w:rPr>
              <w:t xml:space="preserve">Nimbus Coffee Westridge LLC</w:t>
            </w:r>
          </w:p>
        </w:tc>
        <w:tc>
          <w:tcPr>
            <w:tcW w:w="1300" w:type="dxa"/>
            <w:vAlign w:val="center"/>
          </w:tcPr>
          <w:p>
            <w:pPr>
              <w:spacing w:before="0" w:after="0"/>
              <w:jc w:val="left"/>
            </w:pPr>
            <w:r>
              <w:rPr>
                <w:sz w:val="18"/>
                <w:szCs w:val="18"/>
              </w:rPr>
              <w:t xml:space="preserve">Westridge</w:t>
            </w:r>
          </w:p>
        </w:tc>
        <w:tc>
          <w:tcPr>
            <w:tcW w:w="1300" w:type="dxa"/>
            <w:vAlign w:val="center"/>
          </w:tcPr>
          <w:p>
            <w:pPr>
              <w:spacing w:before="0" w:after="0"/>
              <w:jc w:val="right"/>
            </w:pPr>
            <w:r>
              <w:rPr>
                <w:sz w:val="18"/>
                <w:szCs w:val="18"/>
              </w:rPr>
              <w:t xml:space="preserve">445</w:t>
            </w:r>
          </w:p>
        </w:tc>
        <w:tc>
          <w:tcPr>
            <w:tcW w:w="1600" w:type="dxa"/>
            <w:vAlign w:val="center"/>
          </w:tcPr>
          <w:p>
            <w:pPr>
              <w:spacing w:before="0" w:after="0"/>
              <w:jc w:val="left"/>
            </w:pPr>
            <w:r>
              <w:rPr>
                <w:sz w:val="18"/>
                <w:szCs w:val="18"/>
              </w:rPr>
              <w:t xml:space="preserve">Store operations</w:t>
            </w:r>
          </w:p>
        </w:tc>
        <w:tc>
          <w:tcPr>
            <w:tcW w:w="1100" w:type="dxa"/>
            <w:vAlign w:val="center"/>
          </w:tcPr>
          <w:p>
            <w:pPr>
              <w:spacing w:before="0" w:after="0"/>
              <w:jc w:val="right"/>
            </w:pPr>
            <w:r>
              <w:rPr>
                <w:sz w:val="18"/>
                <w:szCs w:val="18"/>
              </w:rPr>
              <w:t xml:space="preserve">100.0</w:t>
            </w:r>
          </w:p>
        </w:tc>
        <w:tc>
          <w:tcPr>
            <w:tcW w:w="1500" w:type="dxa"/>
            <w:vAlign w:val="center"/>
          </w:tcPr>
          <w:p>
            <w:pPr>
              <w:spacing w:before="0" w:after="0"/>
              <w:jc w:val="left"/>
            </w:pPr>
            <w:r>
              <w:rPr>
                <w:sz w:val="18"/>
                <w:szCs w:val="18"/>
              </w:rPr>
              <w:t xml:space="preserve">Officers serve concurrently</w:t>
            </w:r>
          </w:p>
        </w:tc>
      </w:tr>
      <w:tr>
        <w:tc>
          <w:tcPr>
            <w:tcW w:w="2272" w:type="dxa"/>
            <w:vAlign w:val="center"/>
          </w:tcPr>
          <w:p>
            <w:pPr>
              <w:spacing w:before="0" w:after="0"/>
              <w:jc w:val="left"/>
            </w:pPr>
            <w:r>
              <w:rPr>
                <w:sz w:val="18"/>
                <w:szCs w:val="18"/>
              </w:rPr>
              <w:t xml:space="preserve">Nimbus Coffee Lakeside LLC</w:t>
            </w:r>
          </w:p>
        </w:tc>
        <w:tc>
          <w:tcPr>
            <w:tcW w:w="1300" w:type="dxa"/>
            <w:vAlign w:val="center"/>
          </w:tcPr>
          <w:p>
            <w:pPr>
              <w:spacing w:before="0" w:after="0"/>
              <w:jc w:val="left"/>
            </w:pPr>
            <w:r>
              <w:rPr>
                <w:sz w:val="18"/>
                <w:szCs w:val="18"/>
              </w:rPr>
              <w:t xml:space="preserve">Lakeside</w:t>
            </w:r>
          </w:p>
        </w:tc>
        <w:tc>
          <w:tcPr>
            <w:tcW w:w="1300" w:type="dxa"/>
            <w:vAlign w:val="center"/>
          </w:tcPr>
          <w:p>
            <w:pPr>
              <w:spacing w:before="0" w:after="0"/>
              <w:jc w:val="right"/>
            </w:pPr>
            <w:r>
              <w:rPr>
                <w:sz w:val="18"/>
                <w:szCs w:val="18"/>
              </w:rPr>
              <w:t xml:space="preserve">468</w:t>
            </w:r>
          </w:p>
        </w:tc>
        <w:tc>
          <w:tcPr>
            <w:tcW w:w="1600" w:type="dxa"/>
            <w:vAlign w:val="center"/>
          </w:tcPr>
          <w:p>
            <w:pPr>
              <w:spacing w:before="0" w:after="0"/>
              <w:jc w:val="left"/>
            </w:pPr>
            <w:r>
              <w:rPr>
                <w:sz w:val="18"/>
                <w:szCs w:val="18"/>
              </w:rPr>
              <w:t xml:space="preserve">Store operations</w:t>
            </w:r>
          </w:p>
        </w:tc>
        <w:tc>
          <w:tcPr>
            <w:tcW w:w="1100" w:type="dxa"/>
            <w:vAlign w:val="center"/>
          </w:tcPr>
          <w:p>
            <w:pPr>
              <w:spacing w:before="0" w:after="0"/>
              <w:jc w:val="right"/>
            </w:pPr>
            <w:r>
              <w:rPr>
                <w:sz w:val="18"/>
                <w:szCs w:val="18"/>
              </w:rPr>
              <w:t xml:space="preserve">100.0</w:t>
            </w:r>
          </w:p>
        </w:tc>
        <w:tc>
          <w:tcPr>
            <w:tcW w:w="1500" w:type="dxa"/>
            <w:vAlign w:val="center"/>
          </w:tcPr>
          <w:p>
            <w:pPr>
              <w:spacing w:before="0" w:after="0"/>
              <w:jc w:val="left"/>
            </w:pPr>
            <w:r>
              <w:rPr>
                <w:sz w:val="18"/>
                <w:szCs w:val="18"/>
              </w:rPr>
              <w:t xml:space="preserve">Officers serve concurrently</w:t>
            </w:r>
          </w:p>
        </w:tc>
      </w:tr>
      <w:tr>
        <w:tc>
          <w:tcPr>
            <w:tcW w:w="2272" w:type="dxa"/>
            <w:vAlign w:val="center"/>
          </w:tcPr>
          <w:p>
            <w:pPr>
              <w:spacing w:before="0" w:after="0"/>
              <w:jc w:val="left"/>
            </w:pPr>
            <w:r>
              <w:rPr>
                <w:sz w:val="18"/>
                <w:szCs w:val="18"/>
              </w:rPr>
              <w:t xml:space="preserve">Nimbus Coffee Hillcrest LLC</w:t>
            </w:r>
          </w:p>
        </w:tc>
        <w:tc>
          <w:tcPr>
            <w:tcW w:w="1300" w:type="dxa"/>
            <w:vAlign w:val="center"/>
          </w:tcPr>
          <w:p>
            <w:pPr>
              <w:spacing w:before="0" w:after="0"/>
              <w:jc w:val="left"/>
            </w:pPr>
            <w:r>
              <w:rPr>
                <w:sz w:val="18"/>
                <w:szCs w:val="18"/>
              </w:rPr>
              <w:t xml:space="preserve">Hillcrest</w:t>
            </w:r>
          </w:p>
        </w:tc>
        <w:tc>
          <w:tcPr>
            <w:tcW w:w="1300" w:type="dxa"/>
            <w:vAlign w:val="center"/>
          </w:tcPr>
          <w:p>
            <w:pPr>
              <w:spacing w:before="0" w:after="0"/>
              <w:jc w:val="right"/>
            </w:pPr>
            <w:r>
              <w:rPr>
                <w:sz w:val="18"/>
                <w:szCs w:val="18"/>
              </w:rPr>
              <w:t xml:space="preserve">263</w:t>
            </w:r>
          </w:p>
        </w:tc>
        <w:tc>
          <w:tcPr>
            <w:tcW w:w="1600" w:type="dxa"/>
            <w:vAlign w:val="center"/>
          </w:tcPr>
          <w:p>
            <w:pPr>
              <w:spacing w:before="0" w:after="0"/>
              <w:jc w:val="left"/>
            </w:pPr>
            <w:r>
              <w:rPr>
                <w:sz w:val="18"/>
                <w:szCs w:val="18"/>
              </w:rPr>
              <w:t xml:space="preserve">Store operations</w:t>
            </w:r>
          </w:p>
        </w:tc>
        <w:tc>
          <w:tcPr>
            <w:tcW w:w="1100" w:type="dxa"/>
            <w:vAlign w:val="center"/>
          </w:tcPr>
          <w:p>
            <w:pPr>
              <w:spacing w:before="0" w:after="0"/>
              <w:jc w:val="right"/>
            </w:pPr>
            <w:r>
              <w:rPr>
                <w:sz w:val="18"/>
                <w:szCs w:val="18"/>
              </w:rPr>
              <w:t xml:space="preserve">100.0</w:t>
            </w:r>
          </w:p>
        </w:tc>
        <w:tc>
          <w:tcPr>
            <w:tcW w:w="1500" w:type="dxa"/>
            <w:vAlign w:val="center"/>
          </w:tcPr>
          <w:p>
            <w:pPr>
              <w:spacing w:before="0" w:after="0"/>
              <w:jc w:val="left"/>
            </w:pPr>
            <w:r>
              <w:rPr>
                <w:sz w:val="18"/>
                <w:szCs w:val="18"/>
              </w:rPr>
              <w:t xml:space="preserve">Officers serve concurrently</w:t>
            </w:r>
          </w:p>
        </w:tc>
      </w:tr>
      <w:tr>
        <w:tc>
          <w:tcPr>
            <w:tcW w:w="2272" w:type="dxa"/>
            <w:vAlign w:val="center"/>
          </w:tcPr>
          <w:p>
            <w:pPr>
              <w:spacing w:before="0" w:after="0"/>
              <w:jc w:val="left"/>
            </w:pPr>
            <w:r>
              <w:rPr>
                <w:sz w:val="18"/>
                <w:szCs w:val="18"/>
              </w:rPr>
              <w:t xml:space="preserve">Nimbus Coffee Riverside LLC</w:t>
            </w:r>
          </w:p>
        </w:tc>
        <w:tc>
          <w:tcPr>
            <w:tcW w:w="1300" w:type="dxa"/>
            <w:vAlign w:val="center"/>
          </w:tcPr>
          <w:p>
            <w:pPr>
              <w:spacing w:before="0" w:after="0"/>
              <w:jc w:val="left"/>
            </w:pPr>
            <w:r>
              <w:rPr>
                <w:sz w:val="18"/>
                <w:szCs w:val="18"/>
              </w:rPr>
              <w:t xml:space="preserve">Riverside</w:t>
            </w:r>
          </w:p>
        </w:tc>
        <w:tc>
          <w:tcPr>
            <w:tcW w:w="1300" w:type="dxa"/>
            <w:vAlign w:val="center"/>
          </w:tcPr>
          <w:p>
            <w:pPr>
              <w:spacing w:before="0" w:after="0"/>
              <w:jc w:val="right"/>
            </w:pPr>
            <w:r>
              <w:rPr>
                <w:sz w:val="18"/>
                <w:szCs w:val="18"/>
              </w:rPr>
              <w:t xml:space="preserve">325</w:t>
            </w:r>
          </w:p>
        </w:tc>
        <w:tc>
          <w:tcPr>
            <w:tcW w:w="1600" w:type="dxa"/>
            <w:vAlign w:val="center"/>
          </w:tcPr>
          <w:p>
            <w:pPr>
              <w:spacing w:before="0" w:after="0"/>
              <w:jc w:val="left"/>
            </w:pPr>
            <w:r>
              <w:rPr>
                <w:sz w:val="18"/>
                <w:szCs w:val="18"/>
              </w:rPr>
              <w:t xml:space="preserve">Store operations</w:t>
            </w:r>
          </w:p>
        </w:tc>
        <w:tc>
          <w:tcPr>
            <w:tcW w:w="1100" w:type="dxa"/>
            <w:vAlign w:val="center"/>
          </w:tcPr>
          <w:p>
            <w:pPr>
              <w:spacing w:before="0" w:after="0"/>
              <w:jc w:val="right"/>
            </w:pPr>
            <w:r>
              <w:rPr>
                <w:sz w:val="18"/>
                <w:szCs w:val="18"/>
              </w:rPr>
              <w:t xml:space="preserve">100.0</w:t>
            </w:r>
          </w:p>
        </w:tc>
        <w:tc>
          <w:tcPr>
            <w:tcW w:w="1500" w:type="dxa"/>
            <w:vAlign w:val="center"/>
          </w:tcPr>
          <w:p>
            <w:pPr>
              <w:spacing w:before="0" w:after="0"/>
              <w:jc w:val="left"/>
            </w:pPr>
            <w:r>
              <w:rPr>
                <w:sz w:val="18"/>
                <w:szCs w:val="18"/>
              </w:rPr>
              <w:t xml:space="preserve">Officers serve concurrently</w:t>
            </w:r>
          </w:p>
        </w:tc>
      </w:tr>
      <w:tr>
        <w:tc>
          <w:tcPr>
            <w:tcW w:w="2272" w:type="dxa"/>
            <w:vAlign w:val="center"/>
          </w:tcPr>
          <w:p>
            <w:pPr>
              <w:spacing w:before="0" w:after="0"/>
              <w:jc w:val="left"/>
            </w:pPr>
            <w:r>
              <w:rPr>
                <w:sz w:val="18"/>
                <w:szCs w:val="18"/>
              </w:rPr>
              <w:t xml:space="preserve">Nimbus Coffee Harborview LLC</w:t>
            </w:r>
          </w:p>
        </w:tc>
        <w:tc>
          <w:tcPr>
            <w:tcW w:w="1300" w:type="dxa"/>
            <w:vAlign w:val="center"/>
          </w:tcPr>
          <w:p>
            <w:pPr>
              <w:spacing w:before="0" w:after="0"/>
              <w:jc w:val="left"/>
            </w:pPr>
            <w:r>
              <w:rPr>
                <w:sz w:val="18"/>
                <w:szCs w:val="18"/>
              </w:rPr>
              <w:t xml:space="preserve">Harborview</w:t>
            </w:r>
          </w:p>
        </w:tc>
        <w:tc>
          <w:tcPr>
            <w:tcW w:w="1300" w:type="dxa"/>
            <w:vAlign w:val="center"/>
          </w:tcPr>
          <w:p>
            <w:pPr>
              <w:spacing w:before="0" w:after="0"/>
              <w:jc w:val="right"/>
            </w:pPr>
            <w:r>
              <w:rPr>
                <w:sz w:val="18"/>
                <w:szCs w:val="18"/>
              </w:rPr>
              <w:t xml:space="preserve">391</w:t>
            </w:r>
          </w:p>
        </w:tc>
        <w:tc>
          <w:tcPr>
            <w:tcW w:w="1600" w:type="dxa"/>
            <w:vAlign w:val="center"/>
          </w:tcPr>
          <w:p>
            <w:pPr>
              <w:spacing w:before="0" w:after="0"/>
              <w:jc w:val="left"/>
            </w:pPr>
            <w:r>
              <w:rPr>
                <w:sz w:val="18"/>
                <w:szCs w:val="18"/>
              </w:rPr>
              <w:t xml:space="preserve">Store operations</w:t>
            </w:r>
          </w:p>
        </w:tc>
        <w:tc>
          <w:tcPr>
            <w:tcW w:w="1100" w:type="dxa"/>
            <w:vAlign w:val="center"/>
          </w:tcPr>
          <w:p>
            <w:pPr>
              <w:spacing w:before="0" w:after="0"/>
              <w:jc w:val="right"/>
            </w:pPr>
            <w:r>
              <w:rPr>
                <w:sz w:val="18"/>
                <w:szCs w:val="18"/>
              </w:rPr>
              <w:t xml:space="preserve">52.3</w:t>
            </w:r>
          </w:p>
        </w:tc>
        <w:tc>
          <w:tcPr>
            <w:tcW w:w="1500" w:type="dxa"/>
            <w:vAlign w:val="center"/>
          </w:tcPr>
          <w:p>
            <w:pPr>
              <w:spacing w:before="0" w:after="0"/>
              <w:jc w:val="left"/>
            </w:pPr>
            <w:r>
              <w:rPr>
                <w:sz w:val="18"/>
                <w:szCs w:val="18"/>
              </w:rPr>
              <w:t xml:space="preserve">Officers serve concurrently</w:t>
            </w:r>
          </w:p>
        </w:tc>
      </w:tr>
      <w:tr>
        <w:tc>
          <w:tcPr>
            <w:tcW w:w="2272" w:type="dxa"/>
            <w:vAlign w:val="center"/>
          </w:tcPr>
          <w:p>
            <w:pPr>
              <w:spacing w:before="0" w:after="0"/>
              <w:jc w:val="left"/>
            </w:pPr>
            <w:r>
              <w:rPr>
                <w:sz w:val="18"/>
                <w:szCs w:val="18"/>
              </w:rPr>
              <w:t xml:space="preserve">Nimbus Coffee Northfield Stores LLC</w:t>
            </w:r>
          </w:p>
        </w:tc>
        <w:tc>
          <w:tcPr>
            <w:tcW w:w="1300" w:type="dxa"/>
            <w:vAlign w:val="center"/>
          </w:tcPr>
          <w:p>
            <w:pPr>
              <w:spacing w:before="0" w:after="0"/>
              <w:jc w:val="left"/>
            </w:pPr>
            <w:r>
              <w:rPr>
                <w:sz w:val="18"/>
                <w:szCs w:val="18"/>
              </w:rPr>
              <w:t xml:space="preserve">Northfield</w:t>
            </w:r>
          </w:p>
        </w:tc>
        <w:tc>
          <w:tcPr>
            <w:tcW w:w="1300" w:type="dxa"/>
            <w:vAlign w:val="center"/>
          </w:tcPr>
          <w:p>
            <w:pPr>
              <w:spacing w:before="0" w:after="0"/>
              <w:jc w:val="right"/>
            </w:pPr>
            <w:r>
              <w:rPr>
                <w:sz w:val="18"/>
                <w:szCs w:val="18"/>
              </w:rPr>
              <w:t xml:space="preserve">423</w:t>
            </w:r>
          </w:p>
        </w:tc>
        <w:tc>
          <w:tcPr>
            <w:tcW w:w="1600" w:type="dxa"/>
            <w:vAlign w:val="center"/>
          </w:tcPr>
          <w:p>
            <w:pPr>
              <w:spacing w:before="0" w:after="0"/>
              <w:jc w:val="left"/>
            </w:pPr>
            <w:r>
              <w:rPr>
                <w:sz w:val="18"/>
                <w:szCs w:val="18"/>
              </w:rPr>
              <w:t xml:space="preserve">Store operations</w:t>
            </w:r>
          </w:p>
        </w:tc>
        <w:tc>
          <w:tcPr>
            <w:tcW w:w="1100" w:type="dxa"/>
            <w:vAlign w:val="center"/>
          </w:tcPr>
          <w:p>
            <w:pPr>
              <w:spacing w:before="0" w:after="0"/>
              <w:jc w:val="right"/>
            </w:pPr>
            <w:r>
              <w:rPr>
                <w:sz w:val="18"/>
                <w:szCs w:val="18"/>
              </w:rPr>
              <w:t xml:space="preserve">100.0</w:t>
            </w:r>
          </w:p>
        </w:tc>
        <w:tc>
          <w:tcPr>
            <w:tcW w:w="1500" w:type="dxa"/>
            <w:vAlign w:val="center"/>
          </w:tcPr>
          <w:p>
            <w:pPr>
              <w:spacing w:before="0" w:after="0"/>
              <w:jc w:val="left"/>
            </w:pPr>
            <w:r>
              <w:rPr>
                <w:sz w:val="18"/>
                <w:szCs w:val="18"/>
              </w:rPr>
              <w:t xml:space="preserve">Officers serve concurrently</w:t>
            </w:r>
          </w:p>
        </w:tc>
      </w:tr>
      <w:tr>
        <w:tc>
          <w:tcPr>
            <w:tcW w:w="2272" w:type="dxa"/>
            <w:vAlign w:val="center"/>
          </w:tcPr>
          <w:p>
            <w:pPr>
              <w:spacing w:before="0" w:after="0"/>
              <w:jc w:val="left"/>
            </w:pPr>
            <w:r>
              <w:rPr>
                <w:sz w:val="18"/>
                <w:szCs w:val="18"/>
              </w:rPr>
              <w:t xml:space="preserve">Nimbus Coffee Eastbay Stores LLC</w:t>
            </w:r>
          </w:p>
        </w:tc>
        <w:tc>
          <w:tcPr>
            <w:tcW w:w="1300" w:type="dxa"/>
            <w:vAlign w:val="center"/>
          </w:tcPr>
          <w:p>
            <w:pPr>
              <w:spacing w:before="0" w:after="0"/>
              <w:jc w:val="left"/>
            </w:pPr>
            <w:r>
              <w:rPr>
                <w:sz w:val="18"/>
                <w:szCs w:val="18"/>
              </w:rPr>
              <w:t xml:space="preserve">Eastbay</w:t>
            </w:r>
          </w:p>
        </w:tc>
        <w:tc>
          <w:tcPr>
            <w:tcW w:w="1300" w:type="dxa"/>
            <w:vAlign w:val="center"/>
          </w:tcPr>
          <w:p>
            <w:pPr>
              <w:spacing w:before="0" w:after="0"/>
              <w:jc w:val="right"/>
            </w:pPr>
            <w:r>
              <w:rPr>
                <w:sz w:val="18"/>
                <w:szCs w:val="18"/>
              </w:rPr>
              <w:t xml:space="preserve">509</w:t>
            </w:r>
          </w:p>
        </w:tc>
        <w:tc>
          <w:tcPr>
            <w:tcW w:w="1600" w:type="dxa"/>
            <w:vAlign w:val="center"/>
          </w:tcPr>
          <w:p>
            <w:pPr>
              <w:spacing w:before="0" w:after="0"/>
              <w:jc w:val="left"/>
            </w:pPr>
            <w:r>
              <w:rPr>
                <w:sz w:val="18"/>
                <w:szCs w:val="18"/>
              </w:rPr>
              <w:t xml:space="preserve">Store operations</w:t>
            </w:r>
          </w:p>
        </w:tc>
        <w:tc>
          <w:tcPr>
            <w:tcW w:w="1100" w:type="dxa"/>
            <w:vAlign w:val="center"/>
          </w:tcPr>
          <w:p>
            <w:pPr>
              <w:spacing w:before="0" w:after="0"/>
              <w:jc w:val="right"/>
            </w:pPr>
            <w:r>
              <w:rPr>
                <w:sz w:val="18"/>
                <w:szCs w:val="18"/>
              </w:rPr>
              <w:t xml:space="preserve">100.0</w:t>
            </w:r>
          </w:p>
        </w:tc>
        <w:tc>
          <w:tcPr>
            <w:tcW w:w="1500" w:type="dxa"/>
            <w:vAlign w:val="center"/>
          </w:tcPr>
          <w:p>
            <w:pPr>
              <w:spacing w:before="0" w:after="0"/>
              <w:jc w:val="left"/>
            </w:pPr>
            <w:r>
              <w:rPr>
                <w:sz w:val="18"/>
                <w:szCs w:val="18"/>
              </w:rPr>
              <w:t xml:space="preserve">Officers serve concurrently</w:t>
            </w:r>
          </w:p>
        </w:tc>
      </w:tr>
      <w:tr>
        <w:tc>
          <w:tcPr>
            <w:tcW w:w="2272" w:type="dxa"/>
            <w:vAlign w:val="center"/>
          </w:tcPr>
          <w:p>
            <w:pPr>
              <w:spacing w:before="0" w:after="0"/>
              <w:jc w:val="left"/>
            </w:pPr>
            <w:r>
              <w:rPr>
                <w:sz w:val="18"/>
                <w:szCs w:val="18"/>
              </w:rPr>
              <w:t xml:space="preserve">Nimbus Coffee Southport Stores LLC</w:t>
            </w:r>
          </w:p>
        </w:tc>
        <w:tc>
          <w:tcPr>
            <w:tcW w:w="1300" w:type="dxa"/>
            <w:vAlign w:val="center"/>
          </w:tcPr>
          <w:p>
            <w:pPr>
              <w:spacing w:before="0" w:after="0"/>
              <w:jc w:val="left"/>
            </w:pPr>
            <w:r>
              <w:rPr>
                <w:sz w:val="18"/>
                <w:szCs w:val="18"/>
              </w:rPr>
              <w:t xml:space="preserve">Southport</w:t>
            </w:r>
          </w:p>
        </w:tc>
        <w:tc>
          <w:tcPr>
            <w:tcW w:w="1300" w:type="dxa"/>
            <w:vAlign w:val="center"/>
          </w:tcPr>
          <w:p>
            <w:pPr>
              <w:spacing w:before="0" w:after="0"/>
              <w:jc w:val="right"/>
            </w:pPr>
            <w:r>
              <w:rPr>
                <w:sz w:val="18"/>
                <w:szCs w:val="18"/>
              </w:rPr>
              <w:t xml:space="preserve">259</w:t>
            </w:r>
          </w:p>
        </w:tc>
        <w:tc>
          <w:tcPr>
            <w:tcW w:w="1600" w:type="dxa"/>
            <w:vAlign w:val="center"/>
          </w:tcPr>
          <w:p>
            <w:pPr>
              <w:spacing w:before="0" w:after="0"/>
              <w:jc w:val="left"/>
            </w:pPr>
            <w:r>
              <w:rPr>
                <w:sz w:val="18"/>
                <w:szCs w:val="18"/>
              </w:rPr>
              <w:t xml:space="preserve">Store operations</w:t>
            </w:r>
          </w:p>
        </w:tc>
        <w:tc>
          <w:tcPr>
            <w:tcW w:w="1100" w:type="dxa"/>
            <w:vAlign w:val="center"/>
          </w:tcPr>
          <w:p>
            <w:pPr>
              <w:spacing w:before="0" w:after="0"/>
              <w:jc w:val="right"/>
            </w:pPr>
            <w:r>
              <w:rPr>
                <w:sz w:val="18"/>
                <w:szCs w:val="18"/>
              </w:rPr>
              <w:t xml:space="preserve">100.0</w:t>
            </w:r>
          </w:p>
        </w:tc>
        <w:tc>
          <w:tcPr>
            <w:tcW w:w="1500" w:type="dxa"/>
            <w:vAlign w:val="center"/>
          </w:tcPr>
          <w:p>
            <w:pPr>
              <w:spacing w:before="0" w:after="0"/>
              <w:jc w:val="left"/>
            </w:pPr>
            <w:r>
              <w:rPr>
                <w:sz w:val="18"/>
                <w:szCs w:val="18"/>
              </w:rPr>
              <w:t xml:space="preserve">Officers serve concurrently</w:t>
            </w:r>
          </w:p>
        </w:tc>
      </w:tr>
      <w:tr>
        <w:tc>
          <w:tcPr>
            <w:tcW w:w="2272" w:type="dxa"/>
            <w:vAlign w:val="center"/>
          </w:tcPr>
          <w:p>
            <w:pPr>
              <w:spacing w:before="0" w:after="0"/>
              <w:jc w:val="left"/>
            </w:pPr>
            <w:r>
              <w:rPr>
                <w:sz w:val="18"/>
                <w:szCs w:val="18"/>
              </w:rPr>
              <w:t xml:space="preserve">Nimbus Coffee Westridge Stores LLC</w:t>
            </w:r>
          </w:p>
        </w:tc>
        <w:tc>
          <w:tcPr>
            <w:tcW w:w="1300" w:type="dxa"/>
            <w:vAlign w:val="center"/>
          </w:tcPr>
          <w:p>
            <w:pPr>
              <w:spacing w:before="0" w:after="0"/>
              <w:jc w:val="left"/>
            </w:pPr>
            <w:r>
              <w:rPr>
                <w:sz w:val="18"/>
                <w:szCs w:val="18"/>
              </w:rPr>
              <w:t xml:space="preserve">Westridge</w:t>
            </w:r>
          </w:p>
        </w:tc>
        <w:tc>
          <w:tcPr>
            <w:tcW w:w="1300" w:type="dxa"/>
            <w:vAlign w:val="center"/>
          </w:tcPr>
          <w:p>
            <w:pPr>
              <w:spacing w:before="0" w:after="0"/>
              <w:jc w:val="right"/>
            </w:pPr>
            <w:r>
              <w:rPr>
                <w:sz w:val="18"/>
                <w:szCs w:val="18"/>
              </w:rPr>
              <w:t xml:space="preserve">286</w:t>
            </w:r>
          </w:p>
        </w:tc>
        <w:tc>
          <w:tcPr>
            <w:tcW w:w="1600" w:type="dxa"/>
            <w:vAlign w:val="center"/>
          </w:tcPr>
          <w:p>
            <w:pPr>
              <w:spacing w:before="0" w:after="0"/>
              <w:jc w:val="left"/>
            </w:pPr>
            <w:r>
              <w:rPr>
                <w:sz w:val="18"/>
                <w:szCs w:val="18"/>
              </w:rPr>
              <w:t xml:space="preserve">Store operations</w:t>
            </w:r>
          </w:p>
        </w:tc>
        <w:tc>
          <w:tcPr>
            <w:tcW w:w="1100" w:type="dxa"/>
            <w:vAlign w:val="center"/>
          </w:tcPr>
          <w:p>
            <w:pPr>
              <w:spacing w:before="0" w:after="0"/>
              <w:jc w:val="right"/>
            </w:pPr>
            <w:r>
              <w:rPr>
                <w:sz w:val="18"/>
                <w:szCs w:val="18"/>
              </w:rPr>
              <w:t xml:space="preserve">100.0</w:t>
            </w:r>
          </w:p>
        </w:tc>
        <w:tc>
          <w:tcPr>
            <w:tcW w:w="1500" w:type="dxa"/>
            <w:vAlign w:val="center"/>
          </w:tcPr>
          <w:p>
            <w:pPr>
              <w:spacing w:before="0" w:after="0"/>
              <w:jc w:val="left"/>
            </w:pPr>
            <w:r>
              <w:rPr>
                <w:sz w:val="18"/>
                <w:szCs w:val="18"/>
              </w:rPr>
              <w:t xml:space="preserve">Officers serve concurrently</w:t>
            </w:r>
          </w:p>
        </w:tc>
      </w:tr>
      <w:tr>
        <w:tc>
          <w:tcPr>
            <w:tcW w:w="2272" w:type="dxa"/>
            <w:vAlign w:val="center"/>
          </w:tcPr>
          <w:p>
            <w:pPr>
              <w:spacing w:before="0" w:after="0"/>
              <w:jc w:val="left"/>
            </w:pPr>
            <w:r>
              <w:rPr>
                <w:sz w:val="18"/>
                <w:szCs w:val="18"/>
              </w:rPr>
              <w:t xml:space="preserve">Nimbus Coffee Lakeside Stores LLC</w:t>
            </w:r>
          </w:p>
        </w:tc>
        <w:tc>
          <w:tcPr>
            <w:tcW w:w="1300" w:type="dxa"/>
            <w:vAlign w:val="center"/>
          </w:tcPr>
          <w:p>
            <w:pPr>
              <w:spacing w:before="0" w:after="0"/>
              <w:jc w:val="left"/>
            </w:pPr>
            <w:r>
              <w:rPr>
                <w:sz w:val="18"/>
                <w:szCs w:val="18"/>
              </w:rPr>
              <w:t xml:space="preserve">Lakeside</w:t>
            </w:r>
          </w:p>
        </w:tc>
        <w:tc>
          <w:tcPr>
            <w:tcW w:w="1300" w:type="dxa"/>
            <w:vAlign w:val="center"/>
          </w:tcPr>
          <w:p>
            <w:pPr>
              <w:spacing w:before="0" w:after="0"/>
              <w:jc w:val="right"/>
            </w:pPr>
            <w:r>
              <w:rPr>
                <w:sz w:val="18"/>
                <w:szCs w:val="18"/>
              </w:rPr>
              <w:t xml:space="preserve">361</w:t>
            </w:r>
          </w:p>
        </w:tc>
        <w:tc>
          <w:tcPr>
            <w:tcW w:w="1600" w:type="dxa"/>
            <w:vAlign w:val="center"/>
          </w:tcPr>
          <w:p>
            <w:pPr>
              <w:spacing w:before="0" w:after="0"/>
              <w:jc w:val="left"/>
            </w:pPr>
            <w:r>
              <w:rPr>
                <w:sz w:val="18"/>
                <w:szCs w:val="18"/>
              </w:rPr>
              <w:t xml:space="preserve">Store operations</w:t>
            </w:r>
          </w:p>
        </w:tc>
        <w:tc>
          <w:tcPr>
            <w:tcW w:w="1100" w:type="dxa"/>
            <w:vAlign w:val="center"/>
          </w:tcPr>
          <w:p>
            <w:pPr>
              <w:spacing w:before="0" w:after="0"/>
              <w:jc w:val="right"/>
            </w:pPr>
            <w:r>
              <w:rPr>
                <w:sz w:val="18"/>
                <w:szCs w:val="18"/>
              </w:rPr>
              <w:t xml:space="preserve">100.0</w:t>
            </w:r>
          </w:p>
        </w:tc>
        <w:tc>
          <w:tcPr>
            <w:tcW w:w="1500" w:type="dxa"/>
            <w:vAlign w:val="center"/>
          </w:tcPr>
          <w:p>
            <w:pPr>
              <w:spacing w:before="0" w:after="0"/>
              <w:jc w:val="left"/>
            </w:pPr>
            <w:r>
              <w:rPr>
                <w:sz w:val="18"/>
                <w:szCs w:val="18"/>
              </w:rPr>
              <w:t xml:space="preserve">Officers serve concurrently</w:t>
            </w:r>
          </w:p>
        </w:tc>
      </w:tr>
      <w:tr>
        <w:tc>
          <w:tcPr>
            <w:tcW w:w="2272" w:type="dxa"/>
            <w:vAlign w:val="center"/>
          </w:tcPr>
          <w:p>
            <w:pPr>
              <w:spacing w:before="0" w:after="0"/>
              <w:jc w:val="left"/>
            </w:pPr>
            <w:r>
              <w:rPr>
                <w:sz w:val="18"/>
                <w:szCs w:val="18"/>
              </w:rPr>
              <w:t xml:space="preserve">Nimbus Coffee Hillcrest Stores LLC</w:t>
            </w:r>
          </w:p>
        </w:tc>
        <w:tc>
          <w:tcPr>
            <w:tcW w:w="1300" w:type="dxa"/>
            <w:vAlign w:val="center"/>
          </w:tcPr>
          <w:p>
            <w:pPr>
              <w:spacing w:before="0" w:after="0"/>
              <w:jc w:val="left"/>
            </w:pPr>
            <w:r>
              <w:rPr>
                <w:sz w:val="18"/>
                <w:szCs w:val="18"/>
              </w:rPr>
              <w:t xml:space="preserve">Hillcrest</w:t>
            </w:r>
          </w:p>
        </w:tc>
        <w:tc>
          <w:tcPr>
            <w:tcW w:w="1300" w:type="dxa"/>
            <w:vAlign w:val="center"/>
          </w:tcPr>
          <w:p>
            <w:pPr>
              <w:spacing w:before="0" w:after="0"/>
              <w:jc w:val="right"/>
            </w:pPr>
            <w:r>
              <w:rPr>
                <w:sz w:val="18"/>
                <w:szCs w:val="18"/>
              </w:rPr>
              <w:t xml:space="preserve">463</w:t>
            </w:r>
          </w:p>
        </w:tc>
        <w:tc>
          <w:tcPr>
            <w:tcW w:w="1600" w:type="dxa"/>
            <w:vAlign w:val="center"/>
          </w:tcPr>
          <w:p>
            <w:pPr>
              <w:spacing w:before="0" w:after="0"/>
              <w:jc w:val="left"/>
            </w:pPr>
            <w:r>
              <w:rPr>
                <w:sz w:val="18"/>
                <w:szCs w:val="18"/>
              </w:rPr>
              <w:t xml:space="preserve">Store operations</w:t>
            </w:r>
          </w:p>
        </w:tc>
        <w:tc>
          <w:tcPr>
            <w:tcW w:w="1100" w:type="dxa"/>
            <w:vAlign w:val="center"/>
          </w:tcPr>
          <w:p>
            <w:pPr>
              <w:spacing w:before="0" w:after="0"/>
              <w:jc w:val="right"/>
            </w:pPr>
            <w:r>
              <w:rPr>
                <w:sz w:val="18"/>
                <w:szCs w:val="18"/>
              </w:rPr>
              <w:t xml:space="preserve">100.0</w:t>
            </w:r>
          </w:p>
        </w:tc>
        <w:tc>
          <w:tcPr>
            <w:tcW w:w="1500" w:type="dxa"/>
            <w:vAlign w:val="center"/>
          </w:tcPr>
          <w:p>
            <w:pPr>
              <w:spacing w:before="0" w:after="0"/>
              <w:jc w:val="left"/>
            </w:pPr>
            <w:r>
              <w:rPr>
                <w:sz w:val="18"/>
                <w:szCs w:val="18"/>
              </w:rPr>
              <w:t xml:space="preserve">Officers serve concurrently</w:t>
            </w:r>
          </w:p>
        </w:tc>
      </w:tr>
      <w:tr>
        <w:tc>
          <w:tcPr>
            <w:tcW w:w="2272" w:type="dxa"/>
            <w:vAlign w:val="center"/>
          </w:tcPr>
          <w:p>
            <w:pPr>
              <w:spacing w:before="0" w:after="0"/>
              <w:jc w:val="left"/>
            </w:pPr>
            <w:r>
              <w:rPr>
                <w:sz w:val="18"/>
                <w:szCs w:val="18"/>
              </w:rPr>
              <w:t xml:space="preserve">Nimbus Coffee Riverside Stores LLC</w:t>
            </w:r>
          </w:p>
        </w:tc>
        <w:tc>
          <w:tcPr>
            <w:tcW w:w="1300" w:type="dxa"/>
            <w:vAlign w:val="center"/>
          </w:tcPr>
          <w:p>
            <w:pPr>
              <w:spacing w:before="0" w:after="0"/>
              <w:jc w:val="left"/>
            </w:pPr>
            <w:r>
              <w:rPr>
                <w:sz w:val="18"/>
                <w:szCs w:val="18"/>
              </w:rPr>
              <w:t xml:space="preserve">Riverside</w:t>
            </w:r>
          </w:p>
        </w:tc>
        <w:tc>
          <w:tcPr>
            <w:tcW w:w="1300" w:type="dxa"/>
            <w:vAlign w:val="center"/>
          </w:tcPr>
          <w:p>
            <w:pPr>
              <w:spacing w:before="0" w:after="0"/>
              <w:jc w:val="right"/>
            </w:pPr>
            <w:r>
              <w:rPr>
                <w:sz w:val="18"/>
                <w:szCs w:val="18"/>
              </w:rPr>
              <w:t xml:space="preserve">517</w:t>
            </w:r>
          </w:p>
        </w:tc>
        <w:tc>
          <w:tcPr>
            <w:tcW w:w="1600" w:type="dxa"/>
            <w:vAlign w:val="center"/>
          </w:tcPr>
          <w:p>
            <w:pPr>
              <w:spacing w:before="0" w:after="0"/>
              <w:jc w:val="left"/>
            </w:pPr>
            <w:r>
              <w:rPr>
                <w:sz w:val="18"/>
                <w:szCs w:val="18"/>
              </w:rPr>
              <w:t xml:space="preserve">Store operations</w:t>
            </w:r>
          </w:p>
        </w:tc>
        <w:tc>
          <w:tcPr>
            <w:tcW w:w="1100" w:type="dxa"/>
            <w:vAlign w:val="center"/>
          </w:tcPr>
          <w:p>
            <w:pPr>
              <w:spacing w:before="0" w:after="0"/>
              <w:jc w:val="right"/>
            </w:pPr>
            <w:r>
              <w:rPr>
                <w:sz w:val="18"/>
                <w:szCs w:val="18"/>
              </w:rPr>
              <w:t xml:space="preserve">68.8</w:t>
            </w:r>
          </w:p>
        </w:tc>
        <w:tc>
          <w:tcPr>
            <w:tcW w:w="1500" w:type="dxa"/>
            <w:vAlign w:val="center"/>
          </w:tcPr>
          <w:p>
            <w:pPr>
              <w:spacing w:before="0" w:after="0"/>
              <w:jc w:val="left"/>
            </w:pPr>
            <w:r>
              <w:rPr>
                <w:sz w:val="18"/>
                <w:szCs w:val="18"/>
              </w:rPr>
              <w:t xml:space="preserve">Officers serve concurrently</w:t>
            </w:r>
          </w:p>
        </w:tc>
      </w:tr>
      <w:tr>
        <w:tc>
          <w:tcPr>
            <w:tcW w:w="2272" w:type="dxa"/>
            <w:vAlign w:val="center"/>
          </w:tcPr>
          <w:p>
            <w:pPr>
              <w:spacing w:before="0" w:after="0"/>
              <w:jc w:val="left"/>
            </w:pPr>
            <w:r>
              <w:rPr>
                <w:sz w:val="18"/>
                <w:szCs w:val="18"/>
              </w:rPr>
              <w:t xml:space="preserve">Nimbus Coffee Harborview Stores LLC</w:t>
            </w:r>
          </w:p>
        </w:tc>
        <w:tc>
          <w:tcPr>
            <w:tcW w:w="1300" w:type="dxa"/>
            <w:vAlign w:val="center"/>
          </w:tcPr>
          <w:p>
            <w:pPr>
              <w:spacing w:before="0" w:after="0"/>
              <w:jc w:val="left"/>
            </w:pPr>
            <w:r>
              <w:rPr>
                <w:sz w:val="18"/>
                <w:szCs w:val="18"/>
              </w:rPr>
              <w:t xml:space="preserve">Harborview</w:t>
            </w:r>
          </w:p>
        </w:tc>
        <w:tc>
          <w:tcPr>
            <w:tcW w:w="1300" w:type="dxa"/>
            <w:vAlign w:val="center"/>
          </w:tcPr>
          <w:p>
            <w:pPr>
              <w:spacing w:before="0" w:after="0"/>
              <w:jc w:val="right"/>
            </w:pPr>
            <w:r>
              <w:rPr>
                <w:sz w:val="18"/>
                <w:szCs w:val="18"/>
              </w:rPr>
              <w:t xml:space="preserve">231</w:t>
            </w:r>
          </w:p>
        </w:tc>
        <w:tc>
          <w:tcPr>
            <w:tcW w:w="1600" w:type="dxa"/>
            <w:vAlign w:val="center"/>
          </w:tcPr>
          <w:p>
            <w:pPr>
              <w:spacing w:before="0" w:after="0"/>
              <w:jc w:val="left"/>
            </w:pPr>
            <w:r>
              <w:rPr>
                <w:sz w:val="18"/>
                <w:szCs w:val="18"/>
              </w:rPr>
              <w:t xml:space="preserve">Store operations</w:t>
            </w:r>
          </w:p>
        </w:tc>
        <w:tc>
          <w:tcPr>
            <w:tcW w:w="1100" w:type="dxa"/>
            <w:vAlign w:val="center"/>
          </w:tcPr>
          <w:p>
            <w:pPr>
              <w:spacing w:before="0" w:after="0"/>
              <w:jc w:val="right"/>
            </w:pPr>
            <w:r>
              <w:rPr>
                <w:sz w:val="18"/>
                <w:szCs w:val="18"/>
              </w:rPr>
              <w:t xml:space="preserve">100.0</w:t>
            </w:r>
          </w:p>
        </w:tc>
        <w:tc>
          <w:tcPr>
            <w:tcW w:w="1500" w:type="dxa"/>
            <w:vAlign w:val="center"/>
          </w:tcPr>
          <w:p>
            <w:pPr>
              <w:spacing w:before="0" w:after="0"/>
              <w:jc w:val="left"/>
            </w:pPr>
            <w:r>
              <w:rPr>
                <w:sz w:val="18"/>
                <w:szCs w:val="18"/>
              </w:rPr>
              <w:t xml:space="preserve">Officers serve concurrently</w:t>
            </w:r>
          </w:p>
        </w:tc>
      </w:tr>
      <w:tr>
        <w:tc>
          <w:tcPr>
            <w:tcW w:w="2272" w:type="dxa"/>
            <w:vAlign w:val="center"/>
          </w:tcPr>
          <w:p>
            <w:pPr>
              <w:spacing w:before="0" w:after="0"/>
              <w:jc w:val="left"/>
            </w:pPr>
            <w:r>
              <w:rPr>
                <w:sz w:val="18"/>
                <w:szCs w:val="18"/>
              </w:rPr>
              <w:t xml:space="preserve">Nimbus Coffee Northfield Properties LLC</w:t>
            </w:r>
          </w:p>
        </w:tc>
        <w:tc>
          <w:tcPr>
            <w:tcW w:w="1300" w:type="dxa"/>
            <w:vAlign w:val="center"/>
          </w:tcPr>
          <w:p>
            <w:pPr>
              <w:spacing w:before="0" w:after="0"/>
              <w:jc w:val="left"/>
            </w:pPr>
            <w:r>
              <w:rPr>
                <w:sz w:val="18"/>
                <w:szCs w:val="18"/>
              </w:rPr>
              <w:t xml:space="preserve">Northfield</w:t>
            </w:r>
          </w:p>
        </w:tc>
        <w:tc>
          <w:tcPr>
            <w:tcW w:w="1300" w:type="dxa"/>
            <w:vAlign w:val="center"/>
          </w:tcPr>
          <w:p>
            <w:pPr>
              <w:spacing w:before="0" w:after="0"/>
              <w:jc w:val="right"/>
            </w:pPr>
            <w:r>
              <w:rPr>
                <w:sz w:val="18"/>
                <w:szCs w:val="18"/>
              </w:rPr>
              <w:t xml:space="preserve">319</w:t>
            </w:r>
          </w:p>
        </w:tc>
        <w:tc>
          <w:tcPr>
            <w:tcW w:w="1600" w:type="dxa"/>
            <w:vAlign w:val="center"/>
          </w:tcPr>
          <w:p>
            <w:pPr>
              <w:spacing w:before="0" w:after="0"/>
              <w:jc w:val="left"/>
            </w:pPr>
            <w:r>
              <w:rPr>
                <w:sz w:val="18"/>
                <w:szCs w:val="18"/>
              </w:rPr>
              <w:t xml:space="preserve">Real estate holding</w:t>
            </w:r>
          </w:p>
        </w:tc>
        <w:tc>
          <w:tcPr>
            <w:tcW w:w="1100" w:type="dxa"/>
            <w:vAlign w:val="center"/>
          </w:tcPr>
          <w:p>
            <w:pPr>
              <w:spacing w:before="0" w:after="0"/>
              <w:jc w:val="right"/>
            </w:pPr>
            <w:r>
              <w:rPr>
                <w:sz w:val="18"/>
                <w:szCs w:val="18"/>
              </w:rPr>
              <w:t xml:space="preserve">100.0</w:t>
            </w:r>
          </w:p>
        </w:tc>
        <w:tc>
          <w:tcPr>
            <w:tcW w:w="1500" w:type="dxa"/>
            <w:vAlign w:val="center"/>
          </w:tcPr>
          <w:p>
            <w:pPr>
              <w:spacing w:before="0" w:after="0"/>
              <w:jc w:val="left"/>
            </w:pPr>
            <w:r>
              <w:rPr>
                <w:sz w:val="18"/>
                <w:szCs w:val="18"/>
              </w:rPr>
              <w:t xml:space="preserve">Officers serve concurrently</w:t>
            </w:r>
          </w:p>
        </w:tc>
      </w:tr>
      <w:tr>
        <w:tc>
          <w:tcPr>
            <w:tcW w:w="2272" w:type="dxa"/>
            <w:vAlign w:val="center"/>
          </w:tcPr>
          <w:p>
            <w:pPr>
              <w:spacing w:before="0" w:after="0"/>
              <w:jc w:val="left"/>
            </w:pPr>
            <w:r>
              <w:rPr>
                <w:sz w:val="18"/>
                <w:szCs w:val="18"/>
              </w:rPr>
              <w:t xml:space="preserve">Nimbus Coffee Eastbay Properties LLC</w:t>
            </w:r>
          </w:p>
        </w:tc>
        <w:tc>
          <w:tcPr>
            <w:tcW w:w="1300" w:type="dxa"/>
            <w:vAlign w:val="center"/>
          </w:tcPr>
          <w:p>
            <w:pPr>
              <w:spacing w:before="0" w:after="0"/>
              <w:jc w:val="left"/>
            </w:pPr>
            <w:r>
              <w:rPr>
                <w:sz w:val="18"/>
                <w:szCs w:val="18"/>
              </w:rPr>
              <w:t xml:space="preserve">Eastbay</w:t>
            </w:r>
          </w:p>
        </w:tc>
        <w:tc>
          <w:tcPr>
            <w:tcW w:w="1300" w:type="dxa"/>
            <w:vAlign w:val="center"/>
          </w:tcPr>
          <w:p>
            <w:pPr>
              <w:spacing w:before="0" w:after="0"/>
              <w:jc w:val="right"/>
            </w:pPr>
            <w:r>
              <w:rPr>
                <w:sz w:val="18"/>
                <w:szCs w:val="18"/>
              </w:rPr>
              <w:t xml:space="preserve">353</w:t>
            </w:r>
          </w:p>
        </w:tc>
        <w:tc>
          <w:tcPr>
            <w:tcW w:w="1600" w:type="dxa"/>
            <w:vAlign w:val="center"/>
          </w:tcPr>
          <w:p>
            <w:pPr>
              <w:spacing w:before="0" w:after="0"/>
              <w:jc w:val="left"/>
            </w:pPr>
            <w:r>
              <w:rPr>
                <w:sz w:val="18"/>
                <w:szCs w:val="18"/>
              </w:rPr>
              <w:t xml:space="preserve">Real estate holding</w:t>
            </w:r>
          </w:p>
        </w:tc>
        <w:tc>
          <w:tcPr>
            <w:tcW w:w="1100" w:type="dxa"/>
            <w:vAlign w:val="center"/>
          </w:tcPr>
          <w:p>
            <w:pPr>
              <w:spacing w:before="0" w:after="0"/>
              <w:jc w:val="right"/>
            </w:pPr>
            <w:r>
              <w:rPr>
                <w:sz w:val="18"/>
                <w:szCs w:val="18"/>
              </w:rPr>
              <w:t xml:space="preserve">100.0</w:t>
            </w:r>
          </w:p>
        </w:tc>
        <w:tc>
          <w:tcPr>
            <w:tcW w:w="1500" w:type="dxa"/>
            <w:vAlign w:val="center"/>
          </w:tcPr>
          <w:p>
            <w:pPr>
              <w:spacing w:before="0" w:after="0"/>
              <w:jc w:val="left"/>
            </w:pPr>
            <w:r>
              <w:rPr>
                <w:sz w:val="18"/>
                <w:szCs w:val="18"/>
              </w:rPr>
              <w:t xml:space="preserve">Officers serve concurrently</w:t>
            </w:r>
          </w:p>
        </w:tc>
      </w:tr>
      <w:tr>
        <w:tc>
          <w:tcPr>
            <w:tcW w:w="2272" w:type="dxa"/>
            <w:vAlign w:val="center"/>
          </w:tcPr>
          <w:p>
            <w:pPr>
              <w:spacing w:before="0" w:after="0"/>
              <w:jc w:val="left"/>
            </w:pPr>
            <w:r>
              <w:rPr>
                <w:sz w:val="18"/>
                <w:szCs w:val="18"/>
              </w:rPr>
              <w:t xml:space="preserve">Nimbus Coffee Southport Properties LLC</w:t>
            </w:r>
          </w:p>
        </w:tc>
        <w:tc>
          <w:tcPr>
            <w:tcW w:w="1300" w:type="dxa"/>
            <w:vAlign w:val="center"/>
          </w:tcPr>
          <w:p>
            <w:pPr>
              <w:spacing w:before="0" w:after="0"/>
              <w:jc w:val="left"/>
            </w:pPr>
            <w:r>
              <w:rPr>
                <w:sz w:val="18"/>
                <w:szCs w:val="18"/>
              </w:rPr>
              <w:t xml:space="preserve">Southport</w:t>
            </w:r>
          </w:p>
        </w:tc>
        <w:tc>
          <w:tcPr>
            <w:tcW w:w="1300" w:type="dxa"/>
            <w:vAlign w:val="center"/>
          </w:tcPr>
          <w:p>
            <w:pPr>
              <w:spacing w:before="0" w:after="0"/>
              <w:jc w:val="right"/>
            </w:pPr>
            <w:r>
              <w:rPr>
                <w:sz w:val="18"/>
                <w:szCs w:val="18"/>
              </w:rPr>
              <w:t xml:space="preserve">452</w:t>
            </w:r>
          </w:p>
        </w:tc>
        <w:tc>
          <w:tcPr>
            <w:tcW w:w="1600" w:type="dxa"/>
            <w:vAlign w:val="center"/>
          </w:tcPr>
          <w:p>
            <w:pPr>
              <w:spacing w:before="0" w:after="0"/>
              <w:jc w:val="left"/>
            </w:pPr>
            <w:r>
              <w:rPr>
                <w:sz w:val="18"/>
                <w:szCs w:val="18"/>
              </w:rPr>
              <w:t xml:space="preserve">Real estate holding</w:t>
            </w:r>
          </w:p>
        </w:tc>
        <w:tc>
          <w:tcPr>
            <w:tcW w:w="1100" w:type="dxa"/>
            <w:vAlign w:val="center"/>
          </w:tcPr>
          <w:p>
            <w:pPr>
              <w:spacing w:before="0" w:after="0"/>
              <w:jc w:val="right"/>
            </w:pPr>
            <w:r>
              <w:rPr>
                <w:sz w:val="18"/>
                <w:szCs w:val="18"/>
              </w:rPr>
              <w:t xml:space="preserve">100.0</w:t>
            </w:r>
          </w:p>
        </w:tc>
        <w:tc>
          <w:tcPr>
            <w:tcW w:w="1500" w:type="dxa"/>
            <w:vAlign w:val="center"/>
          </w:tcPr>
          <w:p>
            <w:pPr>
              <w:spacing w:before="0" w:after="0"/>
              <w:jc w:val="left"/>
            </w:pPr>
            <w:r>
              <w:rPr>
                <w:sz w:val="18"/>
                <w:szCs w:val="18"/>
              </w:rPr>
              <w:t xml:space="preserve">Officers serve concurrently</w:t>
            </w:r>
          </w:p>
        </w:tc>
      </w:tr>
      <w:tr>
        <w:tc>
          <w:tcPr>
            <w:tcW w:w="2272" w:type="dxa"/>
            <w:vAlign w:val="center"/>
          </w:tcPr>
          <w:p>
            <w:pPr>
              <w:spacing w:before="0" w:after="0"/>
              <w:jc w:val="left"/>
            </w:pPr>
            <w:r>
              <w:rPr>
                <w:sz w:val="18"/>
                <w:szCs w:val="18"/>
              </w:rPr>
              <w:t xml:space="preserve">Nimbus Coffee Westridge Properties LLC</w:t>
            </w:r>
          </w:p>
        </w:tc>
        <w:tc>
          <w:tcPr>
            <w:tcW w:w="1300" w:type="dxa"/>
            <w:vAlign w:val="center"/>
          </w:tcPr>
          <w:p>
            <w:pPr>
              <w:spacing w:before="0" w:after="0"/>
              <w:jc w:val="left"/>
            </w:pPr>
            <w:r>
              <w:rPr>
                <w:sz w:val="18"/>
                <w:szCs w:val="18"/>
              </w:rPr>
              <w:t xml:space="preserve">Westridge</w:t>
            </w:r>
          </w:p>
        </w:tc>
        <w:tc>
          <w:tcPr>
            <w:tcW w:w="1300" w:type="dxa"/>
            <w:vAlign w:val="center"/>
          </w:tcPr>
          <w:p>
            <w:pPr>
              <w:spacing w:before="0" w:after="0"/>
              <w:jc w:val="right"/>
            </w:pPr>
            <w:r>
              <w:rPr>
                <w:sz w:val="18"/>
                <w:szCs w:val="18"/>
              </w:rPr>
              <w:t xml:space="preserve">503</w:t>
            </w:r>
          </w:p>
        </w:tc>
        <w:tc>
          <w:tcPr>
            <w:tcW w:w="1600" w:type="dxa"/>
            <w:vAlign w:val="center"/>
          </w:tcPr>
          <w:p>
            <w:pPr>
              <w:spacing w:before="0" w:after="0"/>
              <w:jc w:val="left"/>
            </w:pPr>
            <w:r>
              <w:rPr>
                <w:sz w:val="18"/>
                <w:szCs w:val="18"/>
              </w:rPr>
              <w:t xml:space="preserve">Real estate holding</w:t>
            </w:r>
          </w:p>
        </w:tc>
        <w:tc>
          <w:tcPr>
            <w:tcW w:w="1100" w:type="dxa"/>
            <w:vAlign w:val="center"/>
          </w:tcPr>
          <w:p>
            <w:pPr>
              <w:spacing w:before="0" w:after="0"/>
              <w:jc w:val="right"/>
            </w:pPr>
            <w:r>
              <w:rPr>
                <w:sz w:val="18"/>
                <w:szCs w:val="18"/>
              </w:rPr>
              <w:t xml:space="preserve">100.0</w:t>
            </w:r>
          </w:p>
        </w:tc>
        <w:tc>
          <w:tcPr>
            <w:tcW w:w="1500" w:type="dxa"/>
            <w:vAlign w:val="center"/>
          </w:tcPr>
          <w:p>
            <w:pPr>
              <w:spacing w:before="0" w:after="0"/>
              <w:jc w:val="left"/>
            </w:pPr>
            <w:r>
              <w:rPr>
                <w:sz w:val="18"/>
                <w:szCs w:val="18"/>
              </w:rPr>
              <w:t xml:space="preserve">Officers serve concurrently</w:t>
            </w:r>
          </w:p>
        </w:tc>
      </w:tr>
      <w:tr>
        <w:tc>
          <w:tcPr>
            <w:tcW w:w="2272" w:type="dxa"/>
            <w:vAlign w:val="center"/>
          </w:tcPr>
          <w:p>
            <w:pPr>
              <w:spacing w:before="0" w:after="0"/>
              <w:jc w:val="left"/>
            </w:pPr>
            <w:r>
              <w:rPr>
                <w:sz w:val="18"/>
                <w:szCs w:val="18"/>
              </w:rPr>
              <w:t xml:space="preserve">Nimbus Coffee Lakeside Properties LLC</w:t>
            </w:r>
          </w:p>
        </w:tc>
        <w:tc>
          <w:tcPr>
            <w:tcW w:w="1300" w:type="dxa"/>
            <w:vAlign w:val="center"/>
          </w:tcPr>
          <w:p>
            <w:pPr>
              <w:spacing w:before="0" w:after="0"/>
              <w:jc w:val="left"/>
            </w:pPr>
            <w:r>
              <w:rPr>
                <w:sz w:val="18"/>
                <w:szCs w:val="18"/>
              </w:rPr>
              <w:t xml:space="preserve">Lakeside</w:t>
            </w:r>
          </w:p>
        </w:tc>
        <w:tc>
          <w:tcPr>
            <w:tcW w:w="1300" w:type="dxa"/>
            <w:vAlign w:val="center"/>
          </w:tcPr>
          <w:p>
            <w:pPr>
              <w:spacing w:before="0" w:after="0"/>
              <w:jc w:val="right"/>
            </w:pPr>
            <w:r>
              <w:rPr>
                <w:sz w:val="18"/>
                <w:szCs w:val="18"/>
              </w:rPr>
              <w:t xml:space="preserve">257</w:t>
            </w:r>
          </w:p>
        </w:tc>
        <w:tc>
          <w:tcPr>
            <w:tcW w:w="1600" w:type="dxa"/>
            <w:vAlign w:val="center"/>
          </w:tcPr>
          <w:p>
            <w:pPr>
              <w:spacing w:before="0" w:after="0"/>
              <w:jc w:val="left"/>
            </w:pPr>
            <w:r>
              <w:rPr>
                <w:sz w:val="18"/>
                <w:szCs w:val="18"/>
              </w:rPr>
              <w:t xml:space="preserve">Real estate holding</w:t>
            </w:r>
          </w:p>
        </w:tc>
        <w:tc>
          <w:tcPr>
            <w:tcW w:w="1100" w:type="dxa"/>
            <w:vAlign w:val="center"/>
          </w:tcPr>
          <w:p>
            <w:pPr>
              <w:spacing w:before="0" w:after="0"/>
              <w:jc w:val="right"/>
            </w:pPr>
            <w:r>
              <w:rPr>
                <w:sz w:val="18"/>
                <w:szCs w:val="18"/>
              </w:rPr>
              <w:t xml:space="preserve">100.0</w:t>
            </w:r>
          </w:p>
        </w:tc>
        <w:tc>
          <w:tcPr>
            <w:tcW w:w="1500" w:type="dxa"/>
            <w:vAlign w:val="center"/>
          </w:tcPr>
          <w:p>
            <w:pPr>
              <w:spacing w:before="0" w:after="0"/>
              <w:jc w:val="left"/>
            </w:pPr>
            <w:r>
              <w:rPr>
                <w:sz w:val="18"/>
                <w:szCs w:val="18"/>
              </w:rPr>
              <w:t xml:space="preserve">Officers serve concurrently</w:t>
            </w:r>
          </w:p>
        </w:tc>
      </w:tr>
      <w:tr>
        <w:tc>
          <w:tcPr>
            <w:tcW w:w="2272" w:type="dxa"/>
            <w:vAlign w:val="center"/>
          </w:tcPr>
          <w:p>
            <w:pPr>
              <w:spacing w:before="0" w:after="0"/>
              <w:jc w:val="left"/>
            </w:pPr>
            <w:r>
              <w:rPr>
                <w:sz w:val="18"/>
                <w:szCs w:val="18"/>
              </w:rPr>
              <w:t xml:space="preserve">Nimbus Coffee Hillcrest Properties LLC</w:t>
            </w:r>
          </w:p>
        </w:tc>
        <w:tc>
          <w:tcPr>
            <w:tcW w:w="1300" w:type="dxa"/>
            <w:vAlign w:val="center"/>
          </w:tcPr>
          <w:p>
            <w:pPr>
              <w:spacing w:before="0" w:after="0"/>
              <w:jc w:val="left"/>
            </w:pPr>
            <w:r>
              <w:rPr>
                <w:sz w:val="18"/>
                <w:szCs w:val="18"/>
              </w:rPr>
              <w:t xml:space="preserve">Hillcrest</w:t>
            </w:r>
          </w:p>
        </w:tc>
        <w:tc>
          <w:tcPr>
            <w:tcW w:w="1300" w:type="dxa"/>
            <w:vAlign w:val="center"/>
          </w:tcPr>
          <w:p>
            <w:pPr>
              <w:spacing w:before="0" w:after="0"/>
              <w:jc w:val="right"/>
            </w:pPr>
            <w:r>
              <w:rPr>
                <w:sz w:val="18"/>
                <w:szCs w:val="18"/>
              </w:rPr>
              <w:t xml:space="preserve">319</w:t>
            </w:r>
          </w:p>
        </w:tc>
        <w:tc>
          <w:tcPr>
            <w:tcW w:w="1600" w:type="dxa"/>
            <w:vAlign w:val="center"/>
          </w:tcPr>
          <w:p>
            <w:pPr>
              <w:spacing w:before="0" w:after="0"/>
              <w:jc w:val="left"/>
            </w:pPr>
            <w:r>
              <w:rPr>
                <w:sz w:val="18"/>
                <w:szCs w:val="18"/>
              </w:rPr>
              <w:t xml:space="preserve">Real estate holding</w:t>
            </w:r>
          </w:p>
        </w:tc>
        <w:tc>
          <w:tcPr>
            <w:tcW w:w="1100" w:type="dxa"/>
            <w:vAlign w:val="center"/>
          </w:tcPr>
          <w:p>
            <w:pPr>
              <w:spacing w:before="0" w:after="0"/>
              <w:jc w:val="right"/>
            </w:pPr>
            <w:r>
              <w:rPr>
                <w:sz w:val="18"/>
                <w:szCs w:val="18"/>
              </w:rPr>
              <w:t xml:space="preserve">63.5</w:t>
            </w:r>
          </w:p>
        </w:tc>
        <w:tc>
          <w:tcPr>
            <w:tcW w:w="1500" w:type="dxa"/>
            <w:vAlign w:val="center"/>
          </w:tcPr>
          <w:p>
            <w:pPr>
              <w:spacing w:before="0" w:after="0"/>
              <w:jc w:val="left"/>
            </w:pPr>
            <w:r>
              <w:rPr>
                <w:sz w:val="18"/>
                <w:szCs w:val="18"/>
              </w:rPr>
              <w:t xml:space="preserve">Officers serve concurrently</w:t>
            </w:r>
          </w:p>
        </w:tc>
      </w:tr>
      <w:tr>
        <w:tc>
          <w:tcPr>
            <w:tcW w:w="2272" w:type="dxa"/>
            <w:vAlign w:val="center"/>
          </w:tcPr>
          <w:p>
            <w:pPr>
              <w:spacing w:before="0" w:after="0"/>
              <w:jc w:val="left"/>
            </w:pPr>
            <w:r>
              <w:rPr>
                <w:sz w:val="18"/>
                <w:szCs w:val="18"/>
              </w:rPr>
              <w:t xml:space="preserve">Nimbus Coffee Riverside Properties LLC</w:t>
            </w:r>
          </w:p>
        </w:tc>
        <w:tc>
          <w:tcPr>
            <w:tcW w:w="1300" w:type="dxa"/>
            <w:vAlign w:val="center"/>
          </w:tcPr>
          <w:p>
            <w:pPr>
              <w:spacing w:before="0" w:after="0"/>
              <w:jc w:val="left"/>
            </w:pPr>
            <w:r>
              <w:rPr>
                <w:sz w:val="18"/>
                <w:szCs w:val="18"/>
              </w:rPr>
              <w:t xml:space="preserve">Riverside</w:t>
            </w:r>
          </w:p>
        </w:tc>
        <w:tc>
          <w:tcPr>
            <w:tcW w:w="1300" w:type="dxa"/>
            <w:vAlign w:val="center"/>
          </w:tcPr>
          <w:p>
            <w:pPr>
              <w:spacing w:before="0" w:after="0"/>
              <w:jc w:val="right"/>
            </w:pPr>
            <w:r>
              <w:rPr>
                <w:sz w:val="18"/>
                <w:szCs w:val="18"/>
              </w:rPr>
              <w:t xml:space="preserve">373</w:t>
            </w:r>
          </w:p>
        </w:tc>
        <w:tc>
          <w:tcPr>
            <w:tcW w:w="1600" w:type="dxa"/>
            <w:vAlign w:val="center"/>
          </w:tcPr>
          <w:p>
            <w:pPr>
              <w:spacing w:before="0" w:after="0"/>
              <w:jc w:val="left"/>
            </w:pPr>
            <w:r>
              <w:rPr>
                <w:sz w:val="18"/>
                <w:szCs w:val="18"/>
              </w:rPr>
              <w:t xml:space="preserve">Real estate holding</w:t>
            </w:r>
          </w:p>
        </w:tc>
        <w:tc>
          <w:tcPr>
            <w:tcW w:w="1100" w:type="dxa"/>
            <w:vAlign w:val="center"/>
          </w:tcPr>
          <w:p>
            <w:pPr>
              <w:spacing w:before="0" w:after="0"/>
              <w:jc w:val="right"/>
            </w:pPr>
            <w:r>
              <w:rPr>
                <w:sz w:val="18"/>
                <w:szCs w:val="18"/>
              </w:rPr>
              <w:t xml:space="preserve">100.0</w:t>
            </w:r>
          </w:p>
        </w:tc>
        <w:tc>
          <w:tcPr>
            <w:tcW w:w="1500" w:type="dxa"/>
            <w:vAlign w:val="center"/>
          </w:tcPr>
          <w:p>
            <w:pPr>
              <w:spacing w:before="0" w:after="0"/>
              <w:jc w:val="left"/>
            </w:pPr>
            <w:r>
              <w:rPr>
                <w:sz w:val="18"/>
                <w:szCs w:val="18"/>
              </w:rPr>
              <w:t xml:space="preserve">Officers serve concurrently</w:t>
            </w:r>
          </w:p>
        </w:tc>
      </w:tr>
      <w:tr>
        <w:tc>
          <w:tcPr>
            <w:tcW w:w="2272" w:type="dxa"/>
            <w:vAlign w:val="center"/>
          </w:tcPr>
          <w:p>
            <w:pPr>
              <w:spacing w:before="0" w:after="0"/>
              <w:jc w:val="left"/>
            </w:pPr>
            <w:r>
              <w:rPr>
                <w:sz w:val="18"/>
                <w:szCs w:val="18"/>
              </w:rPr>
              <w:t xml:space="preserve">Nimbus Coffee Harborview Properties LLC</w:t>
            </w:r>
          </w:p>
        </w:tc>
        <w:tc>
          <w:tcPr>
            <w:tcW w:w="1300" w:type="dxa"/>
            <w:vAlign w:val="center"/>
          </w:tcPr>
          <w:p>
            <w:pPr>
              <w:spacing w:before="0" w:after="0"/>
              <w:jc w:val="left"/>
            </w:pPr>
            <w:r>
              <w:rPr>
                <w:sz w:val="18"/>
                <w:szCs w:val="18"/>
              </w:rPr>
              <w:t xml:space="preserve">Harborview</w:t>
            </w:r>
          </w:p>
        </w:tc>
        <w:tc>
          <w:tcPr>
            <w:tcW w:w="1300" w:type="dxa"/>
            <w:vAlign w:val="center"/>
          </w:tcPr>
          <w:p>
            <w:pPr>
              <w:spacing w:before="0" w:after="0"/>
              <w:jc w:val="right"/>
            </w:pPr>
            <w:r>
              <w:rPr>
                <w:sz w:val="18"/>
                <w:szCs w:val="18"/>
              </w:rPr>
              <w:t xml:space="preserve">458</w:t>
            </w:r>
          </w:p>
        </w:tc>
        <w:tc>
          <w:tcPr>
            <w:tcW w:w="1600" w:type="dxa"/>
            <w:vAlign w:val="center"/>
          </w:tcPr>
          <w:p>
            <w:pPr>
              <w:spacing w:before="0" w:after="0"/>
              <w:jc w:val="left"/>
            </w:pPr>
            <w:r>
              <w:rPr>
                <w:sz w:val="18"/>
                <w:szCs w:val="18"/>
              </w:rPr>
              <w:t xml:space="preserve">Real estate holding</w:t>
            </w:r>
          </w:p>
        </w:tc>
        <w:tc>
          <w:tcPr>
            <w:tcW w:w="1100" w:type="dxa"/>
            <w:vAlign w:val="center"/>
          </w:tcPr>
          <w:p>
            <w:pPr>
              <w:spacing w:before="0" w:after="0"/>
              <w:jc w:val="right"/>
            </w:pPr>
            <w:r>
              <w:rPr>
                <w:sz w:val="18"/>
                <w:szCs w:val="18"/>
              </w:rPr>
              <w:t xml:space="preserve">100.0</w:t>
            </w:r>
          </w:p>
        </w:tc>
        <w:tc>
          <w:tcPr>
            <w:tcW w:w="1500" w:type="dxa"/>
            <w:vAlign w:val="center"/>
          </w:tcPr>
          <w:p>
            <w:pPr>
              <w:spacing w:before="0" w:after="0"/>
              <w:jc w:val="left"/>
            </w:pPr>
            <w:r>
              <w:rPr>
                <w:sz w:val="18"/>
                <w:szCs w:val="18"/>
              </w:rPr>
              <w:t xml:space="preserve">Officers serve concurrently</w:t>
            </w:r>
          </w:p>
        </w:tc>
      </w:tr>
      <w:tr>
        <w:tc>
          <w:tcPr>
            <w:tcW w:w="2272" w:type="dxa"/>
            <w:vAlign w:val="center"/>
          </w:tcPr>
          <w:p>
            <w:pPr>
              <w:spacing w:before="0" w:after="0"/>
              <w:jc w:val="left"/>
            </w:pPr>
            <w:r>
              <w:rPr>
                <w:sz w:val="18"/>
                <w:szCs w:val="18"/>
              </w:rPr>
              <w:t xml:space="preserve">Nimbus Coffee Northfield Roasting LLC</w:t>
            </w:r>
          </w:p>
        </w:tc>
        <w:tc>
          <w:tcPr>
            <w:tcW w:w="1300" w:type="dxa"/>
            <w:vAlign w:val="center"/>
          </w:tcPr>
          <w:p>
            <w:pPr>
              <w:spacing w:before="0" w:after="0"/>
              <w:jc w:val="left"/>
            </w:pPr>
            <w:r>
              <w:rPr>
                <w:sz w:val="18"/>
                <w:szCs w:val="18"/>
              </w:rPr>
              <w:t xml:space="preserve">Northfield</w:t>
            </w:r>
          </w:p>
        </w:tc>
        <w:tc>
          <w:tcPr>
            <w:tcW w:w="1300" w:type="dxa"/>
            <w:vAlign w:val="center"/>
          </w:tcPr>
          <w:p>
            <w:pPr>
              <w:spacing w:before="0" w:after="0"/>
              <w:jc w:val="right"/>
            </w:pPr>
            <w:r>
              <w:rPr>
                <w:sz w:val="18"/>
                <w:szCs w:val="18"/>
              </w:rPr>
              <w:t xml:space="preserve">482</w:t>
            </w:r>
          </w:p>
        </w:tc>
        <w:tc>
          <w:tcPr>
            <w:tcW w:w="1600" w:type="dxa"/>
            <w:vAlign w:val="center"/>
          </w:tcPr>
          <w:p>
            <w:pPr>
              <w:spacing w:before="0" w:after="0"/>
              <w:jc w:val="left"/>
            </w:pPr>
            <w:r>
              <w:rPr>
                <w:sz w:val="18"/>
                <w:szCs w:val="18"/>
              </w:rPr>
              <w:t xml:space="preserve">Coffee roasting</w:t>
            </w:r>
          </w:p>
        </w:tc>
        <w:tc>
          <w:tcPr>
            <w:tcW w:w="1100" w:type="dxa"/>
            <w:vAlign w:val="center"/>
          </w:tcPr>
          <w:p>
            <w:pPr>
              <w:spacing w:before="0" w:after="0"/>
              <w:jc w:val="right"/>
            </w:pPr>
            <w:r>
              <w:rPr>
                <w:sz w:val="18"/>
                <w:szCs w:val="18"/>
              </w:rPr>
              <w:t xml:space="preserve">100.0</w:t>
            </w:r>
          </w:p>
        </w:tc>
        <w:tc>
          <w:tcPr>
            <w:tcW w:w="1500" w:type="dxa"/>
            <w:vAlign w:val="center"/>
          </w:tcPr>
          <w:p>
            <w:pPr>
              <w:spacing w:before="0" w:after="0"/>
              <w:jc w:val="left"/>
            </w:pPr>
            <w:r>
              <w:rPr>
                <w:sz w:val="18"/>
                <w:szCs w:val="18"/>
              </w:rPr>
              <w:t xml:space="preserve">Officers serve concurrently</w:t>
            </w:r>
          </w:p>
        </w:tc>
      </w:tr>
      <w:tr>
        <w:tc>
          <w:tcPr>
            <w:tcW w:w="2272" w:type="dxa"/>
            <w:vAlign w:val="center"/>
          </w:tcPr>
          <w:p>
            <w:pPr>
              <w:spacing w:before="0" w:after="0"/>
              <w:jc w:val="left"/>
            </w:pPr>
            <w:r>
              <w:rPr>
                <w:sz w:val="18"/>
                <w:szCs w:val="18"/>
              </w:rPr>
              <w:t xml:space="preserve">Nimbus Coffee Eastbay Roasting LLC</w:t>
            </w:r>
          </w:p>
        </w:tc>
        <w:tc>
          <w:tcPr>
            <w:tcW w:w="1300" w:type="dxa"/>
            <w:vAlign w:val="center"/>
          </w:tcPr>
          <w:p>
            <w:pPr>
              <w:spacing w:before="0" w:after="0"/>
              <w:jc w:val="left"/>
            </w:pPr>
            <w:r>
              <w:rPr>
                <w:sz w:val="18"/>
                <w:szCs w:val="18"/>
              </w:rPr>
              <w:t xml:space="preserve">Eastbay</w:t>
            </w:r>
          </w:p>
        </w:tc>
        <w:tc>
          <w:tcPr>
            <w:tcW w:w="1300" w:type="dxa"/>
            <w:vAlign w:val="center"/>
          </w:tcPr>
          <w:p>
            <w:pPr>
              <w:spacing w:before="0" w:after="0"/>
              <w:jc w:val="right"/>
            </w:pPr>
            <w:r>
              <w:rPr>
                <w:sz w:val="18"/>
                <w:szCs w:val="18"/>
              </w:rPr>
              <w:t xml:space="preserve">232</w:t>
            </w:r>
          </w:p>
        </w:tc>
        <w:tc>
          <w:tcPr>
            <w:tcW w:w="1600" w:type="dxa"/>
            <w:vAlign w:val="center"/>
          </w:tcPr>
          <w:p>
            <w:pPr>
              <w:spacing w:before="0" w:after="0"/>
              <w:jc w:val="left"/>
            </w:pPr>
            <w:r>
              <w:rPr>
                <w:sz w:val="18"/>
                <w:szCs w:val="18"/>
              </w:rPr>
              <w:t xml:space="preserve">Coffee roasting</w:t>
            </w:r>
          </w:p>
        </w:tc>
        <w:tc>
          <w:tcPr>
            <w:tcW w:w="1100" w:type="dxa"/>
            <w:vAlign w:val="center"/>
          </w:tcPr>
          <w:p>
            <w:pPr>
              <w:spacing w:before="0" w:after="0"/>
              <w:jc w:val="right"/>
            </w:pPr>
            <w:r>
              <w:rPr>
                <w:sz w:val="18"/>
                <w:szCs w:val="18"/>
              </w:rPr>
              <w:t xml:space="preserve">100.0</w:t>
            </w:r>
          </w:p>
        </w:tc>
        <w:tc>
          <w:tcPr>
            <w:tcW w:w="1500" w:type="dxa"/>
            <w:vAlign w:val="center"/>
          </w:tcPr>
          <w:p>
            <w:pPr>
              <w:spacing w:before="0" w:after="0"/>
              <w:jc w:val="left"/>
            </w:pPr>
            <w:r>
              <w:rPr>
                <w:sz w:val="18"/>
                <w:szCs w:val="18"/>
              </w:rPr>
              <w:t xml:space="preserve">Officers serve concurrently</w:t>
            </w:r>
          </w:p>
        </w:tc>
      </w:tr>
      <w:tr>
        <w:tc>
          <w:tcPr>
            <w:tcW w:w="2272" w:type="dxa"/>
            <w:vAlign w:val="center"/>
          </w:tcPr>
          <w:p>
            <w:pPr>
              <w:spacing w:before="0" w:after="0"/>
              <w:jc w:val="left"/>
            </w:pPr>
            <w:r>
              <w:rPr>
                <w:sz w:val="18"/>
                <w:szCs w:val="18"/>
              </w:rPr>
              <w:t xml:space="preserve">Nimbus Coffee Southport Roasting LLC</w:t>
            </w:r>
          </w:p>
        </w:tc>
        <w:tc>
          <w:tcPr>
            <w:tcW w:w="1300" w:type="dxa"/>
            <w:vAlign w:val="center"/>
          </w:tcPr>
          <w:p>
            <w:pPr>
              <w:spacing w:before="0" w:after="0"/>
              <w:jc w:val="left"/>
            </w:pPr>
            <w:r>
              <w:rPr>
                <w:sz w:val="18"/>
                <w:szCs w:val="18"/>
              </w:rPr>
              <w:t xml:space="preserve">Southport</w:t>
            </w:r>
          </w:p>
        </w:tc>
        <w:tc>
          <w:tcPr>
            <w:tcW w:w="1300" w:type="dxa"/>
            <w:vAlign w:val="center"/>
          </w:tcPr>
          <w:p>
            <w:pPr>
              <w:spacing w:before="0" w:after="0"/>
              <w:jc w:val="right"/>
            </w:pPr>
            <w:r>
              <w:rPr>
                <w:sz w:val="18"/>
                <w:szCs w:val="18"/>
              </w:rPr>
              <w:t xml:space="preserve">323</w:t>
            </w:r>
          </w:p>
        </w:tc>
        <w:tc>
          <w:tcPr>
            <w:tcW w:w="1600" w:type="dxa"/>
            <w:vAlign w:val="center"/>
          </w:tcPr>
          <w:p>
            <w:pPr>
              <w:spacing w:before="0" w:after="0"/>
              <w:jc w:val="left"/>
            </w:pPr>
            <w:r>
              <w:rPr>
                <w:sz w:val="18"/>
                <w:szCs w:val="18"/>
              </w:rPr>
              <w:t xml:space="preserve">Coffee roasting</w:t>
            </w:r>
          </w:p>
        </w:tc>
        <w:tc>
          <w:tcPr>
            <w:tcW w:w="1100" w:type="dxa"/>
            <w:vAlign w:val="center"/>
          </w:tcPr>
          <w:p>
            <w:pPr>
              <w:spacing w:before="0" w:after="0"/>
              <w:jc w:val="right"/>
            </w:pPr>
            <w:r>
              <w:rPr>
                <w:sz w:val="18"/>
                <w:szCs w:val="18"/>
              </w:rPr>
              <w:t xml:space="preserve">100.0</w:t>
            </w:r>
          </w:p>
        </w:tc>
        <w:tc>
          <w:tcPr>
            <w:tcW w:w="1500" w:type="dxa"/>
            <w:vAlign w:val="center"/>
          </w:tcPr>
          <w:p>
            <w:pPr>
              <w:spacing w:before="0" w:after="0"/>
              <w:jc w:val="left"/>
            </w:pPr>
            <w:r>
              <w:rPr>
                <w:sz w:val="18"/>
                <w:szCs w:val="18"/>
              </w:rPr>
              <w:t xml:space="preserve">Officers serve concurrently</w:t>
            </w:r>
          </w:p>
        </w:tc>
      </w:tr>
      <w:tr>
        <w:tc>
          <w:tcPr>
            <w:tcW w:w="2272" w:type="dxa"/>
            <w:vAlign w:val="center"/>
          </w:tcPr>
          <w:p>
            <w:pPr>
              <w:spacing w:before="0" w:after="0"/>
              <w:jc w:val="left"/>
            </w:pPr>
            <w:r>
              <w:rPr>
                <w:sz w:val="18"/>
                <w:szCs w:val="18"/>
              </w:rPr>
              <w:t xml:space="preserve">Nimbus Coffee Westridge Roasting LLC</w:t>
            </w:r>
          </w:p>
        </w:tc>
        <w:tc>
          <w:tcPr>
            <w:tcW w:w="1300" w:type="dxa"/>
            <w:vAlign w:val="center"/>
          </w:tcPr>
          <w:p>
            <w:pPr>
              <w:spacing w:before="0" w:after="0"/>
              <w:jc w:val="left"/>
            </w:pPr>
            <w:r>
              <w:rPr>
                <w:sz w:val="18"/>
                <w:szCs w:val="18"/>
              </w:rPr>
              <w:t xml:space="preserve">Westridge</w:t>
            </w:r>
          </w:p>
        </w:tc>
        <w:tc>
          <w:tcPr>
            <w:tcW w:w="1300" w:type="dxa"/>
            <w:vAlign w:val="center"/>
          </w:tcPr>
          <w:p>
            <w:pPr>
              <w:spacing w:before="0" w:after="0"/>
              <w:jc w:val="right"/>
            </w:pPr>
            <w:r>
              <w:rPr>
                <w:sz w:val="18"/>
                <w:szCs w:val="18"/>
              </w:rPr>
              <w:t xml:space="preserve">347</w:t>
            </w:r>
          </w:p>
        </w:tc>
        <w:tc>
          <w:tcPr>
            <w:tcW w:w="1600" w:type="dxa"/>
            <w:vAlign w:val="center"/>
          </w:tcPr>
          <w:p>
            <w:pPr>
              <w:spacing w:before="0" w:after="0"/>
              <w:jc w:val="left"/>
            </w:pPr>
            <w:r>
              <w:rPr>
                <w:sz w:val="18"/>
                <w:szCs w:val="18"/>
              </w:rPr>
              <w:t xml:space="preserve">Coffee roasting</w:t>
            </w:r>
          </w:p>
        </w:tc>
        <w:tc>
          <w:tcPr>
            <w:tcW w:w="1100" w:type="dxa"/>
            <w:vAlign w:val="center"/>
          </w:tcPr>
          <w:p>
            <w:pPr>
              <w:spacing w:before="0" w:after="0"/>
              <w:jc w:val="right"/>
            </w:pPr>
            <w:r>
              <w:rPr>
                <w:sz w:val="18"/>
                <w:szCs w:val="18"/>
              </w:rPr>
              <w:t xml:space="preserve">100.0</w:t>
            </w:r>
          </w:p>
        </w:tc>
        <w:tc>
          <w:tcPr>
            <w:tcW w:w="1500" w:type="dxa"/>
            <w:vAlign w:val="center"/>
          </w:tcPr>
          <w:p>
            <w:pPr>
              <w:spacing w:before="0" w:after="0"/>
              <w:jc w:val="left"/>
            </w:pPr>
            <w:r>
              <w:rPr>
                <w:sz w:val="18"/>
                <w:szCs w:val="18"/>
              </w:rPr>
              <w:t xml:space="preserve">Officers serve concurrently</w:t>
            </w:r>
          </w:p>
        </w:tc>
      </w:tr>
      <w:tr>
        <w:tc>
          <w:tcPr>
            <w:tcW w:w="2272" w:type="dxa"/>
            <w:vAlign w:val="center"/>
          </w:tcPr>
          <w:p>
            <w:pPr>
              <w:spacing w:before="0" w:after="0"/>
              <w:jc w:val="left"/>
            </w:pPr>
            <w:r>
              <w:rPr>
                <w:sz w:val="18"/>
                <w:szCs w:val="18"/>
              </w:rPr>
              <w:t xml:space="preserve">Nimbus Coffee Lakeside Roasting LLC</w:t>
            </w:r>
          </w:p>
        </w:tc>
        <w:tc>
          <w:tcPr>
            <w:tcW w:w="1300" w:type="dxa"/>
            <w:vAlign w:val="center"/>
          </w:tcPr>
          <w:p>
            <w:pPr>
              <w:spacing w:before="0" w:after="0"/>
              <w:jc w:val="left"/>
            </w:pPr>
            <w:r>
              <w:rPr>
                <w:sz w:val="18"/>
                <w:szCs w:val="18"/>
              </w:rPr>
              <w:t xml:space="preserve">Lakeside</w:t>
            </w:r>
          </w:p>
        </w:tc>
        <w:tc>
          <w:tcPr>
            <w:tcW w:w="1300" w:type="dxa"/>
            <w:vAlign w:val="center"/>
          </w:tcPr>
          <w:p>
            <w:pPr>
              <w:spacing w:before="0" w:after="0"/>
              <w:jc w:val="right"/>
            </w:pPr>
            <w:r>
              <w:rPr>
                <w:sz w:val="18"/>
                <w:szCs w:val="18"/>
              </w:rPr>
              <w:t xml:space="preserve">453</w:t>
            </w:r>
          </w:p>
        </w:tc>
        <w:tc>
          <w:tcPr>
            <w:tcW w:w="1600" w:type="dxa"/>
            <w:vAlign w:val="center"/>
          </w:tcPr>
          <w:p>
            <w:pPr>
              <w:spacing w:before="0" w:after="0"/>
              <w:jc w:val="left"/>
            </w:pPr>
            <w:r>
              <w:rPr>
                <w:sz w:val="18"/>
                <w:szCs w:val="18"/>
              </w:rPr>
              <w:t xml:space="preserve">Coffee roasting</w:t>
            </w:r>
          </w:p>
        </w:tc>
        <w:tc>
          <w:tcPr>
            <w:tcW w:w="1100" w:type="dxa"/>
            <w:vAlign w:val="center"/>
          </w:tcPr>
          <w:p>
            <w:pPr>
              <w:spacing w:before="0" w:after="0"/>
              <w:jc w:val="right"/>
            </w:pPr>
            <w:r>
              <w:rPr>
                <w:sz w:val="18"/>
                <w:szCs w:val="18"/>
              </w:rPr>
              <w:t xml:space="preserve">54.5</w:t>
            </w:r>
          </w:p>
        </w:tc>
        <w:tc>
          <w:tcPr>
            <w:tcW w:w="1500" w:type="dxa"/>
            <w:vAlign w:val="center"/>
          </w:tcPr>
          <w:p>
            <w:pPr>
              <w:spacing w:before="0" w:after="0"/>
              <w:jc w:val="left"/>
            </w:pPr>
            <w:r>
              <w:rPr>
                <w:sz w:val="18"/>
                <w:szCs w:val="18"/>
              </w:rPr>
              <w:t xml:space="preserve">Officers serve concurrently</w:t>
            </w:r>
          </w:p>
        </w:tc>
      </w:tr>
      <w:tr>
        <w:tc>
          <w:tcPr>
            <w:tcW w:w="2272" w:type="dxa"/>
            <w:vAlign w:val="center"/>
          </w:tcPr>
          <w:p>
            <w:pPr>
              <w:spacing w:before="0" w:after="0"/>
              <w:jc w:val="left"/>
            </w:pPr>
            <w:r>
              <w:rPr>
                <w:sz w:val="18"/>
                <w:szCs w:val="18"/>
              </w:rPr>
              <w:t xml:space="preserve">Nimbus Coffee Hillcrest Roasting LLC</w:t>
            </w:r>
          </w:p>
        </w:tc>
        <w:tc>
          <w:tcPr>
            <w:tcW w:w="1300" w:type="dxa"/>
            <w:vAlign w:val="center"/>
          </w:tcPr>
          <w:p>
            <w:pPr>
              <w:spacing w:before="0" w:after="0"/>
              <w:jc w:val="left"/>
            </w:pPr>
            <w:r>
              <w:rPr>
                <w:sz w:val="18"/>
                <w:szCs w:val="18"/>
              </w:rPr>
              <w:t xml:space="preserve">Hillcrest</w:t>
            </w:r>
          </w:p>
        </w:tc>
        <w:tc>
          <w:tcPr>
            <w:tcW w:w="1300" w:type="dxa"/>
            <w:vAlign w:val="center"/>
          </w:tcPr>
          <w:p>
            <w:pPr>
              <w:spacing w:before="0" w:after="0"/>
              <w:jc w:val="right"/>
            </w:pPr>
            <w:r>
              <w:rPr>
                <w:sz w:val="18"/>
                <w:szCs w:val="18"/>
              </w:rPr>
              <w:t xml:space="preserve">500</w:t>
            </w:r>
          </w:p>
        </w:tc>
        <w:tc>
          <w:tcPr>
            <w:tcW w:w="1600" w:type="dxa"/>
            <w:vAlign w:val="center"/>
          </w:tcPr>
          <w:p>
            <w:pPr>
              <w:spacing w:before="0" w:after="0"/>
              <w:jc w:val="left"/>
            </w:pPr>
            <w:r>
              <w:rPr>
                <w:sz w:val="18"/>
                <w:szCs w:val="18"/>
              </w:rPr>
              <w:t xml:space="preserve">Coffee roasting</w:t>
            </w:r>
          </w:p>
        </w:tc>
        <w:tc>
          <w:tcPr>
            <w:tcW w:w="1100" w:type="dxa"/>
            <w:vAlign w:val="center"/>
          </w:tcPr>
          <w:p>
            <w:pPr>
              <w:spacing w:before="0" w:after="0"/>
              <w:jc w:val="right"/>
            </w:pPr>
            <w:r>
              <w:rPr>
                <w:sz w:val="18"/>
                <w:szCs w:val="18"/>
              </w:rPr>
              <w:t xml:space="preserve">100.0</w:t>
            </w:r>
          </w:p>
        </w:tc>
        <w:tc>
          <w:tcPr>
            <w:tcW w:w="1500" w:type="dxa"/>
            <w:vAlign w:val="center"/>
          </w:tcPr>
          <w:p>
            <w:pPr>
              <w:spacing w:before="0" w:after="0"/>
              <w:jc w:val="left"/>
            </w:pPr>
            <w:r>
              <w:rPr>
                <w:sz w:val="18"/>
                <w:szCs w:val="18"/>
              </w:rPr>
              <w:t xml:space="preserve">Officers serve concurrently</w:t>
            </w:r>
          </w:p>
        </w:tc>
      </w:tr>
      <w:tr>
        <w:tc>
          <w:tcPr>
            <w:tcW w:w="2272" w:type="dxa"/>
            <w:vAlign w:val="center"/>
          </w:tcPr>
          <w:p>
            <w:pPr>
              <w:spacing w:before="0" w:after="0"/>
              <w:jc w:val="left"/>
            </w:pPr>
            <w:r>
              <w:rPr>
                <w:sz w:val="18"/>
                <w:szCs w:val="18"/>
              </w:rPr>
              <w:t xml:space="preserve">Nimbus Coffee Riverside Roasting LLC</w:t>
            </w:r>
          </w:p>
        </w:tc>
        <w:tc>
          <w:tcPr>
            <w:tcW w:w="1300" w:type="dxa"/>
            <w:vAlign w:val="center"/>
          </w:tcPr>
          <w:p>
            <w:pPr>
              <w:spacing w:before="0" w:after="0"/>
              <w:jc w:val="left"/>
            </w:pPr>
            <w:r>
              <w:rPr>
                <w:sz w:val="18"/>
                <w:szCs w:val="18"/>
              </w:rPr>
              <w:t xml:space="preserve">Riverside</w:t>
            </w:r>
          </w:p>
        </w:tc>
        <w:tc>
          <w:tcPr>
            <w:tcW w:w="1300" w:type="dxa"/>
            <w:vAlign w:val="center"/>
          </w:tcPr>
          <w:p>
            <w:pPr>
              <w:spacing w:before="0" w:after="0"/>
              <w:jc w:val="right"/>
            </w:pPr>
            <w:r>
              <w:rPr>
                <w:sz w:val="18"/>
                <w:szCs w:val="18"/>
              </w:rPr>
              <w:t xml:space="preserve">264</w:t>
            </w:r>
          </w:p>
        </w:tc>
        <w:tc>
          <w:tcPr>
            <w:tcW w:w="1600" w:type="dxa"/>
            <w:vAlign w:val="center"/>
          </w:tcPr>
          <w:p>
            <w:pPr>
              <w:spacing w:before="0" w:after="0"/>
              <w:jc w:val="left"/>
            </w:pPr>
            <w:r>
              <w:rPr>
                <w:sz w:val="18"/>
                <w:szCs w:val="18"/>
              </w:rPr>
              <w:t xml:space="preserve">Coffee roasting</w:t>
            </w:r>
          </w:p>
        </w:tc>
        <w:tc>
          <w:tcPr>
            <w:tcW w:w="1100" w:type="dxa"/>
            <w:vAlign w:val="center"/>
          </w:tcPr>
          <w:p>
            <w:pPr>
              <w:spacing w:before="0" w:after="0"/>
              <w:jc w:val="right"/>
            </w:pPr>
            <w:r>
              <w:rPr>
                <w:sz w:val="18"/>
                <w:szCs w:val="18"/>
              </w:rPr>
              <w:t xml:space="preserve">100.0</w:t>
            </w:r>
          </w:p>
        </w:tc>
        <w:tc>
          <w:tcPr>
            <w:tcW w:w="1500" w:type="dxa"/>
            <w:vAlign w:val="center"/>
          </w:tcPr>
          <w:p>
            <w:pPr>
              <w:spacing w:before="0" w:after="0"/>
              <w:jc w:val="left"/>
            </w:pPr>
            <w:r>
              <w:rPr>
                <w:sz w:val="18"/>
                <w:szCs w:val="18"/>
              </w:rPr>
              <w:t xml:space="preserve">Officers serve concurrently</w:t>
            </w:r>
          </w:p>
        </w:tc>
      </w:tr>
      <w:tr>
        <w:tc>
          <w:tcPr>
            <w:tcW w:w="2272" w:type="dxa"/>
            <w:vAlign w:val="center"/>
          </w:tcPr>
          <w:p>
            <w:pPr>
              <w:spacing w:before="0" w:after="0"/>
              <w:jc w:val="left"/>
            </w:pPr>
            <w:r>
              <w:rPr>
                <w:sz w:val="18"/>
                <w:szCs w:val="18"/>
              </w:rPr>
              <w:t xml:space="preserve">Nimbus Coffee Harborview Roasting LLC</w:t>
            </w:r>
          </w:p>
        </w:tc>
        <w:tc>
          <w:tcPr>
            <w:tcW w:w="1300" w:type="dxa"/>
            <w:vAlign w:val="center"/>
          </w:tcPr>
          <w:p>
            <w:pPr>
              <w:spacing w:before="0" w:after="0"/>
              <w:jc w:val="left"/>
            </w:pPr>
            <w:r>
              <w:rPr>
                <w:sz w:val="18"/>
                <w:szCs w:val="18"/>
              </w:rPr>
              <w:t xml:space="preserve">Harborview</w:t>
            </w:r>
          </w:p>
        </w:tc>
        <w:tc>
          <w:tcPr>
            <w:tcW w:w="1300" w:type="dxa"/>
            <w:vAlign w:val="center"/>
          </w:tcPr>
          <w:p>
            <w:pPr>
              <w:spacing w:before="0" w:after="0"/>
              <w:jc w:val="right"/>
            </w:pPr>
            <w:r>
              <w:rPr>
                <w:sz w:val="18"/>
                <w:szCs w:val="18"/>
              </w:rPr>
              <w:t xml:space="preserve">286</w:t>
            </w:r>
          </w:p>
        </w:tc>
        <w:tc>
          <w:tcPr>
            <w:tcW w:w="1600" w:type="dxa"/>
            <w:vAlign w:val="center"/>
          </w:tcPr>
          <w:p>
            <w:pPr>
              <w:spacing w:before="0" w:after="0"/>
              <w:jc w:val="left"/>
            </w:pPr>
            <w:r>
              <w:rPr>
                <w:sz w:val="18"/>
                <w:szCs w:val="18"/>
              </w:rPr>
              <w:t xml:space="preserve">Coffee roasting</w:t>
            </w:r>
          </w:p>
        </w:tc>
        <w:tc>
          <w:tcPr>
            <w:tcW w:w="1100" w:type="dxa"/>
            <w:vAlign w:val="center"/>
          </w:tcPr>
          <w:p>
            <w:pPr>
              <w:spacing w:before="0" w:after="0"/>
              <w:jc w:val="right"/>
            </w:pPr>
            <w:r>
              <w:rPr>
                <w:sz w:val="18"/>
                <w:szCs w:val="18"/>
              </w:rPr>
              <w:t xml:space="preserve">100.0</w:t>
            </w:r>
          </w:p>
        </w:tc>
        <w:tc>
          <w:tcPr>
            <w:tcW w:w="1500" w:type="dxa"/>
            <w:vAlign w:val="center"/>
          </w:tcPr>
          <w:p>
            <w:pPr>
              <w:spacing w:before="0" w:after="0"/>
              <w:jc w:val="left"/>
            </w:pPr>
            <w:r>
              <w:rPr>
                <w:sz w:val="18"/>
                <w:szCs w:val="18"/>
              </w:rPr>
              <w:t xml:space="preserve">Officers serve concurrently</w:t>
            </w:r>
          </w:p>
        </w:tc>
      </w:tr>
      <w:tr>
        <w:tc>
          <w:tcPr>
            <w:tcW w:w="2272" w:type="dxa"/>
            <w:vAlign w:val="center"/>
          </w:tcPr>
          <w:p>
            <w:pPr>
              <w:spacing w:before="0" w:after="0"/>
              <w:jc w:val="left"/>
            </w:pPr>
            <w:r>
              <w:rPr>
                <w:sz w:val="18"/>
                <w:szCs w:val="18"/>
              </w:rPr>
              <w:t xml:space="preserve">Nimbus Coffee Northfield Logistics LLC</w:t>
            </w:r>
          </w:p>
        </w:tc>
        <w:tc>
          <w:tcPr>
            <w:tcW w:w="1300" w:type="dxa"/>
            <w:vAlign w:val="center"/>
          </w:tcPr>
          <w:p>
            <w:pPr>
              <w:spacing w:before="0" w:after="0"/>
              <w:jc w:val="left"/>
            </w:pPr>
            <w:r>
              <w:rPr>
                <w:sz w:val="18"/>
                <w:szCs w:val="18"/>
              </w:rPr>
              <w:t xml:space="preserve">Northfield</w:t>
            </w:r>
          </w:p>
        </w:tc>
        <w:tc>
          <w:tcPr>
            <w:tcW w:w="1300" w:type="dxa"/>
            <w:vAlign w:val="center"/>
          </w:tcPr>
          <w:p>
            <w:pPr>
              <w:spacing w:before="0" w:after="0"/>
              <w:jc w:val="right"/>
            </w:pPr>
            <w:r>
              <w:rPr>
                <w:sz w:val="18"/>
                <w:szCs w:val="18"/>
              </w:rPr>
              <w:t xml:space="preserve">365</w:t>
            </w:r>
          </w:p>
        </w:tc>
        <w:tc>
          <w:tcPr>
            <w:tcW w:w="1600" w:type="dxa"/>
            <w:vAlign w:val="center"/>
          </w:tcPr>
          <w:p>
            <w:pPr>
              <w:spacing w:before="0" w:after="0"/>
              <w:jc w:val="left"/>
            </w:pPr>
            <w:r>
              <w:rPr>
                <w:sz w:val="18"/>
                <w:szCs w:val="18"/>
              </w:rPr>
              <w:t xml:space="preserve">Distribution</w:t>
            </w:r>
          </w:p>
        </w:tc>
        <w:tc>
          <w:tcPr>
            <w:tcW w:w="1100" w:type="dxa"/>
            <w:vAlign w:val="center"/>
          </w:tcPr>
          <w:p>
            <w:pPr>
              <w:spacing w:before="0" w:after="0"/>
              <w:jc w:val="right"/>
            </w:pPr>
            <w:r>
              <w:rPr>
                <w:sz w:val="18"/>
                <w:szCs w:val="18"/>
              </w:rPr>
              <w:t xml:space="preserve">100.0</w:t>
            </w:r>
          </w:p>
        </w:tc>
        <w:tc>
          <w:tcPr>
            <w:tcW w:w="1500" w:type="dxa"/>
            <w:vAlign w:val="center"/>
          </w:tcPr>
          <w:p>
            <w:pPr>
              <w:spacing w:before="0" w:after="0"/>
              <w:jc w:val="left"/>
            </w:pPr>
            <w:r>
              <w:rPr>
                <w:sz w:val="18"/>
                <w:szCs w:val="18"/>
              </w:rPr>
              <w:t xml:space="preserve">Officers serve concurrently</w:t>
            </w:r>
          </w:p>
        </w:tc>
      </w:tr>
      <w:tr>
        <w:tc>
          <w:tcPr>
            <w:tcW w:w="2272" w:type="dxa"/>
            <w:vAlign w:val="center"/>
          </w:tcPr>
          <w:p>
            <w:pPr>
              <w:spacing w:before="0" w:after="0"/>
              <w:jc w:val="left"/>
            </w:pPr>
            <w:r>
              <w:rPr>
                <w:sz w:val="18"/>
                <w:szCs w:val="18"/>
              </w:rPr>
              <w:t xml:space="preserve">Nimbus Coffee Eastbay Logistics LLC</w:t>
            </w:r>
          </w:p>
        </w:tc>
        <w:tc>
          <w:tcPr>
            <w:tcW w:w="1300" w:type="dxa"/>
            <w:vAlign w:val="center"/>
          </w:tcPr>
          <w:p>
            <w:pPr>
              <w:spacing w:before="0" w:after="0"/>
              <w:jc w:val="left"/>
            </w:pPr>
            <w:r>
              <w:rPr>
                <w:sz w:val="18"/>
                <w:szCs w:val="18"/>
              </w:rPr>
              <w:t xml:space="preserve">Eastbay</w:t>
            </w:r>
          </w:p>
        </w:tc>
        <w:tc>
          <w:tcPr>
            <w:tcW w:w="1300" w:type="dxa"/>
            <w:vAlign w:val="center"/>
          </w:tcPr>
          <w:p>
            <w:pPr>
              <w:spacing w:before="0" w:after="0"/>
              <w:jc w:val="right"/>
            </w:pPr>
            <w:r>
              <w:rPr>
                <w:sz w:val="18"/>
                <w:szCs w:val="18"/>
              </w:rPr>
              <w:t xml:space="preserve">443</w:t>
            </w:r>
          </w:p>
        </w:tc>
        <w:tc>
          <w:tcPr>
            <w:tcW w:w="1600" w:type="dxa"/>
            <w:vAlign w:val="center"/>
          </w:tcPr>
          <w:p>
            <w:pPr>
              <w:spacing w:before="0" w:after="0"/>
              <w:jc w:val="left"/>
            </w:pPr>
            <w:r>
              <w:rPr>
                <w:sz w:val="18"/>
                <w:szCs w:val="18"/>
              </w:rPr>
              <w:t xml:space="preserve">Distribution</w:t>
            </w:r>
          </w:p>
        </w:tc>
        <w:tc>
          <w:tcPr>
            <w:tcW w:w="1100" w:type="dxa"/>
            <w:vAlign w:val="center"/>
          </w:tcPr>
          <w:p>
            <w:pPr>
              <w:spacing w:before="0" w:after="0"/>
              <w:jc w:val="right"/>
            </w:pPr>
            <w:r>
              <w:rPr>
                <w:sz w:val="18"/>
                <w:szCs w:val="18"/>
              </w:rPr>
              <w:t xml:space="preserve">100.0</w:t>
            </w:r>
          </w:p>
        </w:tc>
        <w:tc>
          <w:tcPr>
            <w:tcW w:w="1500" w:type="dxa"/>
            <w:vAlign w:val="center"/>
          </w:tcPr>
          <w:p>
            <w:pPr>
              <w:spacing w:before="0" w:after="0"/>
              <w:jc w:val="left"/>
            </w:pPr>
            <w:r>
              <w:rPr>
                <w:sz w:val="18"/>
                <w:szCs w:val="18"/>
              </w:rPr>
              <w:t xml:space="preserve">Officers serve concurrently</w:t>
            </w:r>
          </w:p>
        </w:tc>
      </w:tr>
      <w:tr>
        <w:tc>
          <w:tcPr>
            <w:tcW w:w="2272" w:type="dxa"/>
            <w:vAlign w:val="center"/>
          </w:tcPr>
          <w:p>
            <w:pPr>
              <w:spacing w:before="0" w:after="0"/>
              <w:jc w:val="left"/>
            </w:pPr>
            <w:r>
              <w:rPr>
                <w:sz w:val="18"/>
                <w:szCs w:val="18"/>
              </w:rPr>
              <w:t xml:space="preserve">Nimbus Coffee Southport Logistics LLC</w:t>
            </w:r>
          </w:p>
        </w:tc>
        <w:tc>
          <w:tcPr>
            <w:tcW w:w="1300" w:type="dxa"/>
            <w:vAlign w:val="center"/>
          </w:tcPr>
          <w:p>
            <w:pPr>
              <w:spacing w:before="0" w:after="0"/>
              <w:jc w:val="left"/>
            </w:pPr>
            <w:r>
              <w:rPr>
                <w:sz w:val="18"/>
                <w:szCs w:val="18"/>
              </w:rPr>
              <w:t xml:space="preserve">Southport</w:t>
            </w:r>
          </w:p>
        </w:tc>
        <w:tc>
          <w:tcPr>
            <w:tcW w:w="1300" w:type="dxa"/>
            <w:vAlign w:val="center"/>
          </w:tcPr>
          <w:p>
            <w:pPr>
              <w:spacing w:before="0" w:after="0"/>
              <w:jc w:val="right"/>
            </w:pPr>
            <w:r>
              <w:rPr>
                <w:sz w:val="18"/>
                <w:szCs w:val="18"/>
              </w:rPr>
              <w:t xml:space="preserve">514</w:t>
            </w:r>
          </w:p>
        </w:tc>
        <w:tc>
          <w:tcPr>
            <w:tcW w:w="1600" w:type="dxa"/>
            <w:vAlign w:val="center"/>
          </w:tcPr>
          <w:p>
            <w:pPr>
              <w:spacing w:before="0" w:after="0"/>
              <w:jc w:val="left"/>
            </w:pPr>
            <w:r>
              <w:rPr>
                <w:sz w:val="18"/>
                <w:szCs w:val="18"/>
              </w:rPr>
              <w:t xml:space="preserve">Distribution</w:t>
            </w:r>
          </w:p>
        </w:tc>
        <w:tc>
          <w:tcPr>
            <w:tcW w:w="1100" w:type="dxa"/>
            <w:vAlign w:val="center"/>
          </w:tcPr>
          <w:p>
            <w:pPr>
              <w:spacing w:before="0" w:after="0"/>
              <w:jc w:val="right"/>
            </w:pPr>
            <w:r>
              <w:rPr>
                <w:sz w:val="18"/>
                <w:szCs w:val="18"/>
              </w:rPr>
              <w:t xml:space="preserve">100.0</w:t>
            </w:r>
          </w:p>
        </w:tc>
        <w:tc>
          <w:tcPr>
            <w:tcW w:w="1500" w:type="dxa"/>
            <w:vAlign w:val="center"/>
          </w:tcPr>
          <w:p>
            <w:pPr>
              <w:spacing w:before="0" w:after="0"/>
              <w:jc w:val="left"/>
            </w:pPr>
            <w:r>
              <w:rPr>
                <w:sz w:val="18"/>
                <w:szCs w:val="18"/>
              </w:rPr>
              <w:t xml:space="preserve">Officers serve concurrently</w:t>
            </w:r>
          </w:p>
        </w:tc>
      </w:tr>
      <w:tr>
        <w:tc>
          <w:tcPr>
            <w:tcW w:w="2272" w:type="dxa"/>
            <w:vAlign w:val="center"/>
          </w:tcPr>
          <w:p>
            <w:pPr>
              <w:spacing w:before="0" w:after="0"/>
              <w:jc w:val="left"/>
            </w:pPr>
            <w:r>
              <w:rPr>
                <w:sz w:val="18"/>
                <w:szCs w:val="18"/>
              </w:rPr>
              <w:t xml:space="preserve">Nimbus Coffee Westridge Logistics LLC</w:t>
            </w:r>
          </w:p>
        </w:tc>
        <w:tc>
          <w:tcPr>
            <w:tcW w:w="1300" w:type="dxa"/>
            <w:vAlign w:val="center"/>
          </w:tcPr>
          <w:p>
            <w:pPr>
              <w:spacing w:before="0" w:after="0"/>
              <w:jc w:val="left"/>
            </w:pPr>
            <w:r>
              <w:rPr>
                <w:sz w:val="18"/>
                <w:szCs w:val="18"/>
              </w:rPr>
              <w:t xml:space="preserve">Westridge</w:t>
            </w:r>
          </w:p>
        </w:tc>
        <w:tc>
          <w:tcPr>
            <w:tcW w:w="1300" w:type="dxa"/>
            <w:vAlign w:val="center"/>
          </w:tcPr>
          <w:p>
            <w:pPr>
              <w:spacing w:before="0" w:after="0"/>
              <w:jc w:val="right"/>
            </w:pPr>
            <w:r>
              <w:rPr>
                <w:sz w:val="18"/>
                <w:szCs w:val="18"/>
              </w:rPr>
              <w:t xml:space="preserve">255</w:t>
            </w:r>
          </w:p>
        </w:tc>
        <w:tc>
          <w:tcPr>
            <w:tcW w:w="1600" w:type="dxa"/>
            <w:vAlign w:val="center"/>
          </w:tcPr>
          <w:p>
            <w:pPr>
              <w:spacing w:before="0" w:after="0"/>
              <w:jc w:val="left"/>
            </w:pPr>
            <w:r>
              <w:rPr>
                <w:sz w:val="18"/>
                <w:szCs w:val="18"/>
              </w:rPr>
              <w:t xml:space="preserve">Distribution</w:t>
            </w:r>
          </w:p>
        </w:tc>
        <w:tc>
          <w:tcPr>
            <w:tcW w:w="1100" w:type="dxa"/>
            <w:vAlign w:val="center"/>
          </w:tcPr>
          <w:p>
            <w:pPr>
              <w:spacing w:before="0" w:after="0"/>
              <w:jc w:val="right"/>
            </w:pPr>
            <w:r>
              <w:rPr>
                <w:sz w:val="18"/>
                <w:szCs w:val="18"/>
              </w:rPr>
              <w:t xml:space="preserve">87.6</w:t>
            </w:r>
          </w:p>
        </w:tc>
        <w:tc>
          <w:tcPr>
            <w:tcW w:w="1500" w:type="dxa"/>
            <w:vAlign w:val="center"/>
          </w:tcPr>
          <w:p>
            <w:pPr>
              <w:spacing w:before="0" w:after="0"/>
              <w:jc w:val="left"/>
            </w:pPr>
            <w:r>
              <w:rPr>
                <w:sz w:val="18"/>
                <w:szCs w:val="18"/>
              </w:rPr>
              <w:t xml:space="preserve">Officers serve concurrently</w:t>
            </w:r>
          </w:p>
        </w:tc>
      </w:tr>
      <w:tr>
        <w:tc>
          <w:tcPr>
            <w:tcW w:w="2272" w:type="dxa"/>
            <w:vAlign w:val="center"/>
          </w:tcPr>
          <w:p>
            <w:pPr>
              <w:spacing w:before="0" w:after="0"/>
              <w:jc w:val="left"/>
            </w:pPr>
            <w:r>
              <w:rPr>
                <w:sz w:val="18"/>
                <w:szCs w:val="18"/>
              </w:rPr>
              <w:t xml:space="preserve">Nimbus Coffee Lakeside Logistics LLC</w:t>
            </w:r>
          </w:p>
        </w:tc>
        <w:tc>
          <w:tcPr>
            <w:tcW w:w="1300" w:type="dxa"/>
            <w:vAlign w:val="center"/>
          </w:tcPr>
          <w:p>
            <w:pPr>
              <w:spacing w:before="0" w:after="0"/>
              <w:jc w:val="left"/>
            </w:pPr>
            <w:r>
              <w:rPr>
                <w:sz w:val="18"/>
                <w:szCs w:val="18"/>
              </w:rPr>
              <w:t xml:space="preserve">Lakeside</w:t>
            </w:r>
          </w:p>
        </w:tc>
        <w:tc>
          <w:tcPr>
            <w:tcW w:w="1300" w:type="dxa"/>
            <w:vAlign w:val="center"/>
          </w:tcPr>
          <w:p>
            <w:pPr>
              <w:spacing w:before="0" w:after="0"/>
              <w:jc w:val="right"/>
            </w:pPr>
            <w:r>
              <w:rPr>
                <w:sz w:val="18"/>
                <w:szCs w:val="18"/>
              </w:rPr>
              <w:t xml:space="preserve">326</w:t>
            </w:r>
          </w:p>
        </w:tc>
        <w:tc>
          <w:tcPr>
            <w:tcW w:w="1600" w:type="dxa"/>
            <w:vAlign w:val="center"/>
          </w:tcPr>
          <w:p>
            <w:pPr>
              <w:spacing w:before="0" w:after="0"/>
              <w:jc w:val="left"/>
            </w:pPr>
            <w:r>
              <w:rPr>
                <w:sz w:val="18"/>
                <w:szCs w:val="18"/>
              </w:rPr>
              <w:t xml:space="preserve">Distribution</w:t>
            </w:r>
          </w:p>
        </w:tc>
        <w:tc>
          <w:tcPr>
            <w:tcW w:w="1100" w:type="dxa"/>
            <w:vAlign w:val="center"/>
          </w:tcPr>
          <w:p>
            <w:pPr>
              <w:spacing w:before="0" w:after="0"/>
              <w:jc w:val="right"/>
            </w:pPr>
            <w:r>
              <w:rPr>
                <w:sz w:val="18"/>
                <w:szCs w:val="18"/>
              </w:rPr>
              <w:t xml:space="preserve">100.0</w:t>
            </w:r>
          </w:p>
        </w:tc>
        <w:tc>
          <w:tcPr>
            <w:tcW w:w="1500" w:type="dxa"/>
            <w:vAlign w:val="center"/>
          </w:tcPr>
          <w:p>
            <w:pPr>
              <w:spacing w:before="0" w:after="0"/>
              <w:jc w:val="left"/>
            </w:pPr>
            <w:r>
              <w:rPr>
                <w:sz w:val="18"/>
                <w:szCs w:val="18"/>
              </w:rPr>
              <w:t xml:space="preserve">Officers serve concurrently</w:t>
            </w:r>
          </w:p>
        </w:tc>
      </w:tr>
      <w:tr>
        <w:tc>
          <w:tcPr>
            <w:tcW w:w="2272" w:type="dxa"/>
            <w:vAlign w:val="center"/>
          </w:tcPr>
          <w:p>
            <w:pPr>
              <w:spacing w:before="0" w:after="0"/>
              <w:jc w:val="left"/>
            </w:pPr>
            <w:r>
              <w:rPr>
                <w:sz w:val="18"/>
                <w:szCs w:val="18"/>
              </w:rPr>
              <w:t xml:space="preserve">Nimbus Coffee Hillcrest Logistics LLC</w:t>
            </w:r>
          </w:p>
        </w:tc>
        <w:tc>
          <w:tcPr>
            <w:tcW w:w="1300" w:type="dxa"/>
            <w:vAlign w:val="center"/>
          </w:tcPr>
          <w:p>
            <w:pPr>
              <w:spacing w:before="0" w:after="0"/>
              <w:jc w:val="left"/>
            </w:pPr>
            <w:r>
              <w:rPr>
                <w:sz w:val="18"/>
                <w:szCs w:val="18"/>
              </w:rPr>
              <w:t xml:space="preserve">Hillcrest</w:t>
            </w:r>
          </w:p>
        </w:tc>
        <w:tc>
          <w:tcPr>
            <w:tcW w:w="1300" w:type="dxa"/>
            <w:vAlign w:val="center"/>
          </w:tcPr>
          <w:p>
            <w:pPr>
              <w:spacing w:before="0" w:after="0"/>
              <w:jc w:val="right"/>
            </w:pPr>
            <w:r>
              <w:rPr>
                <w:sz w:val="18"/>
                <w:szCs w:val="18"/>
              </w:rPr>
              <w:t xml:space="preserve">360</w:t>
            </w:r>
          </w:p>
        </w:tc>
        <w:tc>
          <w:tcPr>
            <w:tcW w:w="1600" w:type="dxa"/>
            <w:vAlign w:val="center"/>
          </w:tcPr>
          <w:p>
            <w:pPr>
              <w:spacing w:before="0" w:after="0"/>
              <w:jc w:val="left"/>
            </w:pPr>
            <w:r>
              <w:rPr>
                <w:sz w:val="18"/>
                <w:szCs w:val="18"/>
              </w:rPr>
              <w:t xml:space="preserve">Distribution</w:t>
            </w:r>
          </w:p>
        </w:tc>
        <w:tc>
          <w:tcPr>
            <w:tcW w:w="1100" w:type="dxa"/>
            <w:vAlign w:val="center"/>
          </w:tcPr>
          <w:p>
            <w:pPr>
              <w:spacing w:before="0" w:after="0"/>
              <w:jc w:val="right"/>
            </w:pPr>
            <w:r>
              <w:rPr>
                <w:sz w:val="18"/>
                <w:szCs w:val="18"/>
              </w:rPr>
              <w:t xml:space="preserve">100.0</w:t>
            </w:r>
          </w:p>
        </w:tc>
        <w:tc>
          <w:tcPr>
            <w:tcW w:w="1500" w:type="dxa"/>
            <w:vAlign w:val="center"/>
          </w:tcPr>
          <w:p>
            <w:pPr>
              <w:spacing w:before="0" w:after="0"/>
              <w:jc w:val="left"/>
            </w:pPr>
            <w:r>
              <w:rPr>
                <w:sz w:val="18"/>
                <w:szCs w:val="18"/>
              </w:rPr>
              <w:t xml:space="preserve">Officers serve concurrently</w:t>
            </w:r>
          </w:p>
        </w:tc>
      </w:tr>
      <w:tr>
        <w:tc>
          <w:tcPr>
            <w:tcW w:w="2272" w:type="dxa"/>
            <w:vAlign w:val="center"/>
          </w:tcPr>
          <w:p>
            <w:pPr>
              <w:spacing w:before="0" w:after="0"/>
              <w:jc w:val="left"/>
            </w:pPr>
            <w:r>
              <w:rPr>
                <w:sz w:val="18"/>
                <w:szCs w:val="18"/>
              </w:rPr>
              <w:t xml:space="preserve">Nimbus Coffee Riverside Logistics LLC</w:t>
            </w:r>
          </w:p>
        </w:tc>
        <w:tc>
          <w:tcPr>
            <w:tcW w:w="1300" w:type="dxa"/>
            <w:vAlign w:val="center"/>
          </w:tcPr>
          <w:p>
            <w:pPr>
              <w:spacing w:before="0" w:after="0"/>
              <w:jc w:val="left"/>
            </w:pPr>
            <w:r>
              <w:rPr>
                <w:sz w:val="18"/>
                <w:szCs w:val="18"/>
              </w:rPr>
              <w:t xml:space="preserve">Riverside</w:t>
            </w:r>
          </w:p>
        </w:tc>
        <w:tc>
          <w:tcPr>
            <w:tcW w:w="1300" w:type="dxa"/>
            <w:vAlign w:val="center"/>
          </w:tcPr>
          <w:p>
            <w:pPr>
              <w:spacing w:before="0" w:after="0"/>
              <w:jc w:val="right"/>
            </w:pPr>
            <w:r>
              <w:rPr>
                <w:sz w:val="18"/>
                <w:szCs w:val="18"/>
              </w:rPr>
              <w:t xml:space="preserve">414</w:t>
            </w:r>
          </w:p>
        </w:tc>
        <w:tc>
          <w:tcPr>
            <w:tcW w:w="1600" w:type="dxa"/>
            <w:vAlign w:val="center"/>
          </w:tcPr>
          <w:p>
            <w:pPr>
              <w:spacing w:before="0" w:after="0"/>
              <w:jc w:val="left"/>
            </w:pPr>
            <w:r>
              <w:rPr>
                <w:sz w:val="18"/>
                <w:szCs w:val="18"/>
              </w:rPr>
              <w:t xml:space="preserve">Distribution</w:t>
            </w:r>
          </w:p>
        </w:tc>
        <w:tc>
          <w:tcPr>
            <w:tcW w:w="1100" w:type="dxa"/>
            <w:vAlign w:val="center"/>
          </w:tcPr>
          <w:p>
            <w:pPr>
              <w:spacing w:before="0" w:after="0"/>
              <w:jc w:val="right"/>
            </w:pPr>
            <w:r>
              <w:rPr>
                <w:sz w:val="18"/>
                <w:szCs w:val="18"/>
              </w:rPr>
              <w:t xml:space="preserve">100.0</w:t>
            </w:r>
          </w:p>
        </w:tc>
        <w:tc>
          <w:tcPr>
            <w:tcW w:w="1500" w:type="dxa"/>
            <w:vAlign w:val="center"/>
          </w:tcPr>
          <w:p>
            <w:pPr>
              <w:spacing w:before="0" w:after="0"/>
              <w:jc w:val="left"/>
            </w:pPr>
            <w:r>
              <w:rPr>
                <w:sz w:val="18"/>
                <w:szCs w:val="18"/>
              </w:rPr>
              <w:t xml:space="preserve">Officers serve concurrently</w:t>
            </w:r>
          </w:p>
        </w:tc>
      </w:tr>
      <w:tr>
        <w:tc>
          <w:tcPr>
            <w:tcW w:w="2272" w:type="dxa"/>
            <w:vAlign w:val="center"/>
          </w:tcPr>
          <w:p>
            <w:pPr>
              <w:spacing w:before="0" w:after="0"/>
              <w:jc w:val="left"/>
            </w:pPr>
            <w:r>
              <w:rPr>
                <w:sz w:val="18"/>
                <w:szCs w:val="18"/>
              </w:rPr>
              <w:t xml:space="preserve">Nimbus Coffee Harborview Logistics LLC</w:t>
            </w:r>
          </w:p>
        </w:tc>
        <w:tc>
          <w:tcPr>
            <w:tcW w:w="1300" w:type="dxa"/>
            <w:vAlign w:val="center"/>
          </w:tcPr>
          <w:p>
            <w:pPr>
              <w:spacing w:before="0" w:after="0"/>
              <w:jc w:val="left"/>
            </w:pPr>
            <w:r>
              <w:rPr>
                <w:sz w:val="18"/>
                <w:szCs w:val="18"/>
              </w:rPr>
              <w:t xml:space="preserve">Harborview</w:t>
            </w:r>
          </w:p>
        </w:tc>
        <w:tc>
          <w:tcPr>
            <w:tcW w:w="1300" w:type="dxa"/>
            <w:vAlign w:val="center"/>
          </w:tcPr>
          <w:p>
            <w:pPr>
              <w:spacing w:before="0" w:after="0"/>
              <w:jc w:val="right"/>
            </w:pPr>
            <w:r>
              <w:rPr>
                <w:sz w:val="18"/>
                <w:szCs w:val="18"/>
              </w:rPr>
              <w:t xml:space="preserve">495</w:t>
            </w:r>
          </w:p>
        </w:tc>
        <w:tc>
          <w:tcPr>
            <w:tcW w:w="1600" w:type="dxa"/>
            <w:vAlign w:val="center"/>
          </w:tcPr>
          <w:p>
            <w:pPr>
              <w:spacing w:before="0" w:after="0"/>
              <w:jc w:val="left"/>
            </w:pPr>
            <w:r>
              <w:rPr>
                <w:sz w:val="18"/>
                <w:szCs w:val="18"/>
              </w:rPr>
              <w:t xml:space="preserve">Distribution</w:t>
            </w:r>
          </w:p>
        </w:tc>
        <w:tc>
          <w:tcPr>
            <w:tcW w:w="1100" w:type="dxa"/>
            <w:vAlign w:val="center"/>
          </w:tcPr>
          <w:p>
            <w:pPr>
              <w:spacing w:before="0" w:after="0"/>
              <w:jc w:val="right"/>
            </w:pPr>
            <w:r>
              <w:rPr>
                <w:sz w:val="18"/>
                <w:szCs w:val="18"/>
              </w:rPr>
              <w:t xml:space="preserve">100.0</w:t>
            </w:r>
          </w:p>
        </w:tc>
        <w:tc>
          <w:tcPr>
            <w:tcW w:w="1500" w:type="dxa"/>
            <w:vAlign w:val="center"/>
          </w:tcPr>
          <w:p>
            <w:pPr>
              <w:spacing w:before="0" w:after="0"/>
              <w:jc w:val="left"/>
            </w:pPr>
            <w:r>
              <w:rPr>
                <w:sz w:val="18"/>
                <w:szCs w:val="18"/>
              </w:rPr>
              <w:t xml:space="preserve">Officers serve concurrently</w:t>
            </w:r>
          </w:p>
        </w:tc>
      </w:tr>
      <w:tr>
        <w:tc>
          <w:tcPr>
            <w:tcW w:w="2272" w:type="dxa"/>
            <w:vAlign w:val="center"/>
          </w:tcPr>
          <w:p>
            <w:pPr>
              <w:spacing w:before="0" w:after="0"/>
              <w:jc w:val="left"/>
            </w:pPr>
            <w:r>
              <w:rPr>
                <w:sz w:val="18"/>
                <w:szCs w:val="18"/>
              </w:rPr>
              <w:t xml:space="preserve">Nimbus Coffee Northfield Cards LLC</w:t>
            </w:r>
          </w:p>
        </w:tc>
        <w:tc>
          <w:tcPr>
            <w:tcW w:w="1300" w:type="dxa"/>
            <w:vAlign w:val="center"/>
          </w:tcPr>
          <w:p>
            <w:pPr>
              <w:spacing w:before="0" w:after="0"/>
              <w:jc w:val="left"/>
            </w:pPr>
            <w:r>
              <w:rPr>
                <w:sz w:val="18"/>
                <w:szCs w:val="18"/>
              </w:rPr>
              <w:t xml:space="preserve">Northfield</w:t>
            </w:r>
          </w:p>
        </w:tc>
        <w:tc>
          <w:tcPr>
            <w:tcW w:w="1300" w:type="dxa"/>
            <w:vAlign w:val="center"/>
          </w:tcPr>
          <w:p>
            <w:pPr>
              <w:spacing w:before="0" w:after="0"/>
              <w:jc w:val="right"/>
            </w:pPr>
            <w:r>
              <w:rPr>
                <w:sz w:val="18"/>
                <w:szCs w:val="18"/>
              </w:rPr>
              <w:t xml:space="preserve">238</w:t>
            </w:r>
          </w:p>
        </w:tc>
        <w:tc>
          <w:tcPr>
            <w:tcW w:w="1600" w:type="dxa"/>
            <w:vAlign w:val="center"/>
          </w:tcPr>
          <w:p>
            <w:pPr>
              <w:spacing w:before="0" w:after="0"/>
              <w:jc w:val="left"/>
            </w:pPr>
            <w:r>
              <w:rPr>
                <w:sz w:val="18"/>
                <w:szCs w:val="18"/>
              </w:rPr>
              <w:t xml:space="preserve">Gift card issuance</w:t>
            </w:r>
          </w:p>
        </w:tc>
        <w:tc>
          <w:tcPr>
            <w:tcW w:w="1100" w:type="dxa"/>
            <w:vAlign w:val="center"/>
          </w:tcPr>
          <w:p>
            <w:pPr>
              <w:spacing w:before="0" w:after="0"/>
              <w:jc w:val="right"/>
            </w:pPr>
            <w:r>
              <w:rPr>
                <w:sz w:val="18"/>
                <w:szCs w:val="18"/>
              </w:rPr>
              <w:t xml:space="preserve">100.0</w:t>
            </w:r>
          </w:p>
        </w:tc>
        <w:tc>
          <w:tcPr>
            <w:tcW w:w="1500" w:type="dxa"/>
            <w:vAlign w:val="center"/>
          </w:tcPr>
          <w:p>
            <w:pPr>
              <w:spacing w:before="0" w:after="0"/>
              <w:jc w:val="left"/>
            </w:pPr>
            <w:r>
              <w:rPr>
                <w:sz w:val="18"/>
                <w:szCs w:val="18"/>
              </w:rPr>
              <w:t xml:space="preserve">Officers serve concurrently</w:t>
            </w:r>
          </w:p>
        </w:tc>
      </w:tr>
      <w:tr>
        <w:tc>
          <w:tcPr>
            <w:tcW w:w="2272" w:type="dxa"/>
            <w:vAlign w:val="center"/>
          </w:tcPr>
          <w:p>
            <w:pPr>
              <w:spacing w:before="0" w:after="0"/>
              <w:jc w:val="left"/>
            </w:pPr>
            <w:r>
              <w:rPr>
                <w:sz w:val="18"/>
                <w:szCs w:val="18"/>
              </w:rPr>
              <w:t xml:space="preserve">Nimbus Coffee Eastbay Cards LLC</w:t>
            </w:r>
          </w:p>
        </w:tc>
        <w:tc>
          <w:tcPr>
            <w:tcW w:w="1300" w:type="dxa"/>
            <w:vAlign w:val="center"/>
          </w:tcPr>
          <w:p>
            <w:pPr>
              <w:spacing w:before="0" w:after="0"/>
              <w:jc w:val="left"/>
            </w:pPr>
            <w:r>
              <w:rPr>
                <w:sz w:val="18"/>
                <w:szCs w:val="18"/>
              </w:rPr>
              <w:t xml:space="preserve">Eastbay</w:t>
            </w:r>
          </w:p>
        </w:tc>
        <w:tc>
          <w:tcPr>
            <w:tcW w:w="1300" w:type="dxa"/>
            <w:vAlign w:val="center"/>
          </w:tcPr>
          <w:p>
            <w:pPr>
              <w:spacing w:before="0" w:after="0"/>
              <w:jc w:val="right"/>
            </w:pPr>
            <w:r>
              <w:rPr>
                <w:sz w:val="18"/>
                <w:szCs w:val="18"/>
              </w:rPr>
              <w:t xml:space="preserve">320</w:t>
            </w:r>
          </w:p>
        </w:tc>
        <w:tc>
          <w:tcPr>
            <w:tcW w:w="1600" w:type="dxa"/>
            <w:vAlign w:val="center"/>
          </w:tcPr>
          <w:p>
            <w:pPr>
              <w:spacing w:before="0" w:after="0"/>
              <w:jc w:val="left"/>
            </w:pPr>
            <w:r>
              <w:rPr>
                <w:sz w:val="18"/>
                <w:szCs w:val="18"/>
              </w:rPr>
              <w:t xml:space="preserve">Gift card issuance</w:t>
            </w:r>
          </w:p>
        </w:tc>
        <w:tc>
          <w:tcPr>
            <w:tcW w:w="1100" w:type="dxa"/>
            <w:vAlign w:val="center"/>
          </w:tcPr>
          <w:p>
            <w:pPr>
              <w:spacing w:before="0" w:after="0"/>
              <w:jc w:val="right"/>
            </w:pPr>
            <w:r>
              <w:rPr>
                <w:sz w:val="18"/>
                <w:szCs w:val="18"/>
              </w:rPr>
              <w:t xml:space="preserve">100.0</w:t>
            </w:r>
          </w:p>
        </w:tc>
        <w:tc>
          <w:tcPr>
            <w:tcW w:w="1500" w:type="dxa"/>
            <w:vAlign w:val="center"/>
          </w:tcPr>
          <w:p>
            <w:pPr>
              <w:spacing w:before="0" w:after="0"/>
              <w:jc w:val="left"/>
            </w:pPr>
            <w:r>
              <w:rPr>
                <w:sz w:val="18"/>
                <w:szCs w:val="18"/>
              </w:rPr>
              <w:t xml:space="preserve">Officers serve concurrently</w:t>
            </w:r>
          </w:p>
        </w:tc>
      </w:tr>
      <w:tr>
        <w:tc>
          <w:tcPr>
            <w:tcW w:w="2272" w:type="dxa"/>
            <w:vAlign w:val="center"/>
          </w:tcPr>
          <w:p>
            <w:pPr>
              <w:spacing w:before="0" w:after="0"/>
              <w:jc w:val="left"/>
            </w:pPr>
            <w:r>
              <w:rPr>
                <w:sz w:val="18"/>
                <w:szCs w:val="18"/>
              </w:rPr>
              <w:t xml:space="preserve">Nimbus Coffee Southport Cards LLC</w:t>
            </w:r>
          </w:p>
        </w:tc>
        <w:tc>
          <w:tcPr>
            <w:tcW w:w="1300" w:type="dxa"/>
            <w:vAlign w:val="center"/>
          </w:tcPr>
          <w:p>
            <w:pPr>
              <w:spacing w:before="0" w:after="0"/>
              <w:jc w:val="left"/>
            </w:pPr>
            <w:r>
              <w:rPr>
                <w:sz w:val="18"/>
                <w:szCs w:val="18"/>
              </w:rPr>
              <w:t xml:space="preserve">Southport</w:t>
            </w:r>
          </w:p>
        </w:tc>
        <w:tc>
          <w:tcPr>
            <w:tcW w:w="1300" w:type="dxa"/>
            <w:vAlign w:val="center"/>
          </w:tcPr>
          <w:p>
            <w:pPr>
              <w:spacing w:before="0" w:after="0"/>
              <w:jc w:val="right"/>
            </w:pPr>
            <w:r>
              <w:rPr>
                <w:sz w:val="18"/>
                <w:szCs w:val="18"/>
              </w:rPr>
              <w:t xml:space="preserve">397</w:t>
            </w:r>
          </w:p>
        </w:tc>
        <w:tc>
          <w:tcPr>
            <w:tcW w:w="1600" w:type="dxa"/>
            <w:vAlign w:val="center"/>
          </w:tcPr>
          <w:p>
            <w:pPr>
              <w:spacing w:before="0" w:after="0"/>
              <w:jc w:val="left"/>
            </w:pPr>
            <w:r>
              <w:rPr>
                <w:sz w:val="18"/>
                <w:szCs w:val="18"/>
              </w:rPr>
              <w:t xml:space="preserve">Gift card issuance</w:t>
            </w:r>
          </w:p>
        </w:tc>
        <w:tc>
          <w:tcPr>
            <w:tcW w:w="1100" w:type="dxa"/>
            <w:vAlign w:val="center"/>
          </w:tcPr>
          <w:p>
            <w:pPr>
              <w:spacing w:before="0" w:after="0"/>
              <w:jc w:val="right"/>
            </w:pPr>
            <w:r>
              <w:rPr>
                <w:sz w:val="18"/>
                <w:szCs w:val="18"/>
              </w:rPr>
              <w:t xml:space="preserve">71.5</w:t>
            </w:r>
          </w:p>
        </w:tc>
        <w:tc>
          <w:tcPr>
            <w:tcW w:w="1500" w:type="dxa"/>
            <w:vAlign w:val="center"/>
          </w:tcPr>
          <w:p>
            <w:pPr>
              <w:spacing w:before="0" w:after="0"/>
              <w:jc w:val="left"/>
            </w:pPr>
            <w:r>
              <w:rPr>
                <w:sz w:val="18"/>
                <w:szCs w:val="18"/>
              </w:rPr>
              <w:t xml:space="preserve">Officers serve concurrently</w:t>
            </w:r>
          </w:p>
        </w:tc>
      </w:tr>
      <w:tr>
        <w:tc>
          <w:tcPr>
            <w:tcW w:w="2272" w:type="dxa"/>
            <w:vAlign w:val="center"/>
          </w:tcPr>
          <w:p>
            <w:pPr>
              <w:spacing w:before="0" w:after="0"/>
              <w:jc w:val="left"/>
            </w:pPr>
            <w:r>
              <w:rPr>
                <w:sz w:val="18"/>
                <w:szCs w:val="18"/>
              </w:rPr>
              <w:t xml:space="preserve">Nimbus Coffee Westridge Cards LLC</w:t>
            </w:r>
          </w:p>
        </w:tc>
        <w:tc>
          <w:tcPr>
            <w:tcW w:w="1300" w:type="dxa"/>
            <w:vAlign w:val="center"/>
          </w:tcPr>
          <w:p>
            <w:pPr>
              <w:spacing w:before="0" w:after="0"/>
              <w:jc w:val="left"/>
            </w:pPr>
            <w:r>
              <w:rPr>
                <w:sz w:val="18"/>
                <w:szCs w:val="18"/>
              </w:rPr>
              <w:t xml:space="preserve">Westridge</w:t>
            </w:r>
          </w:p>
        </w:tc>
        <w:tc>
          <w:tcPr>
            <w:tcW w:w="1300" w:type="dxa"/>
            <w:vAlign w:val="center"/>
          </w:tcPr>
          <w:p>
            <w:pPr>
              <w:spacing w:before="0" w:after="0"/>
              <w:jc w:val="right"/>
            </w:pPr>
            <w:r>
              <w:rPr>
                <w:sz w:val="18"/>
                <w:szCs w:val="18"/>
              </w:rPr>
              <w:t xml:space="preserve">427</w:t>
            </w:r>
          </w:p>
        </w:tc>
        <w:tc>
          <w:tcPr>
            <w:tcW w:w="1600" w:type="dxa"/>
            <w:vAlign w:val="center"/>
          </w:tcPr>
          <w:p>
            <w:pPr>
              <w:spacing w:before="0" w:after="0"/>
              <w:jc w:val="left"/>
            </w:pPr>
            <w:r>
              <w:rPr>
                <w:sz w:val="18"/>
                <w:szCs w:val="18"/>
              </w:rPr>
              <w:t xml:space="preserve">Gift card issuance</w:t>
            </w:r>
          </w:p>
        </w:tc>
        <w:tc>
          <w:tcPr>
            <w:tcW w:w="1100" w:type="dxa"/>
            <w:vAlign w:val="center"/>
          </w:tcPr>
          <w:p>
            <w:pPr>
              <w:spacing w:before="0" w:after="0"/>
              <w:jc w:val="right"/>
            </w:pPr>
            <w:r>
              <w:rPr>
                <w:sz w:val="18"/>
                <w:szCs w:val="18"/>
              </w:rPr>
              <w:t xml:space="preserve">100.0</w:t>
            </w:r>
          </w:p>
        </w:tc>
        <w:tc>
          <w:tcPr>
            <w:tcW w:w="1500" w:type="dxa"/>
            <w:vAlign w:val="center"/>
          </w:tcPr>
          <w:p>
            <w:pPr>
              <w:spacing w:before="0" w:after="0"/>
              <w:jc w:val="left"/>
            </w:pPr>
            <w:r>
              <w:rPr>
                <w:sz w:val="18"/>
                <w:szCs w:val="18"/>
              </w:rPr>
              <w:t xml:space="preserve">Officers serve concurrently</w:t>
            </w:r>
          </w:p>
        </w:tc>
      </w:tr>
      <w:tr>
        <w:tc>
          <w:tcPr>
            <w:tcW w:w="2272" w:type="dxa"/>
            <w:vAlign w:val="center"/>
          </w:tcPr>
          <w:p>
            <w:pPr>
              <w:spacing w:before="0" w:after="0"/>
              <w:jc w:val="left"/>
            </w:pPr>
            <w:r>
              <w:rPr>
                <w:sz w:val="18"/>
                <w:szCs w:val="18"/>
              </w:rPr>
              <w:t xml:space="preserve">Nimbus Coffee Lakeside Cards LLC</w:t>
            </w:r>
          </w:p>
        </w:tc>
        <w:tc>
          <w:tcPr>
            <w:tcW w:w="1300" w:type="dxa"/>
            <w:vAlign w:val="center"/>
          </w:tcPr>
          <w:p>
            <w:pPr>
              <w:spacing w:before="0" w:after="0"/>
              <w:jc w:val="left"/>
            </w:pPr>
            <w:r>
              <w:rPr>
                <w:sz w:val="18"/>
                <w:szCs w:val="18"/>
              </w:rPr>
              <w:t xml:space="preserve">Lakeside</w:t>
            </w:r>
          </w:p>
        </w:tc>
        <w:tc>
          <w:tcPr>
            <w:tcW w:w="1300" w:type="dxa"/>
            <w:vAlign w:val="center"/>
          </w:tcPr>
          <w:p>
            <w:pPr>
              <w:spacing w:before="0" w:after="0"/>
              <w:jc w:val="right"/>
            </w:pPr>
            <w:r>
              <w:rPr>
                <w:sz w:val="18"/>
                <w:szCs w:val="18"/>
              </w:rPr>
              <w:t xml:space="preserve">479</w:t>
            </w:r>
          </w:p>
        </w:tc>
        <w:tc>
          <w:tcPr>
            <w:tcW w:w="1600" w:type="dxa"/>
            <w:vAlign w:val="center"/>
          </w:tcPr>
          <w:p>
            <w:pPr>
              <w:spacing w:before="0" w:after="0"/>
              <w:jc w:val="left"/>
            </w:pPr>
            <w:r>
              <w:rPr>
                <w:sz w:val="18"/>
                <w:szCs w:val="18"/>
              </w:rPr>
              <w:t xml:space="preserve">Gift card issuance</w:t>
            </w:r>
          </w:p>
        </w:tc>
        <w:tc>
          <w:tcPr>
            <w:tcW w:w="1100" w:type="dxa"/>
            <w:vAlign w:val="center"/>
          </w:tcPr>
          <w:p>
            <w:pPr>
              <w:spacing w:before="0" w:after="0"/>
              <w:jc w:val="right"/>
            </w:pPr>
            <w:r>
              <w:rPr>
                <w:sz w:val="18"/>
                <w:szCs w:val="18"/>
              </w:rPr>
              <w:t xml:space="preserve">100.0</w:t>
            </w:r>
          </w:p>
        </w:tc>
        <w:tc>
          <w:tcPr>
            <w:tcW w:w="1500" w:type="dxa"/>
            <w:vAlign w:val="center"/>
          </w:tcPr>
          <w:p>
            <w:pPr>
              <w:spacing w:before="0" w:after="0"/>
              <w:jc w:val="left"/>
            </w:pPr>
            <w:r>
              <w:rPr>
                <w:sz w:val="18"/>
                <w:szCs w:val="18"/>
              </w:rPr>
              <w:t xml:space="preserve">Officers serve concurrently</w:t>
            </w:r>
          </w:p>
        </w:tc>
      </w:tr>
    </w:tbl>
    <w:p>
      <w:pPr/>
    </w:p>
    <w:p>
      <w:pPr>
        <w:pStyle w:val="Heading3"/>
        <w:keepNext/>
      </w:pPr>
      <w:r>
        <w:t xml:space="preserve">3. Description of Business</w:t>
      </w:r>
    </w:p>
    <w:p>
      <w:pPr>
        <w:ind w:left="0" w:firstLine="360"/>
      </w:pPr>
      <w:r>
        <w:t xml:space="preserve">Wholesale revenue comes from sales of roasted beans to restaurants, hotels and grocery stores in the regions where Nimbus Coffee operates. Baristas complete a four-week training course before working on the floor, and store managers complete a further course at the Northfield training center. Nimbus Coffee leases all of its store premises under operating leases with initial terms of ten years, most of which include options to renew. Comparable store sales increased 4.7%, driven by a 4.1% increase in average ticket and a 3.9% increase in transactions. Weather affects customer traffic: cold drinks sell best in summer, while hot beverages and whole beans sell best from October through February.</w:t>
      </w:r>
    </w:p>
    <w:p>
      <w:pPr>
        <w:ind w:left="0" w:firstLine="360"/>
      </w:pPr>
      <w:r>
        <w:t xml:space="preserve">Net cash provided by operating activities was $204,341 thousand, mainly reflecting net income and depreciation and amortization. At the end of the fiscal year, Nimbus Coffee operated 175 company-operated stores in eight regions: Northfield, Eastbay, Southport, Westridge, Lakeside, Hillcrest, Riverside and Harborview. These forward-looking statements are based on information available as of the date of this statement, and actual results may differ materially because of many factors. The roastery produced 697 thousand pounds of roasted coffee during the fiscal year, of which 40.6% was sold through company-operated stores.</w:t>
      </w:r>
    </w:p>
    <w:p>
      <w:pPr>
        <w:ind w:left="0" w:firstLine="360"/>
      </w:pPr>
      <w:r>
        <w:t xml:space="preserve">Net cash used in financing activities was $24,025 thousand, reflecting repayments of the term loan and dividends paid. Revenue from stores in the Harborview region increased 12.1% compared with the prior year, while its share of total revenue was little changed. These forward-looking statements are based on information available as of the date of this statement, and actual results may differ materially because of many factors.</w:t>
      </w:r>
    </w:p>
    <w:p>
      <w:pPr>
        <w:ind w:left="0" w:firstLine="360"/>
      </w:pPr>
      <w:r>
        <w:t xml:space="preserve">Nimbus Coffee buys 56.1% of its green coffee by volume from farms certified under recognized sustainability standards. At the end of the fiscal year, the Company operated 193 company-operated stores in eight regions: Northfield, Eastbay, Southport, Westridge, Lakeside, Hillcrest, Riverside and Harborview. Net cash provided by operating activities was $230,146 thousand, mainly reflecting net income and depreciation and amortization. Capital expenditures totaled $23,483 thousand and consisted mainly of the build-out of new stores, the remodeling of existing stores and a second roasting line at the Northfield roastery. Nimbus Coffee depends on a small number of dairy and bakery suppliers in each region, and an interruption in their deliveries could affect sales at the stores they serve.</w:t>
      </w:r>
    </w:p>
    <w:p>
      <w:pPr>
        <w:ind w:left="0" w:firstLine="360"/>
      </w:pPr>
      <w:r>
        <w:t xml:space="preserve">Revenue from loyalty rewards is deferred until the reward is redeemed or expires. Nimbus Coffee buys 10.3% of its green coffee by volume from farms certified under recognized sustainability standards. Nimbus Coffee intends to pay dividends out of retained earnings while keeping sufficient funds to finance the opening of new stores. The ability of Nimbus Coffee to open new stores depends on finding suitable sites on acceptable lease terms and on hiring and training store managers. Nimbus Coffee buys 37.1% of its green coffee by volume from farms certified under recognized sustainability standards.</w:t>
      </w:r>
    </w:p>
    <w:p>
      <w:pPr>
        <w:ind w:left="0" w:firstLine="360"/>
      </w:pPr>
      <w:r>
        <w:t xml:space="preserve">Revenue from loyalty rewards is deferred until the reward is redeemed or expires. Labor costs are affected by minimum wage laws in the regions where the stores are located, and further increases could reduce store margins. Orders placed through the online store, including orders for pickup in store and home delivery of whole beans, accounted for 22.9% of revenue in the Beverages and Beans categories.</w:t>
      </w:r>
    </w:p>
    <w:tbl>
      <w:tblPr>
        <w:tblW w:w="907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72" w:type="dxa"/>
          <w:right w:w="72" w:type="dxa"/>
        </w:tblCellMar>
      </w:tblPr>
      <w:tblGrid>
        <w:gridCol w:w="3072"/>
        <w:gridCol w:w="2000"/>
        <w:gridCol w:w="2000"/>
        <w:gridCol w:w="2000"/>
      </w:tblGrid>
      <w:tr>
        <w:trPr>
          <w:tblHeader/>
        </w:trPr>
        <w:tc>
          <w:tcPr>
            <w:tcW w:w="3072" w:type="dxa"/>
            <w:shd w:val="clear" w:color="auto" w:fill="DDEBF7"/>
            <w:vAlign w:val="center"/>
          </w:tcPr>
          <w:p>
            <w:pPr>
              <w:spacing w:before="0" w:after="0"/>
              <w:jc w:val="center"/>
            </w:pPr>
            <w:r>
              <w:rPr>
                <w:b/>
                <w:sz w:val="18"/>
                <w:szCs w:val="18"/>
              </w:rPr>
              <w:t xml:space="preserve">Segment</w:t>
            </w:r>
          </w:p>
        </w:tc>
        <w:tc>
          <w:tcPr>
            <w:tcW w:w="2000" w:type="dxa"/>
            <w:shd w:val="clear" w:color="auto" w:fill="DDEBF7"/>
            <w:vAlign w:val="center"/>
          </w:tcPr>
          <w:p>
            <w:pPr>
              <w:spacing w:before="0" w:after="0"/>
              <w:jc w:val="center"/>
            </w:pPr>
            <w:r>
              <w:rPr>
                <w:b/>
                <w:sz w:val="18"/>
                <w:szCs w:val="18"/>
              </w:rPr>
              <w:t xml:space="preserve">Employees</w:t>
            </w:r>
          </w:p>
        </w:tc>
        <w:tc>
          <w:tcPr>
            <w:tcW w:w="2000" w:type="dxa"/>
            <w:shd w:val="clear" w:color="auto" w:fill="DDEBF7"/>
            <w:vAlign w:val="center"/>
          </w:tcPr>
          <w:p>
            <w:pPr>
              <w:spacing w:before="0" w:after="0"/>
              <w:jc w:val="center"/>
            </w:pPr>
            <w:r>
              <w:rPr>
                <w:b/>
                <w:sz w:val="18"/>
                <w:szCs w:val="18"/>
              </w:rPr>
              <w:t xml:space="preserve">Average age (years)</w:t>
            </w:r>
          </w:p>
        </w:tc>
        <w:tc>
          <w:tcPr>
            <w:tcW w:w="2000" w:type="dxa"/>
            <w:shd w:val="clear" w:color="auto" w:fill="DDEBF7"/>
            <w:vAlign w:val="center"/>
          </w:tcPr>
          <w:p>
            <w:pPr>
              <w:spacing w:before="0" w:after="0"/>
              <w:jc w:val="center"/>
            </w:pPr>
            <w:r>
              <w:rPr>
                <w:b/>
                <w:sz w:val="18"/>
                <w:szCs w:val="18"/>
              </w:rPr>
              <w:t xml:space="preserve">Average tenure (years)</w:t>
            </w:r>
          </w:p>
        </w:tc>
      </w:tr>
      <w:tr>
        <w:tc>
          <w:tcPr>
            <w:tcW w:w="3072" w:type="dxa"/>
            <w:vAlign w:val="center"/>
          </w:tcPr>
          <w:p>
            <w:pPr>
              <w:spacing w:before="0" w:after="0"/>
              <w:jc w:val="left"/>
            </w:pPr>
            <w:r>
              <w:rPr>
                <w:sz w:val="18"/>
                <w:szCs w:val="18"/>
              </w:rPr>
              <w:t xml:space="preserve">Company-operated stores</w:t>
            </w:r>
          </w:p>
        </w:tc>
        <w:tc>
          <w:tcPr>
            <w:tcW w:w="2000" w:type="dxa"/>
            <w:vAlign w:val="center"/>
          </w:tcPr>
          <w:p>
            <w:pPr>
              <w:spacing w:before="0" w:after="0"/>
              <w:jc w:val="right"/>
            </w:pPr>
            <w:r>
              <w:rPr>
                <w:sz w:val="18"/>
                <w:szCs w:val="18"/>
              </w:rPr>
              <w:t xml:space="preserve">2,553</w:t>
            </w:r>
          </w:p>
        </w:tc>
        <w:tc>
          <w:tcPr>
            <w:tcW w:w="2000" w:type="dxa"/>
            <w:vAlign w:val="center"/>
          </w:tcPr>
          <w:p>
            <w:pPr>
              <w:spacing w:before="0" w:after="0"/>
              <w:jc w:val="right"/>
            </w:pPr>
            <w:r>
              <w:rPr>
                <w:sz w:val="18"/>
                <w:szCs w:val="18"/>
              </w:rPr>
              <w:t xml:space="preserve">29.4</w:t>
            </w:r>
          </w:p>
        </w:tc>
        <w:tc>
          <w:tcPr>
            <w:tcW w:w="2000" w:type="dxa"/>
            <w:vAlign w:val="center"/>
          </w:tcPr>
          <w:p>
            <w:pPr>
              <w:spacing w:before="0" w:after="0"/>
              <w:jc w:val="right"/>
            </w:pPr>
            <w:r>
              <w:rPr>
                <w:sz w:val="18"/>
                <w:szCs w:val="18"/>
              </w:rPr>
              <w:t xml:space="preserve">3.1</w:t>
            </w:r>
          </w:p>
        </w:tc>
      </w:tr>
      <w:tr>
        <w:tc>
          <w:tcPr>
            <w:tcW w:w="3072" w:type="dxa"/>
            <w:vAlign w:val="center"/>
          </w:tcPr>
          <w:p>
            <w:pPr>
              <w:spacing w:before="0" w:after="0"/>
              <w:jc w:val="left"/>
            </w:pPr>
            <w:r>
              <w:rPr>
                <w:sz w:val="18"/>
                <w:szCs w:val="18"/>
              </w:rPr>
              <w:t xml:space="preserve">Roasting and wholesale</w:t>
            </w:r>
          </w:p>
        </w:tc>
        <w:tc>
          <w:tcPr>
            <w:tcW w:w="2000" w:type="dxa"/>
            <w:vAlign w:val="center"/>
          </w:tcPr>
          <w:p>
            <w:pPr>
              <w:spacing w:before="0" w:after="0"/>
              <w:jc w:val="right"/>
            </w:pPr>
            <w:r>
              <w:rPr>
                <w:sz w:val="18"/>
                <w:szCs w:val="18"/>
              </w:rPr>
              <w:t xml:space="preserve">3,574</w:t>
            </w:r>
          </w:p>
        </w:tc>
        <w:tc>
          <w:tcPr>
            <w:tcW w:w="2000" w:type="dxa"/>
            <w:vAlign w:val="center"/>
          </w:tcPr>
          <w:p>
            <w:pPr>
              <w:spacing w:before="0" w:after="0"/>
              <w:jc w:val="right"/>
            </w:pPr>
            <w:r>
              <w:rPr>
                <w:sz w:val="18"/>
                <w:szCs w:val="18"/>
              </w:rPr>
              <w:t xml:space="preserve">37.8</w:t>
            </w:r>
          </w:p>
        </w:tc>
        <w:tc>
          <w:tcPr>
            <w:tcW w:w="2000" w:type="dxa"/>
            <w:vAlign w:val="center"/>
          </w:tcPr>
          <w:p>
            <w:pPr>
              <w:spacing w:before="0" w:after="0"/>
              <w:jc w:val="right"/>
            </w:pPr>
            <w:r>
              <w:rPr>
                <w:sz w:val="18"/>
                <w:szCs w:val="18"/>
              </w:rPr>
              <w:t xml:space="preserve">3.4</w:t>
            </w:r>
          </w:p>
        </w:tc>
      </w:tr>
      <w:tr>
        <w:tc>
          <w:tcPr>
            <w:tcW w:w="3072" w:type="dxa"/>
            <w:vAlign w:val="center"/>
          </w:tcPr>
          <w:p>
            <w:pPr>
              <w:spacing w:before="0" w:after="0"/>
              <w:jc w:val="left"/>
            </w:pPr>
            <w:r>
              <w:rPr>
                <w:sz w:val="18"/>
                <w:szCs w:val="18"/>
              </w:rPr>
              <w:t xml:space="preserve">Online store</w:t>
            </w:r>
          </w:p>
        </w:tc>
        <w:tc>
          <w:tcPr>
            <w:tcW w:w="2000" w:type="dxa"/>
            <w:vAlign w:val="center"/>
          </w:tcPr>
          <w:p>
            <w:pPr>
              <w:spacing w:before="0" w:after="0"/>
              <w:jc w:val="right"/>
            </w:pPr>
            <w:r>
              <w:rPr>
                <w:sz w:val="18"/>
                <w:szCs w:val="18"/>
              </w:rPr>
              <w:t xml:space="preserve">285</w:t>
            </w:r>
          </w:p>
        </w:tc>
        <w:tc>
          <w:tcPr>
            <w:tcW w:w="2000" w:type="dxa"/>
            <w:vAlign w:val="center"/>
          </w:tcPr>
          <w:p>
            <w:pPr>
              <w:spacing w:before="0" w:after="0"/>
              <w:jc w:val="right"/>
            </w:pPr>
            <w:r>
              <w:rPr>
                <w:sz w:val="18"/>
                <w:szCs w:val="18"/>
              </w:rPr>
              <w:t xml:space="preserve">26.6</w:t>
            </w:r>
          </w:p>
        </w:tc>
        <w:tc>
          <w:tcPr>
            <w:tcW w:w="2000" w:type="dxa"/>
            <w:vAlign w:val="center"/>
          </w:tcPr>
          <w:p>
            <w:pPr>
              <w:spacing w:before="0" w:after="0"/>
              <w:jc w:val="right"/>
            </w:pPr>
            <w:r>
              <w:rPr>
                <w:sz w:val="18"/>
                <w:szCs w:val="18"/>
              </w:rPr>
              <w:t xml:space="preserve">1.6</w:t>
            </w:r>
          </w:p>
        </w:tc>
      </w:tr>
      <w:tr>
        <w:tc>
          <w:tcPr>
            <w:tcW w:w="3072" w:type="dxa"/>
            <w:vAlign w:val="center"/>
          </w:tcPr>
          <w:p>
            <w:pPr>
              <w:spacing w:before="0" w:after="0"/>
              <w:jc w:val="left"/>
            </w:pPr>
            <w:r>
              <w:rPr>
                <w:sz w:val="18"/>
                <w:szCs w:val="18"/>
              </w:rPr>
              <w:t xml:space="preserve">Corporate</w:t>
            </w:r>
          </w:p>
        </w:tc>
        <w:tc>
          <w:tcPr>
            <w:tcW w:w="2000" w:type="dxa"/>
            <w:vAlign w:val="center"/>
          </w:tcPr>
          <w:p>
            <w:pPr>
              <w:spacing w:before="0" w:after="0"/>
              <w:jc w:val="right"/>
            </w:pPr>
            <w:r>
              <w:rPr>
                <w:sz w:val="18"/>
                <w:szCs w:val="18"/>
              </w:rPr>
              <w:t xml:space="preserve">1,422</w:t>
            </w:r>
          </w:p>
        </w:tc>
        <w:tc>
          <w:tcPr>
            <w:tcW w:w="2000" w:type="dxa"/>
            <w:vAlign w:val="center"/>
          </w:tcPr>
          <w:p>
            <w:pPr>
              <w:spacing w:before="0" w:after="0"/>
              <w:jc w:val="right"/>
            </w:pPr>
            <w:r>
              <w:rPr>
                <w:sz w:val="18"/>
                <w:szCs w:val="18"/>
              </w:rPr>
              <w:t xml:space="preserve">31.0</w:t>
            </w:r>
          </w:p>
        </w:tc>
        <w:tc>
          <w:tcPr>
            <w:tcW w:w="2000" w:type="dxa"/>
            <w:vAlign w:val="center"/>
          </w:tcPr>
          <w:p>
            <w:pPr>
              <w:spacing w:before="0" w:after="0"/>
              <w:jc w:val="right"/>
            </w:pPr>
            <w:r>
              <w:rPr>
                <w:sz w:val="18"/>
                <w:szCs w:val="18"/>
              </w:rPr>
              <w:t xml:space="preserve">5.6</w:t>
            </w:r>
          </w:p>
        </w:tc>
      </w:tr>
      <w:tr>
        <w:tc>
          <w:tcPr>
            <w:tcW w:w="3072" w:type="dxa"/>
            <w:vAlign w:val="center"/>
          </w:tcPr>
          <w:p>
            <w:pPr>
              <w:spacing w:before="0" w:after="0"/>
              <w:jc w:val="left"/>
            </w:pPr>
            <w:r>
              <w:rPr>
                <w:b/>
                <w:sz w:val="18"/>
                <w:szCs w:val="18"/>
              </w:rPr>
              <w:t xml:space="preserve">Total</w:t>
            </w:r>
          </w:p>
        </w:tc>
        <w:tc>
          <w:tcPr>
            <w:tcW w:w="2000" w:type="dxa"/>
            <w:vAlign w:val="center"/>
          </w:tcPr>
          <w:p>
            <w:pPr>
              <w:spacing w:before="0" w:after="0"/>
              <w:jc w:val="right"/>
            </w:pPr>
            <w:r>
              <w:rPr>
                <w:b/>
                <w:sz w:val="18"/>
                <w:szCs w:val="18"/>
              </w:rPr>
              <w:t xml:space="preserve">2,150</w:t>
            </w:r>
          </w:p>
        </w:tc>
        <w:tc>
          <w:tcPr>
            <w:tcW w:w="2000" w:type="dxa"/>
            <w:vAlign w:val="center"/>
          </w:tcPr>
          <w:p>
            <w:pPr>
              <w:spacing w:before="0" w:after="0"/>
              <w:jc w:val="right"/>
            </w:pPr>
            <w:r>
              <w:rPr>
                <w:b/>
                <w:sz w:val="18"/>
                <w:szCs w:val="18"/>
              </w:rPr>
              <w:t xml:space="preserve">26.2</w:t>
            </w:r>
          </w:p>
        </w:tc>
        <w:tc>
          <w:tcPr>
            <w:tcW w:w="2000" w:type="dxa"/>
            <w:vAlign w:val="center"/>
          </w:tcPr>
          <w:p>
            <w:pPr>
              <w:spacing w:before="0" w:after="0"/>
              <w:jc w:val="right"/>
            </w:pPr>
            <w:r>
              <w:rPr>
                <w:b/>
                <w:sz w:val="18"/>
                <w:szCs w:val="18"/>
              </w:rPr>
              <w:t xml:space="preserve">6.6</w:t>
            </w:r>
          </w:p>
        </w:tc>
      </w:tr>
    </w:tbl>
    <w:p>
      <w:pPr/>
    </w:p>
    <w:p>
      <w:pPr>
        <w:pStyle w:val="Heading3"/>
        <w:keepNext/>
      </w:pPr>
      <w:r>
        <w:t xml:space="preserve">4. Subsidiaries and Affiliates</w:t>
      </w:r>
    </w:p>
    <w:p>
      <w:pPr>
        <w:ind w:left="0" w:firstLine="360"/>
      </w:pPr>
      <w:r>
        <w:t xml:space="preserve">Each store is managed by a store manager who reports to a district manager, and district managers report to the director for their region. The price of green coffee is volatile, and a sustained increase could reduce gross margin if the Company is unable to pass the cost on to customers through menu prices. Net cash used in investing activities was $1,547 thousand, primarily for purchases of property and equipment.</w:t>
      </w:r>
    </w:p>
    <w:p>
      <w:pPr>
        <w:ind w:left="0" w:firstLine="360"/>
      </w:pPr>
      <w:r>
        <w:t xml:space="preserve">Weather affects customer traffic: cold drinks sell best in summer, while hot beverages and whole beans sell best from October through February. Revenue from stores in the Riverside region increased 15.3% compared with the prior year, while its share of total revenue was little changed. Capital expenditures totaled $15,525 thousand and consisted mainly of the build-out of new stores, the remodeling of existing stores and a second roasting line at the Northfield roastery. Net cash provided by operating activities was $274,062 thousand, mainly reflecting net income and depreciation and amortization. Revenue from the online store was $60,317 thousand, or 55.6% of total revenue. Orders placed through the online store, including orders for pickup in store and home delivery of whole beans, accounted for 36.3% of revenue in the Beverages and Beans categories.</w:t>
      </w:r>
    </w:p>
    <w:p>
      <w:pPr>
        <w:ind w:left="0" w:firstLine="360"/>
      </w:pPr>
      <w:r>
        <w:t xml:space="preserve">Food safety incidents, whether or not they occur at our stores, could harm the reputation of the Nimbus Coffee brand and reduce customer traffic. Total assets at the end of the fiscal year were $180,274 thousand, an increase of $7,399 thousand from the end of the prior fiscal year. During the fiscal year, the Company opened 19 new stores and closed 4 stores whose leases expired.</w:t>
      </w:r>
    </w:p>
    <w:p>
      <w:pPr>
        <w:ind w:left="0" w:firstLine="360"/>
      </w:pPr>
      <w:r>
        <w:t xml:space="preserve">The Company holds no derivatives other than coffee futures contracts used to fix the price of part of its future green coffee purchases. New stores generally reach the sales level of a mature store within eighteen to twenty-four months of opening. Each store is managed by a store manager who reports to a district manager, and district managers report to the director for their region. Total revenue for the fiscal year was $176,494 thousand, an increase of 6.2% over the prior year, and operating income was $10,980 thousand, an increase of 19.7%. During the fiscal year, the Company opened 19 new stores and closed 5 stores whose leases expired. Merchandise sales, consisting of mugs, brewing equipment and seasonal gift sets, are highest in the fourth quarter of each year.</w:t>
      </w:r>
    </w:p>
    <w:p>
      <w:pPr>
        <w:ind w:left="0" w:firstLine="360"/>
      </w:pPr>
      <w:r>
        <w:t xml:space="preserve">Orders placed through the online store, including orders for pickup in store and home delivery of whole beans, accounted for 33.0% of revenue in the Beverages and Beans categories. Net cash used in investing activities was $3,329 thousand, primarily for purchases of property and equipment. Nimbus Coffee leases all of its store premises under operating leases with initial terms of ten years, most of which include options to renew. Total assets at the end of the fiscal year were $146,110 thousand, an increase of $20,556 thousand from the end of the prior fiscal year. Revenue from loyalty rewards is deferred until the reward is redeemed or expires. Orders placed through the online store, including orders for pickup in store and home delivery of whole beans, accounted for 48.1% of revenue in the Beverages and Beans categories.</w:t>
      </w:r>
    </w:p>
    <w:p>
      <w:pPr>
        <w:ind w:left="0" w:firstLine="360"/>
      </w:pPr>
      <w:r>
        <w:t xml:space="preserve">Baristas complete a four-week training course before working on the floor, and store managers complete a further course at the Northfield training center. During the fiscal year, Nimbus Coffee opened 12 new stores and closed 4 stores whose leases expired. Each store is managed by a store manager who reports to a district manager, and district managers report to the director for their region. The Group holds no derivatives other than coffee futures contracts used to fix the price of part of its future green coffee purchases.</w:t>
      </w:r>
    </w:p>
    <w:tbl>
      <w:tblPr>
        <w:tblW w:w="907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72" w:type="dxa"/>
          <w:right w:w="72" w:type="dxa"/>
        </w:tblCellMar>
      </w:tblPr>
      <w:tblGrid>
        <w:gridCol w:w="3072"/>
        <w:gridCol w:w="2000"/>
        <w:gridCol w:w="2000"/>
        <w:gridCol w:w="2000"/>
      </w:tblGrid>
      <w:tr>
        <w:trPr>
          <w:tblHeader/>
        </w:trPr>
        <w:tc>
          <w:tcPr>
            <w:tcW w:w="3072" w:type="dxa"/>
            <w:shd w:val="clear" w:color="auto" w:fill="DDEBF7"/>
            <w:vAlign w:val="center"/>
          </w:tcPr>
          <w:p>
            <w:pPr>
              <w:spacing w:before="0" w:after="0"/>
              <w:jc w:val="center"/>
            </w:pPr>
            <w:r>
              <w:rPr>
                <w:b/>
                <w:sz w:val="18"/>
                <w:szCs w:val="18"/>
              </w:rPr>
              <w:t xml:space="preserve">Segment</w:t>
            </w:r>
          </w:p>
        </w:tc>
        <w:tc>
          <w:tcPr>
            <w:tcW w:w="2000" w:type="dxa"/>
            <w:shd w:val="clear" w:color="auto" w:fill="DDEBF7"/>
            <w:vAlign w:val="center"/>
          </w:tcPr>
          <w:p>
            <w:pPr>
              <w:spacing w:before="0" w:after="0"/>
              <w:jc w:val="center"/>
            </w:pPr>
            <w:r>
              <w:rPr>
                <w:b/>
                <w:sz w:val="18"/>
                <w:szCs w:val="18"/>
              </w:rPr>
              <w:t xml:space="preserve">Employees</w:t>
            </w:r>
          </w:p>
        </w:tc>
        <w:tc>
          <w:tcPr>
            <w:tcW w:w="2000" w:type="dxa"/>
            <w:shd w:val="clear" w:color="auto" w:fill="DDEBF7"/>
            <w:vAlign w:val="center"/>
          </w:tcPr>
          <w:p>
            <w:pPr>
              <w:spacing w:before="0" w:after="0"/>
              <w:jc w:val="center"/>
            </w:pPr>
            <w:r>
              <w:rPr>
                <w:b/>
                <w:sz w:val="18"/>
                <w:szCs w:val="18"/>
              </w:rPr>
              <w:t xml:space="preserve">Average age (years)</w:t>
            </w:r>
          </w:p>
        </w:tc>
        <w:tc>
          <w:tcPr>
            <w:tcW w:w="2000" w:type="dxa"/>
            <w:shd w:val="clear" w:color="auto" w:fill="DDEBF7"/>
            <w:vAlign w:val="center"/>
          </w:tcPr>
          <w:p>
            <w:pPr>
              <w:spacing w:before="0" w:after="0"/>
              <w:jc w:val="center"/>
            </w:pPr>
            <w:r>
              <w:rPr>
                <w:b/>
                <w:sz w:val="18"/>
                <w:szCs w:val="18"/>
              </w:rPr>
              <w:t xml:space="preserve">Average tenure (years)</w:t>
            </w:r>
          </w:p>
        </w:tc>
      </w:tr>
      <w:tr>
        <w:tc>
          <w:tcPr>
            <w:tcW w:w="3072" w:type="dxa"/>
            <w:vAlign w:val="center"/>
          </w:tcPr>
          <w:p>
            <w:pPr>
              <w:spacing w:before="0" w:after="0"/>
              <w:jc w:val="left"/>
            </w:pPr>
            <w:r>
              <w:rPr>
                <w:sz w:val="18"/>
                <w:szCs w:val="18"/>
              </w:rPr>
              <w:t xml:space="preserve">Company-operated stores</w:t>
            </w:r>
          </w:p>
        </w:tc>
        <w:tc>
          <w:tcPr>
            <w:tcW w:w="2000" w:type="dxa"/>
            <w:vAlign w:val="center"/>
          </w:tcPr>
          <w:p>
            <w:pPr>
              <w:spacing w:before="0" w:after="0"/>
              <w:jc w:val="right"/>
            </w:pPr>
            <w:r>
              <w:rPr>
                <w:sz w:val="18"/>
                <w:szCs w:val="18"/>
              </w:rPr>
              <w:t xml:space="preserve">3,057</w:t>
            </w:r>
          </w:p>
        </w:tc>
        <w:tc>
          <w:tcPr>
            <w:tcW w:w="2000" w:type="dxa"/>
            <w:vAlign w:val="center"/>
          </w:tcPr>
          <w:p>
            <w:pPr>
              <w:spacing w:before="0" w:after="0"/>
              <w:jc w:val="right"/>
            </w:pPr>
            <w:r>
              <w:rPr>
                <w:sz w:val="18"/>
                <w:szCs w:val="18"/>
              </w:rPr>
              <w:t xml:space="preserve">32.7</w:t>
            </w:r>
          </w:p>
        </w:tc>
        <w:tc>
          <w:tcPr>
            <w:tcW w:w="2000" w:type="dxa"/>
            <w:vAlign w:val="center"/>
          </w:tcPr>
          <w:p>
            <w:pPr>
              <w:spacing w:before="0" w:after="0"/>
              <w:jc w:val="right"/>
            </w:pPr>
            <w:r>
              <w:rPr>
                <w:sz w:val="18"/>
                <w:szCs w:val="18"/>
              </w:rPr>
              <w:t xml:space="preserve">2.2</w:t>
            </w:r>
          </w:p>
        </w:tc>
      </w:tr>
      <w:tr>
        <w:tc>
          <w:tcPr>
            <w:tcW w:w="3072" w:type="dxa"/>
            <w:vAlign w:val="center"/>
          </w:tcPr>
          <w:p>
            <w:pPr>
              <w:spacing w:before="0" w:after="0"/>
              <w:jc w:val="left"/>
            </w:pPr>
            <w:r>
              <w:rPr>
                <w:sz w:val="18"/>
                <w:szCs w:val="18"/>
              </w:rPr>
              <w:t xml:space="preserve">Roasting and wholesale</w:t>
            </w:r>
          </w:p>
        </w:tc>
        <w:tc>
          <w:tcPr>
            <w:tcW w:w="2000" w:type="dxa"/>
            <w:vAlign w:val="center"/>
          </w:tcPr>
          <w:p>
            <w:pPr>
              <w:spacing w:before="0" w:after="0"/>
              <w:jc w:val="right"/>
            </w:pPr>
            <w:r>
              <w:rPr>
                <w:sz w:val="18"/>
                <w:szCs w:val="18"/>
              </w:rPr>
              <w:t xml:space="preserve">1,924</w:t>
            </w:r>
          </w:p>
        </w:tc>
        <w:tc>
          <w:tcPr>
            <w:tcW w:w="2000" w:type="dxa"/>
            <w:vAlign w:val="center"/>
          </w:tcPr>
          <w:p>
            <w:pPr>
              <w:spacing w:before="0" w:after="0"/>
              <w:jc w:val="right"/>
            </w:pPr>
            <w:r>
              <w:rPr>
                <w:sz w:val="18"/>
                <w:szCs w:val="18"/>
              </w:rPr>
              <w:t xml:space="preserve">30.1</w:t>
            </w:r>
          </w:p>
        </w:tc>
        <w:tc>
          <w:tcPr>
            <w:tcW w:w="2000" w:type="dxa"/>
            <w:vAlign w:val="center"/>
          </w:tcPr>
          <w:p>
            <w:pPr>
              <w:spacing w:before="0" w:after="0"/>
              <w:jc w:val="right"/>
            </w:pPr>
            <w:r>
              <w:rPr>
                <w:sz w:val="18"/>
                <w:szCs w:val="18"/>
              </w:rPr>
              <w:t xml:space="preserve">2.9</w:t>
            </w:r>
          </w:p>
        </w:tc>
      </w:tr>
      <w:tr>
        <w:tc>
          <w:tcPr>
            <w:tcW w:w="3072" w:type="dxa"/>
            <w:vAlign w:val="center"/>
          </w:tcPr>
          <w:p>
            <w:pPr>
              <w:spacing w:before="0" w:after="0"/>
              <w:jc w:val="left"/>
            </w:pPr>
            <w:r>
              <w:rPr>
                <w:sz w:val="18"/>
                <w:szCs w:val="18"/>
              </w:rPr>
              <w:t xml:space="preserve">Online store</w:t>
            </w:r>
          </w:p>
        </w:tc>
        <w:tc>
          <w:tcPr>
            <w:tcW w:w="2000" w:type="dxa"/>
            <w:vAlign w:val="center"/>
          </w:tcPr>
          <w:p>
            <w:pPr>
              <w:spacing w:before="0" w:after="0"/>
              <w:jc w:val="right"/>
            </w:pPr>
            <w:r>
              <w:rPr>
                <w:sz w:val="18"/>
                <w:szCs w:val="18"/>
              </w:rPr>
              <w:t xml:space="preserve">2,785</w:t>
            </w:r>
          </w:p>
        </w:tc>
        <w:tc>
          <w:tcPr>
            <w:tcW w:w="2000" w:type="dxa"/>
            <w:vAlign w:val="center"/>
          </w:tcPr>
          <w:p>
            <w:pPr>
              <w:spacing w:before="0" w:after="0"/>
              <w:jc w:val="right"/>
            </w:pPr>
            <w:r>
              <w:rPr>
                <w:sz w:val="18"/>
                <w:szCs w:val="18"/>
              </w:rPr>
              <w:t xml:space="preserve">31.4</w:t>
            </w:r>
          </w:p>
        </w:tc>
        <w:tc>
          <w:tcPr>
            <w:tcW w:w="2000" w:type="dxa"/>
            <w:vAlign w:val="center"/>
          </w:tcPr>
          <w:p>
            <w:pPr>
              <w:spacing w:before="0" w:after="0"/>
              <w:jc w:val="right"/>
            </w:pPr>
            <w:r>
              <w:rPr>
                <w:sz w:val="18"/>
                <w:szCs w:val="18"/>
              </w:rPr>
              <w:t xml:space="preserve">4.5</w:t>
            </w:r>
          </w:p>
        </w:tc>
      </w:tr>
      <w:tr>
        <w:tc>
          <w:tcPr>
            <w:tcW w:w="3072" w:type="dxa"/>
            <w:vAlign w:val="center"/>
          </w:tcPr>
          <w:p>
            <w:pPr>
              <w:spacing w:before="0" w:after="0"/>
              <w:jc w:val="left"/>
            </w:pPr>
            <w:r>
              <w:rPr>
                <w:sz w:val="18"/>
                <w:szCs w:val="18"/>
              </w:rPr>
              <w:t xml:space="preserve">Corporate</w:t>
            </w:r>
          </w:p>
        </w:tc>
        <w:tc>
          <w:tcPr>
            <w:tcW w:w="2000" w:type="dxa"/>
            <w:vAlign w:val="center"/>
          </w:tcPr>
          <w:p>
            <w:pPr>
              <w:spacing w:before="0" w:after="0"/>
              <w:jc w:val="right"/>
            </w:pPr>
            <w:r>
              <w:rPr>
                <w:sz w:val="18"/>
                <w:szCs w:val="18"/>
              </w:rPr>
              <w:t xml:space="preserve">2,918</w:t>
            </w:r>
          </w:p>
        </w:tc>
        <w:tc>
          <w:tcPr>
            <w:tcW w:w="2000" w:type="dxa"/>
            <w:vAlign w:val="center"/>
          </w:tcPr>
          <w:p>
            <w:pPr>
              <w:spacing w:before="0" w:after="0"/>
              <w:jc w:val="right"/>
            </w:pPr>
            <w:r>
              <w:rPr>
                <w:sz w:val="18"/>
                <w:szCs w:val="18"/>
              </w:rPr>
              <w:t xml:space="preserve">40.4</w:t>
            </w:r>
          </w:p>
        </w:tc>
        <w:tc>
          <w:tcPr>
            <w:tcW w:w="2000" w:type="dxa"/>
            <w:vAlign w:val="center"/>
          </w:tcPr>
          <w:p>
            <w:pPr>
              <w:spacing w:before="0" w:after="0"/>
              <w:jc w:val="right"/>
            </w:pPr>
            <w:r>
              <w:rPr>
                <w:sz w:val="18"/>
                <w:szCs w:val="18"/>
              </w:rPr>
              <w:t xml:space="preserve">5.5</w:t>
            </w:r>
          </w:p>
        </w:tc>
      </w:tr>
      <w:tr>
        <w:tc>
          <w:tcPr>
            <w:tcW w:w="3072" w:type="dxa"/>
            <w:vAlign w:val="center"/>
          </w:tcPr>
          <w:p>
            <w:pPr>
              <w:spacing w:before="0" w:after="0"/>
              <w:jc w:val="left"/>
            </w:pPr>
            <w:r>
              <w:rPr>
                <w:b/>
                <w:sz w:val="18"/>
                <w:szCs w:val="18"/>
              </w:rPr>
              <w:t xml:space="preserve">Total</w:t>
            </w:r>
          </w:p>
        </w:tc>
        <w:tc>
          <w:tcPr>
            <w:tcW w:w="2000" w:type="dxa"/>
            <w:vAlign w:val="center"/>
          </w:tcPr>
          <w:p>
            <w:pPr>
              <w:spacing w:before="0" w:after="0"/>
              <w:jc w:val="right"/>
            </w:pPr>
            <w:r>
              <w:rPr>
                <w:b/>
                <w:sz w:val="18"/>
                <w:szCs w:val="18"/>
              </w:rPr>
              <w:t xml:space="preserve">1,445</w:t>
            </w:r>
          </w:p>
        </w:tc>
        <w:tc>
          <w:tcPr>
            <w:tcW w:w="2000" w:type="dxa"/>
            <w:vAlign w:val="center"/>
          </w:tcPr>
          <w:p>
            <w:pPr>
              <w:spacing w:before="0" w:after="0"/>
              <w:jc w:val="right"/>
            </w:pPr>
            <w:r>
              <w:rPr>
                <w:b/>
                <w:sz w:val="18"/>
                <w:szCs w:val="18"/>
              </w:rPr>
              <w:t xml:space="preserve">39.3</w:t>
            </w:r>
          </w:p>
        </w:tc>
        <w:tc>
          <w:tcPr>
            <w:tcW w:w="2000" w:type="dxa"/>
            <w:vAlign w:val="center"/>
          </w:tcPr>
          <w:p>
            <w:pPr>
              <w:spacing w:before="0" w:after="0"/>
              <w:jc w:val="right"/>
            </w:pPr>
            <w:r>
              <w:rPr>
                <w:b/>
                <w:sz w:val="18"/>
                <w:szCs w:val="18"/>
              </w:rPr>
              <w:t xml:space="preserve">1.9</w:t>
            </w:r>
          </w:p>
        </w:tc>
      </w:tr>
    </w:tbl>
    <w:p>
      <w:pPr/>
    </w:p>
    <w:p>
      <w:pPr>
        <w:pStyle w:val="Heading3"/>
        <w:keepNext/>
      </w:pPr>
      <w:r>
        <w:t xml:space="preserve">5. Employees</w:t>
      </w:r>
    </w:p>
    <w:p>
      <w:pPr>
        <w:ind w:left="0" w:firstLine="360"/>
      </w:pPr>
      <w:r>
        <w:t xml:space="preserve">Wholesale revenue comes from sales of roasted beans to restaurants, hotels and grocery stores in the regions where the Group operates. Food safety incidents, whether or not they occur at our stores, could harm the reputation of the Nimbus Coffee brand and reduce customer traffic. During the fiscal year, the Group opened 9 new stores and closed 3 stores whose leases expired. Occupancy costs increased to $8,716 thousand, reflecting rent for new stores and scheduled rent increases at existing locations. Store operating expenses, which consist mainly of wages, benefits and supplies, were 34.9% of revenue, compared with 28.2% in the prior year.</w:t>
      </w:r>
    </w:p>
    <w:p>
      <w:pPr>
        <w:ind w:left="0" w:firstLine="360"/>
      </w:pPr>
      <w:r>
        <w:t xml:space="preserve">The price of green coffee is volatile, and a sustained increase could reduce gross margin if Nimbus Coffee is unable to pass the cost on to customers through menu prices. Revenue from wholesale customers increased 6.2% compared with the prior year, while its share of total revenue was little changed. Net cash used in financing activities was $11,487 thousand, reflecting repayments of the term loan and dividends paid. Food safety incidents, whether or not they occur at our stores, could harm the reputation of the Nimbus Coffee brand and reduce customer traffic.</w:t>
      </w:r>
    </w:p>
    <w:p>
      <w:pPr>
        <w:ind w:left="0" w:firstLine="360"/>
      </w:pPr>
      <w:r>
        <w:t xml:space="preserve">Each store is managed by a store manager who reports to a district manager, and district managers report to the director for their region. Net cash used in investing activities was $22,440 thousand, primarily for purchases of property and equipment. The ability of Nimbus Coffee to open new stores depends on finding suitable sites on acceptable lease terms and on hiring and training store managers. Baristas complete a four-week training course before working on the floor, and store managers complete a further course at the Northfield training center. The Company leases all of its store premises under operating leases with initial terms of ten years, most of which include options to renew. Energy use per store decreased 12.9% compared with the prior year, as older espresso machines and refrigerators were replaced with more efficient models.</w:t>
      </w:r>
    </w:p>
    <w:p>
      <w:pPr>
        <w:ind w:left="0" w:firstLine="360"/>
      </w:pPr>
      <w:r>
        <w:t xml:space="preserve">The ability of Nimbus Coffee to open new stores depends on finding suitable sites on acceptable lease terms and on hiring and training store managers. Revenue from loyalty rewards is deferred until the reward is redeemed or expires. Each store is managed by a store manager who reports to a district manager, and district managers report to the director for their region. Store operating expenses, which consist mainly of wages, benefits and supplies, were 29.8% of revenue, compared with 29.6% in the prior year. The ability of the Group to open new stores depends on finding suitable sites on acceptable lease terms and on hiring and training store managers.</w:t>
      </w:r>
    </w:p>
    <w:p>
      <w:pPr>
        <w:ind w:left="0" w:firstLine="360"/>
      </w:pPr>
      <w:r>
        <w:t xml:space="preserve">Total revenue for the fiscal year was $175,374 thousand, an increase of 1.3% over the prior year, and operating income was $5,399 thousand, an increase of 20.5%. The roastery produced 328 thousand pounds of roasted coffee during the fiscal year, of which 44.4% was sold through company-operated stores. Revenue from stores in the Lakeside region increased 14.7% compared with the prior year, while its share of total revenue was little changed.</w:t>
      </w:r>
    </w:p>
    <w:p>
      <w:pPr>
        <w:ind w:left="0" w:firstLine="360"/>
      </w:pPr>
      <w:r>
        <w:t xml:space="preserve">Green coffee is purchased from exporters and cooperatives in Central America, South America and East Africa under fixed-price contracts that generally cover the next nine to twelve months of expected needs. During the fiscal year, the Group opened 12 new stores and closed 4 stores whose leases expired. Total revenue for the fiscal year was $292,453 thousand, an increase of 13.9% over the prior year, and operating income was $21,426 thousand, an increase of 24.7%. Revenue from loyalty rewards is deferred until the reward is redeemed or expires. Energy use per store decreased 2.2% compared with the prior year, as older espresso machines and refrigerators were replaced with more efficient models.</w:t>
      </w:r>
    </w:p>
    <w:tbl>
      <w:tblPr>
        <w:tblW w:w="907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72" w:type="dxa"/>
          <w:right w:w="72" w:type="dxa"/>
        </w:tblCellMar>
      </w:tblPr>
      <w:tblGrid>
        <w:gridCol w:w="3072"/>
        <w:gridCol w:w="2000"/>
        <w:gridCol w:w="2000"/>
        <w:gridCol w:w="2000"/>
      </w:tblGrid>
      <w:tr>
        <w:trPr>
          <w:tblHeader/>
        </w:trPr>
        <w:tc>
          <w:tcPr>
            <w:tcW w:w="3072" w:type="dxa"/>
            <w:shd w:val="clear" w:color="auto" w:fill="DDEBF7"/>
            <w:vAlign w:val="center"/>
          </w:tcPr>
          <w:p>
            <w:pPr>
              <w:spacing w:before="0" w:after="0"/>
              <w:jc w:val="center"/>
            </w:pPr>
            <w:r>
              <w:rPr>
                <w:b/>
                <w:sz w:val="18"/>
                <w:szCs w:val="18"/>
              </w:rPr>
              <w:t xml:space="preserve">Segment</w:t>
            </w:r>
          </w:p>
        </w:tc>
        <w:tc>
          <w:tcPr>
            <w:tcW w:w="2000" w:type="dxa"/>
            <w:shd w:val="clear" w:color="auto" w:fill="DDEBF7"/>
            <w:vAlign w:val="center"/>
          </w:tcPr>
          <w:p>
            <w:pPr>
              <w:spacing w:before="0" w:after="0"/>
              <w:jc w:val="center"/>
            </w:pPr>
            <w:r>
              <w:rPr>
                <w:b/>
                <w:sz w:val="18"/>
                <w:szCs w:val="18"/>
              </w:rPr>
              <w:t xml:space="preserve">Employees</w:t>
            </w:r>
          </w:p>
        </w:tc>
        <w:tc>
          <w:tcPr>
            <w:tcW w:w="2000" w:type="dxa"/>
            <w:shd w:val="clear" w:color="auto" w:fill="DDEBF7"/>
            <w:vAlign w:val="center"/>
          </w:tcPr>
          <w:p>
            <w:pPr>
              <w:spacing w:before="0" w:after="0"/>
              <w:jc w:val="center"/>
            </w:pPr>
            <w:r>
              <w:rPr>
                <w:b/>
                <w:sz w:val="18"/>
                <w:szCs w:val="18"/>
              </w:rPr>
              <w:t xml:space="preserve">Average age (years)</w:t>
            </w:r>
          </w:p>
        </w:tc>
        <w:tc>
          <w:tcPr>
            <w:tcW w:w="2000" w:type="dxa"/>
            <w:shd w:val="clear" w:color="auto" w:fill="DDEBF7"/>
            <w:vAlign w:val="center"/>
          </w:tcPr>
          <w:p>
            <w:pPr>
              <w:spacing w:before="0" w:after="0"/>
              <w:jc w:val="center"/>
            </w:pPr>
            <w:r>
              <w:rPr>
                <w:b/>
                <w:sz w:val="18"/>
                <w:szCs w:val="18"/>
              </w:rPr>
              <w:t xml:space="preserve">Average tenure (years)</w:t>
            </w:r>
          </w:p>
        </w:tc>
      </w:tr>
      <w:tr>
        <w:tc>
          <w:tcPr>
            <w:tcW w:w="3072" w:type="dxa"/>
            <w:vAlign w:val="center"/>
          </w:tcPr>
          <w:p>
            <w:pPr>
              <w:spacing w:before="0" w:after="0"/>
              <w:jc w:val="left"/>
            </w:pPr>
            <w:r>
              <w:rPr>
                <w:sz w:val="18"/>
                <w:szCs w:val="18"/>
              </w:rPr>
              <w:t xml:space="preserve">Company-operated stores</w:t>
            </w:r>
          </w:p>
        </w:tc>
        <w:tc>
          <w:tcPr>
            <w:tcW w:w="2000" w:type="dxa"/>
            <w:vAlign w:val="center"/>
          </w:tcPr>
          <w:p>
            <w:pPr>
              <w:spacing w:before="0" w:after="0"/>
              <w:jc w:val="right"/>
            </w:pPr>
            <w:r>
              <w:rPr>
                <w:sz w:val="18"/>
                <w:szCs w:val="18"/>
              </w:rPr>
              <w:t xml:space="preserve">3,620</w:t>
            </w:r>
          </w:p>
        </w:tc>
        <w:tc>
          <w:tcPr>
            <w:tcW w:w="2000" w:type="dxa"/>
            <w:vAlign w:val="center"/>
          </w:tcPr>
          <w:p>
            <w:pPr>
              <w:spacing w:before="0" w:after="0"/>
              <w:jc w:val="right"/>
            </w:pPr>
            <w:r>
              <w:rPr>
                <w:sz w:val="18"/>
                <w:szCs w:val="18"/>
              </w:rPr>
              <w:t xml:space="preserve">26.4</w:t>
            </w:r>
          </w:p>
        </w:tc>
        <w:tc>
          <w:tcPr>
            <w:tcW w:w="2000" w:type="dxa"/>
            <w:vAlign w:val="center"/>
          </w:tcPr>
          <w:p>
            <w:pPr>
              <w:spacing w:before="0" w:after="0"/>
              <w:jc w:val="right"/>
            </w:pPr>
            <w:r>
              <w:rPr>
                <w:sz w:val="18"/>
                <w:szCs w:val="18"/>
              </w:rPr>
              <w:t xml:space="preserve">2.6</w:t>
            </w:r>
          </w:p>
        </w:tc>
      </w:tr>
      <w:tr>
        <w:tc>
          <w:tcPr>
            <w:tcW w:w="3072" w:type="dxa"/>
            <w:vAlign w:val="center"/>
          </w:tcPr>
          <w:p>
            <w:pPr>
              <w:spacing w:before="0" w:after="0"/>
              <w:jc w:val="left"/>
            </w:pPr>
            <w:r>
              <w:rPr>
                <w:sz w:val="18"/>
                <w:szCs w:val="18"/>
              </w:rPr>
              <w:t xml:space="preserve">Roasting and wholesale</w:t>
            </w:r>
          </w:p>
        </w:tc>
        <w:tc>
          <w:tcPr>
            <w:tcW w:w="2000" w:type="dxa"/>
            <w:vAlign w:val="center"/>
          </w:tcPr>
          <w:p>
            <w:pPr>
              <w:spacing w:before="0" w:after="0"/>
              <w:jc w:val="right"/>
            </w:pPr>
            <w:r>
              <w:rPr>
                <w:sz w:val="18"/>
                <w:szCs w:val="18"/>
              </w:rPr>
              <w:t xml:space="preserve">2,043</w:t>
            </w:r>
          </w:p>
        </w:tc>
        <w:tc>
          <w:tcPr>
            <w:tcW w:w="2000" w:type="dxa"/>
            <w:vAlign w:val="center"/>
          </w:tcPr>
          <w:p>
            <w:pPr>
              <w:spacing w:before="0" w:after="0"/>
              <w:jc w:val="right"/>
            </w:pPr>
            <w:r>
              <w:rPr>
                <w:sz w:val="18"/>
                <w:szCs w:val="18"/>
              </w:rPr>
              <w:t xml:space="preserve">40.5</w:t>
            </w:r>
          </w:p>
        </w:tc>
        <w:tc>
          <w:tcPr>
            <w:tcW w:w="2000" w:type="dxa"/>
            <w:vAlign w:val="center"/>
          </w:tcPr>
          <w:p>
            <w:pPr>
              <w:spacing w:before="0" w:after="0"/>
              <w:jc w:val="right"/>
            </w:pPr>
            <w:r>
              <w:rPr>
                <w:sz w:val="18"/>
                <w:szCs w:val="18"/>
              </w:rPr>
              <w:t xml:space="preserve">4.4</w:t>
            </w:r>
          </w:p>
        </w:tc>
      </w:tr>
      <w:tr>
        <w:tc>
          <w:tcPr>
            <w:tcW w:w="3072" w:type="dxa"/>
            <w:vAlign w:val="center"/>
          </w:tcPr>
          <w:p>
            <w:pPr>
              <w:spacing w:before="0" w:after="0"/>
              <w:jc w:val="left"/>
            </w:pPr>
            <w:r>
              <w:rPr>
                <w:sz w:val="18"/>
                <w:szCs w:val="18"/>
              </w:rPr>
              <w:t xml:space="preserve">Online store</w:t>
            </w:r>
          </w:p>
        </w:tc>
        <w:tc>
          <w:tcPr>
            <w:tcW w:w="2000" w:type="dxa"/>
            <w:vAlign w:val="center"/>
          </w:tcPr>
          <w:p>
            <w:pPr>
              <w:spacing w:before="0" w:after="0"/>
              <w:jc w:val="right"/>
            </w:pPr>
            <w:r>
              <w:rPr>
                <w:sz w:val="18"/>
                <w:szCs w:val="18"/>
              </w:rPr>
              <w:t xml:space="preserve">923</w:t>
            </w:r>
          </w:p>
        </w:tc>
        <w:tc>
          <w:tcPr>
            <w:tcW w:w="2000" w:type="dxa"/>
            <w:vAlign w:val="center"/>
          </w:tcPr>
          <w:p>
            <w:pPr>
              <w:spacing w:before="0" w:after="0"/>
              <w:jc w:val="right"/>
            </w:pPr>
            <w:r>
              <w:rPr>
                <w:sz w:val="18"/>
                <w:szCs w:val="18"/>
              </w:rPr>
              <w:t xml:space="preserve">33.3</w:t>
            </w:r>
          </w:p>
        </w:tc>
        <w:tc>
          <w:tcPr>
            <w:tcW w:w="2000" w:type="dxa"/>
            <w:vAlign w:val="center"/>
          </w:tcPr>
          <w:p>
            <w:pPr>
              <w:spacing w:before="0" w:after="0"/>
              <w:jc w:val="right"/>
            </w:pPr>
            <w:r>
              <w:rPr>
                <w:sz w:val="18"/>
                <w:szCs w:val="18"/>
              </w:rPr>
              <w:t xml:space="preserve">4.6</w:t>
            </w:r>
          </w:p>
        </w:tc>
      </w:tr>
      <w:tr>
        <w:tc>
          <w:tcPr>
            <w:tcW w:w="3072" w:type="dxa"/>
            <w:vAlign w:val="center"/>
          </w:tcPr>
          <w:p>
            <w:pPr>
              <w:spacing w:before="0" w:after="0"/>
              <w:jc w:val="left"/>
            </w:pPr>
            <w:r>
              <w:rPr>
                <w:sz w:val="18"/>
                <w:szCs w:val="18"/>
              </w:rPr>
              <w:t xml:space="preserve">Corporate</w:t>
            </w:r>
          </w:p>
        </w:tc>
        <w:tc>
          <w:tcPr>
            <w:tcW w:w="2000" w:type="dxa"/>
            <w:vAlign w:val="center"/>
          </w:tcPr>
          <w:p>
            <w:pPr>
              <w:spacing w:before="0" w:after="0"/>
              <w:jc w:val="right"/>
            </w:pPr>
            <w:r>
              <w:rPr>
                <w:sz w:val="18"/>
                <w:szCs w:val="18"/>
              </w:rPr>
              <w:t xml:space="preserve">2,713</w:t>
            </w:r>
          </w:p>
        </w:tc>
        <w:tc>
          <w:tcPr>
            <w:tcW w:w="2000" w:type="dxa"/>
            <w:vAlign w:val="center"/>
          </w:tcPr>
          <w:p>
            <w:pPr>
              <w:spacing w:before="0" w:after="0"/>
              <w:jc w:val="right"/>
            </w:pPr>
            <w:r>
              <w:rPr>
                <w:sz w:val="18"/>
                <w:szCs w:val="18"/>
              </w:rPr>
              <w:t xml:space="preserve">31.5</w:t>
            </w:r>
          </w:p>
        </w:tc>
        <w:tc>
          <w:tcPr>
            <w:tcW w:w="2000" w:type="dxa"/>
            <w:vAlign w:val="center"/>
          </w:tcPr>
          <w:p>
            <w:pPr>
              <w:spacing w:before="0" w:after="0"/>
              <w:jc w:val="right"/>
            </w:pPr>
            <w:r>
              <w:rPr>
                <w:sz w:val="18"/>
                <w:szCs w:val="18"/>
              </w:rPr>
              <w:t xml:space="preserve">5.1</w:t>
            </w:r>
          </w:p>
        </w:tc>
      </w:tr>
      <w:tr>
        <w:tc>
          <w:tcPr>
            <w:tcW w:w="3072" w:type="dxa"/>
            <w:vAlign w:val="center"/>
          </w:tcPr>
          <w:p>
            <w:pPr>
              <w:spacing w:before="0" w:after="0"/>
              <w:jc w:val="left"/>
            </w:pPr>
            <w:r>
              <w:rPr>
                <w:b/>
                <w:sz w:val="18"/>
                <w:szCs w:val="18"/>
              </w:rPr>
              <w:t xml:space="preserve">Total</w:t>
            </w:r>
          </w:p>
        </w:tc>
        <w:tc>
          <w:tcPr>
            <w:tcW w:w="2000" w:type="dxa"/>
            <w:vAlign w:val="center"/>
          </w:tcPr>
          <w:p>
            <w:pPr>
              <w:spacing w:before="0" w:after="0"/>
              <w:jc w:val="right"/>
            </w:pPr>
            <w:r>
              <w:rPr>
                <w:b/>
                <w:sz w:val="18"/>
                <w:szCs w:val="18"/>
              </w:rPr>
              <w:t xml:space="preserve">860</w:t>
            </w:r>
          </w:p>
        </w:tc>
        <w:tc>
          <w:tcPr>
            <w:tcW w:w="2000" w:type="dxa"/>
            <w:vAlign w:val="center"/>
          </w:tcPr>
          <w:p>
            <w:pPr>
              <w:spacing w:before="0" w:after="0"/>
              <w:jc w:val="right"/>
            </w:pPr>
            <w:r>
              <w:rPr>
                <w:b/>
                <w:sz w:val="18"/>
                <w:szCs w:val="18"/>
              </w:rPr>
              <w:t xml:space="preserve">36.4</w:t>
            </w:r>
          </w:p>
        </w:tc>
        <w:tc>
          <w:tcPr>
            <w:tcW w:w="2000" w:type="dxa"/>
            <w:vAlign w:val="center"/>
          </w:tcPr>
          <w:p>
            <w:pPr>
              <w:spacing w:before="0" w:after="0"/>
              <w:jc w:val="right"/>
            </w:pPr>
            <w:r>
              <w:rPr>
                <w:b/>
                <w:sz w:val="18"/>
                <w:szCs w:val="18"/>
              </w:rPr>
              <w:t xml:space="preserve">4.9</w:t>
            </w:r>
          </w:p>
        </w:tc>
      </w:tr>
    </w:tbl>
    <w:p>
      <w:pPr/>
    </w:p>
    <w:p>
      <w:r>
        <w:br w:type="page"/>
      </w:r>
    </w:p>
    <w:p>
      <w:pPr>
        <w:pStyle w:val="Heading2"/>
        <w:keepNext/>
      </w:pPr>
      <w:r>
        <w:t xml:space="preserve">Item 2. Business</w:t>
      </w:r>
    </w:p>
    <w:p>
      <w:pPr>
        <w:pStyle w:val="Heading3"/>
        <w:keepNext/>
      </w:pPr>
      <w:r>
        <w:t xml:space="preserve">1. Management Policy, Business Environment and Issues to Address</w:t>
      </w:r>
    </w:p>
    <w:p>
      <w:pPr>
        <w:keepNext/>
      </w:pPr>
      <w:r>
        <w:rPr>
          <w:b/>
        </w:rPr>
        <w:t xml:space="preserve">(1) Labor costs and staffing</w:t>
      </w:r>
    </w:p>
    <w:p>
      <w:pPr>
        <w:ind w:left="0" w:firstLine="360"/>
      </w:pPr>
      <w:r>
        <w:t xml:space="preserve">Weather affects customer traffic: cold drinks sell best in summer, while hot beverages and whole beans sell best from October through February. Revenue from loyalty rewards is deferred until the reward is redeemed or expires. The Company holds no derivatives other than coffee futures contracts used to fix the price of part of its future green coffee purchases. The ability of the Group to open new stores depends on finding suitable sites on acceptable lease terms and on hiring and training store managers.</w:t>
      </w:r>
    </w:p>
    <w:p>
      <w:pPr>
        <w:ind w:left="0" w:firstLine="360"/>
      </w:pPr>
      <w:r>
        <w:t xml:space="preserve">Labor costs are affected by minimum wage laws in the regions where the stores are located, and further increases could reduce store margins. Total revenue for the fiscal year was $284,974 thousand, an increase of 14.4% over the prior year, and operating income was $31,352 thousand, an increase of 23.8%. Revenue from the Beans category was $6,495 thousand, or 37.8% of total revenue. Revenue from stores in the Harborview region increased 8.2% compared with the prior year, while its share of total revenue was little changed.</w:t>
      </w:r>
    </w:p>
    <w:p>
      <w:pPr>
        <w:keepNext/>
      </w:pPr>
      <w:r>
        <w:rPr>
          <w:b/>
        </w:rPr>
        <w:t xml:space="preserve">(2) Weather and seasonality</w:t>
      </w:r>
    </w:p>
    <w:p>
      <w:pPr>
        <w:ind w:left="0" w:firstLine="360"/>
      </w:pPr>
      <w:r>
        <w:t xml:space="preserve">The Group buys 50.2% of its green coffee by volume from farms certified under recognized sustainability standards. During the fiscal year, Nimbus Coffee opened 15 new stores and closed 5 stores whose leases expired. Each store is managed by a store manager who reports to a district manager, and district managers report to the director for their region.</w:t>
      </w:r>
    </w:p>
    <w:p>
      <w:pPr>
        <w:ind w:left="0" w:firstLine="360"/>
      </w:pPr>
      <w:r>
        <w:t xml:space="preserve">The Group intends to pay dividends out of retained earnings while keeping sufficient funds to finance the opening of new stores. Wholesale revenue comes from sales of roasted beans to restaurants, hotels and grocery stores in the regions where the Group operates. Store operating expenses, which consist mainly of wages, benefits and supplies, were 31.3% of revenue, compared with 28.5% in the prior year. Net cash provided by operating activities was $294,163 thousand, mainly reflecting net income and depreciation and amortization. Green coffee is purchased from exporters and cooperatives in Central America, South America and East Africa under fixed-price contracts that generally cover the next nine to twelve months of expected needs. Comparable store sales increased 3.3%, driven by a 2.1% increase in average ticket and a 1.7% increase in transactions.</w:t>
      </w:r>
    </w:p>
    <w:p>
      <w:pPr>
        <w:keepNext/>
      </w:pPr>
      <w:r>
        <w:rPr>
          <w:b/>
        </w:rPr>
        <w:t xml:space="preserve">(3) Competition</w:t>
      </w:r>
    </w:p>
    <w:p>
      <w:pPr>
        <w:ind w:left="0" w:firstLine="360"/>
      </w:pPr>
      <w:r>
        <w:t xml:space="preserve">These forward-looking statements are based on information available as of the date of this statement, and actual results may differ materially because of many factors. Capital expenditures totaled $22,700 thousand and consisted mainly of the build-out of new stores, the remodeling of existing stores and a second roasting line at the Northfield roastery. Merchandise sales, consisting of mugs, brewing equipment and seasonal gift sets, are highest in the fourth quarter of each year. Net cash used in investing activities was $18,327 thousand, primarily for purchases of property and equipment. At the end of the fiscal year, the Group operated 184 company-operated stores in eight regions: Northfield, Eastbay, Southport, Westridge, Lakeside, Hillcrest, Riverside and Harborview. Weather affects customer traffic: cold drinks sell best in summer, while hot beverages and whole beans sell best from October through February.</w:t>
      </w:r>
    </w:p>
    <w:p>
      <w:pPr>
        <w:ind w:left="0" w:firstLine="360"/>
      </w:pPr>
      <w:r>
        <w:t xml:space="preserve">Net cash used in financing activities was $16,429 thousand, reflecting repayments of the term loan and dividends paid. Total assets at the end of the fiscal year were $108,036 thousand, an increase of $19,554 thousand from the end of the prior fiscal year. Each store is managed by a store manager who reports to a district manager, and district managers report to the director for their region. At the end of the fiscal year, the Company operated 160 company-operated stores in eight regions: Northfield, Eastbay, Southport, Westridge, Lakeside, Hillcrest, Riverside and Harborview. The Company holds no derivatives other than coffee futures contracts used to fix the price of part of its future green coffee purchases.</w:t>
      </w:r>
    </w:p>
    <w:p>
      <w:pPr>
        <w:keepNext/>
      </w:pPr>
      <w:r>
        <w:rPr>
          <w:b/>
        </w:rPr>
        <w:t xml:space="preserve">(4) Green coffee prices</w:t>
      </w:r>
    </w:p>
    <w:p>
      <w:pPr>
        <w:ind w:left="0" w:firstLine="360"/>
      </w:pPr>
      <w:r>
        <w:t xml:space="preserve">Nimbus Coffee holds no derivatives other than coffee futures contracts used to fix the price of part of its future green coffee purchases. The price of green coffee is volatile, and a sustained increase could reduce gross margin if the Company is unable to pass the cost on to customers through menu prices. Each store is managed by a store manager who reports to a district manager, and district managers report to the director for their region.</w:t>
      </w:r>
    </w:p>
    <w:p>
      <w:pPr>
        <w:ind w:left="0" w:firstLine="360"/>
      </w:pPr>
      <w:r>
        <w:t xml:space="preserve">Revenue from the Merchandise category was $24,346 thousand, or 27.3% of total revenue. Green coffee is purchased from exporters and cooperatives in Central America, South America and East Africa under fixed-price contracts that generally cover the next nine to twelve months of expected needs. The roastery produced 1,378 thousand pounds of roasted coffee during the fiscal year, of which 54.4% was sold through company-operated stores.</w:t>
      </w:r>
    </w:p>
    <w:p>
      <w:pPr>
        <w:keepNext/>
      </w:pPr>
      <w:r>
        <w:rPr>
          <w:b/>
        </w:rPr>
        <w:t xml:space="preserve">(5) Concentration of stores in eight regions</w:t>
      </w:r>
    </w:p>
    <w:p>
      <w:pPr>
        <w:ind w:left="0" w:firstLine="360"/>
      </w:pPr>
      <w:r>
        <w:t xml:space="preserve">Capital expenditures totaled $9,064 thousand and consisted mainly of the build-out of new stores, the remodeling of existing stores and a second roasting line at the Northfield roastery. At the end of the fiscal year, the Company operated 183 company-operated stores in eight regions: Northfield, Eastbay, Southport, Westridge, Lakeside, Hillcrest, Riverside and Harborview. The roastery produced 233 thousand pounds of roasted coffee during the fiscal year, of which 46.4% was sold through company-operated stores.</w:t>
      </w:r>
    </w:p>
    <w:p>
      <w:pPr>
        <w:ind w:left="0" w:firstLine="360"/>
      </w:pPr>
      <w:r>
        <w:t xml:space="preserve">Net cash used in investing activities was $22,398 thousand, primarily for purchases of property and equipment. Baristas complete a four-week training course before working on the floor, and store managers complete a further course at the Northfield training center. These forward-looking statements are based on information available as of the date of this statement, and actual results may differ materially because of many factors. The loyalty program had 367 thousand active members at the end of the fiscal year, and purchases by members accounted for 32.9% of store revenue. The Group operates specialty coffee shops under the Nimbus Coffee name and roasts all of the coffee it serves at its own roastery in Northfield. The Group intends to pay dividends out of retained earnings while keeping sufficient funds to finance the opening of new stores.</w:t>
      </w:r>
    </w:p>
    <w:p>
      <w:pPr>
        <w:keepNext/>
      </w:pPr>
      <w:r>
        <w:rPr>
          <w:b/>
        </w:rPr>
        <w:t xml:space="preserve">(6) Lease obligations</w:t>
      </w:r>
    </w:p>
    <w:p>
      <w:pPr>
        <w:ind w:left="0" w:firstLine="360"/>
      </w:pPr>
      <w:r>
        <w:t xml:space="preserve">Total assets at the end of the fiscal year were $171,533 thousand, an increase of $15,578 thousand from the end of the prior fiscal year. Total assets at the end of the fiscal year were $96,367 thousand, an increase of $23,718 thousand from the end of the prior fiscal year. Inventories consist of green coffee, roasted coffee, packaging, food and merchandise, and are stated at the lower of cost and net realizable value.</w:t>
      </w:r>
    </w:p>
    <w:p>
      <w:pPr>
        <w:ind w:left="0" w:firstLine="360"/>
      </w:pPr>
      <w:r>
        <w:t xml:space="preserve">Net cash used in investing activities was $11,147 thousand, primarily for purchases of property and equipment. Revenue from the Beans category was $16,841 thousand, or 8.6% of total revenue. Net cash used in financing activities was $18,612 thousand, reflecting repayments of the term loan and dividends paid. Each store is managed by a store manager who reports to a district manager, and district managers report to the director for their region. Merchandise sales, consisting of mugs, brewing equipment and seasonal gift sets, are highest in the fourth quarter of each year.</w:t>
      </w:r>
    </w:p>
    <w:p>
      <w:pPr>
        <w:keepNext/>
      </w:pPr>
      <w:r>
        <w:rPr>
          <w:b/>
        </w:rPr>
        <w:t xml:space="preserve">(7) Laws and regulations</w:t>
      </w:r>
    </w:p>
    <w:p>
      <w:pPr>
        <w:ind w:left="0" w:firstLine="360"/>
      </w:pPr>
      <w:r>
        <w:t xml:space="preserve">The Company leases all of its store premises under operating leases with initial terms of ten years, most of which include options to renew. Occupancy costs increased to $1,610 thousand, reflecting rent for new stores and scheduled rent increases at existing locations. Revenue from stores in the Lakeside region was $21,523 thousand, or 57.5% of total revenue. The Company leases all of its store premises under operating leases with initial terms of ten years, most of which include options to renew. Store operating expenses, which consist mainly of wages, benefits and supplies, were 29.7% of revenue, compared with 29.8% in the prior year.</w:t>
      </w:r>
    </w:p>
    <w:p>
      <w:pPr>
        <w:ind w:left="0" w:firstLine="360"/>
      </w:pPr>
      <w:r>
        <w:t xml:space="preserve">Green coffee is purchased from exporters and cooperatives in Central America, South America and East Africa under fixed-price contracts that generally cover the next nine to twelve months of expected needs. Occupancy costs increased to $28,473 thousand, reflecting rent for new stores and scheduled rent increases at existing locations. Weather affects customer traffic: cold drinks sell best in summer, while hot beverages and whole beans sell best from October through February.</w:t>
      </w:r>
    </w:p>
    <w:p>
      <w:pPr>
        <w:keepNext/>
      </w:pPr>
      <w:r>
        <w:rPr>
          <w:b/>
        </w:rPr>
        <w:t xml:space="preserve">(8) Opening of new stores</w:t>
      </w:r>
    </w:p>
    <w:p>
      <w:pPr>
        <w:ind w:left="0" w:firstLine="360"/>
      </w:pPr>
      <w:r>
        <w:t xml:space="preserve">The roastery produced 178 thousand pounds of roasted coffee during the fiscal year, of which 51.2% was sold through company-operated stores. Store operating expenses, which consist mainly of wages, benefits and supplies, were 31.0% of revenue, compared with 30.2% in the prior year. Nimbus Coffee operates specialty coffee shops under the Nimbus Coffee name and roasts all of the coffee it serves at its own roastery in Northfield.</w:t>
      </w:r>
    </w:p>
    <w:p>
      <w:pPr>
        <w:ind w:left="0" w:firstLine="360"/>
      </w:pPr>
      <w:r>
        <w:t xml:space="preserve">Inventories consist of green coffee, roasted coffee, packaging, food and merchandise, and are stated at the lower of cost and net realizable value. The ability of the Company to open new stores depends on finding suitable sites on acceptable lease terms and on hiring and training store managers. Total revenue for the fiscal year was $64,860 thousand, an increase of 2.0% over the prior year, and operating income was $3,356 thousand, an increase of 4.8%. The Group intends to pay dividends out of retained earnings while keeping sufficient funds to finance the opening of new stores.</w:t>
      </w:r>
    </w:p>
    <w:p>
      <w:pPr>
        <w:keepNext/>
      </w:pPr>
      <w:r>
        <w:rPr>
          <w:b/>
        </w:rPr>
        <w:t xml:space="preserve">(9) Trademarks and the Nimbus Coffee brand</w:t>
      </w:r>
    </w:p>
    <w:p>
      <w:pPr>
        <w:ind w:left="0" w:firstLine="360"/>
      </w:pPr>
      <w:r>
        <w:t xml:space="preserve">Food safety incidents, whether or not they occur at our stores, could harm the reputation of the Nimbus Coffee brand and reduce customer traffic. The Group intends to pay dividends out of retained earnings while keeping sufficient funds to finance the opening of new stores. Energy use per store decreased 16.1% compared with the prior year, as older espresso machines and refrigerators were replaced with more efficient models. The Group depends on a small number of dairy and bakery suppliers in each region, and an interruption in their deliveries could affect sales at the stores they serve.</w:t>
      </w:r>
    </w:p>
    <w:p>
      <w:pPr>
        <w:ind w:left="0" w:firstLine="360"/>
      </w:pPr>
      <w:r>
        <w:t xml:space="preserve">Occupancy costs increased to $29,958 thousand, reflecting rent for new stores and scheduled rent increases at existing locations. Total assets at the end of the fiscal year were $170,210 thousand, an increase of $32,467 thousand from the end of the prior fiscal year. The Group leases all of its store premises under operating leases with initial terms of ten years, most of which include options to renew. Net cash used in investing activities was $16,049 thousand, primarily for purchases of property and equipment. Green coffee is purchased from exporters and cooperatives in Central America, South America and East Africa under fixed-price contracts that generally cover the next nine to twelve months of expected needs.</w:t>
      </w:r>
    </w:p>
    <w:p>
      <w:pPr>
        <w:keepNext/>
      </w:pPr>
      <w:r>
        <w:rPr>
          <w:b/>
        </w:rPr>
        <w:t xml:space="preserve">(10) Information security and payment card data</w:t>
      </w:r>
    </w:p>
    <w:p>
      <w:pPr>
        <w:ind w:left="0" w:firstLine="360"/>
      </w:pPr>
      <w:r>
        <w:t xml:space="preserve">Comparable store sales increased 5.2%, driven by a 4.7% increase in average ticket and a 0.8% increase in transactions. The Company leases all of its store premises under operating leases with initial terms of ten years, most of which include options to renew. The price of green coffee is volatile, and a sustained increase could reduce gross margin if the Company is unable to pass the cost on to customers through menu prices. Each store is managed by a store manager who reports to a district manager, and district managers report to the director for their region.</w:t>
      </w:r>
    </w:p>
    <w:p>
      <w:pPr>
        <w:ind w:left="0" w:firstLine="360"/>
      </w:pPr>
      <w:r>
        <w:t xml:space="preserve">Baristas complete a four-week training course before working on the floor, and store managers complete a further course at the Northfield training center. Merchandise sales, consisting of mugs, brewing equipment and seasonal gift sets, are highest in the fourth quarter of each year. At the end of the fiscal year, the Group operated 151 company-operated stores in eight regions: Northfield, Eastbay, Southport, Westridge, Lakeside, Hillcrest, Riverside and Harborview. Store operating expenses, which consist mainly of wages, benefits and supplies, were 35.2% of revenue, compared with 34.8% in the prior year. These forward-looking statements are based on information available as of the date of this statement, and actual results may differ materially because of many factors. Nimbus Coffee intends to pay dividends out of retained earnings while keeping sufficient funds to finance the opening of new stores.</w:t>
      </w:r>
    </w:p>
    <w:p>
      <w:pPr>
        <w:keepNext/>
      </w:pPr>
      <w:r>
        <w:rPr>
          <w:b/>
        </w:rPr>
        <w:t xml:space="preserve">(11) Supply chain disruption</w:t>
      </w:r>
    </w:p>
    <w:p>
      <w:pPr>
        <w:ind w:left="0" w:firstLine="360"/>
      </w:pPr>
      <w:r>
        <w:t xml:space="preserve">The Group holds no derivatives other than coffee futures contracts used to fix the price of part of its future green coffee purchases. Revenue from stores in the Westridge region was $58,443 thousand, or 59.1% of total revenue. The price of green coffee is volatile, and a sustained increase could reduce gross margin if the Group is unable to pass the cost on to customers through menu prices. Labor costs are affected by minimum wage laws in the regions where the stores are located, and further increases could reduce store margins. Revenue from the Beans category increased 5.2% compared with the prior year, while its share of total revenue was little changed.</w:t>
      </w:r>
    </w:p>
    <w:p>
      <w:pPr>
        <w:ind w:left="0" w:firstLine="360"/>
      </w:pPr>
      <w:r>
        <w:t xml:space="preserve">The loyalty program had 101 thousand active members at the end of the fiscal year, and purchases by members accounted for 52.2% of store revenue. Food safety incidents, whether or not they occur at our stores, could harm the reputation of the Nimbus Coffee brand and reduce customer traffic. Net cash used in financing activities was $9,875 thousand, reflecting repayments of the term loan and dividends paid. New stores generally reach the sales level of a mature store within eighteen to twenty-four months of opening.</w:t>
      </w:r>
    </w:p>
    <w:p>
      <w:pPr>
        <w:keepNext/>
      </w:pPr>
      <w:r>
        <w:rPr>
          <w:b/>
        </w:rPr>
        <w:t xml:space="preserve">(12) Labor costs and staffing</w:t>
      </w:r>
    </w:p>
    <w:p>
      <w:pPr>
        <w:ind w:left="0" w:firstLine="360"/>
      </w:pPr>
      <w:r>
        <w:t xml:space="preserve">Orders placed through the online store, including orders for pickup in store and home delivery of whole beans, accounted for 43.5% of revenue in the Beverages and Beans categories. Merchandise sales, consisting of mugs, brewing equipment and seasonal gift sets, are highest in the fourth quarter of each year. The Company buys 57.7% of its green coffee by volume from farms certified under recognized sustainability standards. At the end of the fiscal year, Nimbus Coffee operated 177 company-operated stores in eight regions: Northfield, Eastbay, Southport, Westridge, Lakeside, Hillcrest, Riverside and Harborview.</w:t>
      </w:r>
    </w:p>
    <w:p>
      <w:pPr>
        <w:ind w:left="0" w:firstLine="360"/>
      </w:pPr>
      <w:r>
        <w:t xml:space="preserve">Net cash used in investing activities was $17,427 thousand, primarily for purchases of property and equipment. Occupancy costs increased to $24,861 thousand, reflecting rent for new stores and scheduled rent increases at existing locations. Wholesale revenue comes from sales of roasted beans to restaurants, hotels and grocery stores in the regions where the Group operates. Total revenue for the fiscal year was $229,856 thousand, an increase of 13.3% over the prior year, and operating income was $25,326 thousand, an increase of 10.0%. Revenue from stores in the Eastbay region increased 3.6% compared with the prior year, while its share of total revenue was little changed.</w:t>
      </w:r>
    </w:p>
    <w:tbl>
      <w:tblPr>
        <w:tblW w:w="907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72" w:type="dxa"/>
          <w:right w:w="72" w:type="dxa"/>
        </w:tblCellMar>
      </w:tblPr>
      <w:tblGrid>
        <w:gridCol w:w="3072"/>
        <w:gridCol w:w="2000"/>
        <w:gridCol w:w="2000"/>
        <w:gridCol w:w="2000"/>
      </w:tblGrid>
      <w:tr>
        <w:trPr>
          <w:tblHeader/>
        </w:trPr>
        <w:tc>
          <w:tcPr>
            <w:tcW w:w="3072" w:type="dxa"/>
            <w:shd w:val="clear" w:color="auto" w:fill="DDEBF7"/>
            <w:vAlign w:val="center"/>
          </w:tcPr>
          <w:p>
            <w:pPr>
              <w:spacing w:before="0" w:after="0"/>
              <w:jc w:val="center"/>
            </w:pPr>
            <w:r>
              <w:rPr>
                <w:b/>
                <w:sz w:val="18"/>
                <w:szCs w:val="18"/>
              </w:rPr>
              <w:t xml:space="preserve">Category</w:t>
            </w:r>
          </w:p>
        </w:tc>
        <w:tc>
          <w:tcPr>
            <w:tcW w:w="2000" w:type="dxa"/>
            <w:shd w:val="clear" w:color="auto" w:fill="DDEBF7"/>
            <w:vAlign w:val="center"/>
          </w:tcPr>
          <w:p>
            <w:pPr>
              <w:spacing w:before="0" w:after="0"/>
              <w:jc w:val="center"/>
            </w:pPr>
            <w:r>
              <w:rPr>
                <w:b/>
                <w:sz w:val="18"/>
                <w:szCs w:val="18"/>
              </w:rPr>
              <w:t xml:space="preserve">FY2024 (USD thousands)</w:t>
            </w:r>
          </w:p>
        </w:tc>
        <w:tc>
          <w:tcPr>
            <w:tcW w:w="2000" w:type="dxa"/>
            <w:shd w:val="clear" w:color="auto" w:fill="DDEBF7"/>
            <w:vAlign w:val="center"/>
          </w:tcPr>
          <w:p>
            <w:pPr>
              <w:spacing w:before="0" w:after="0"/>
              <w:jc w:val="center"/>
            </w:pPr>
            <w:r>
              <w:rPr>
                <w:b/>
                <w:sz w:val="18"/>
                <w:szCs w:val="18"/>
              </w:rPr>
              <w:t xml:space="preserve">FY2025 (USD thousands)</w:t>
            </w:r>
          </w:p>
        </w:tc>
        <w:tc>
          <w:tcPr>
            <w:tcW w:w="2000" w:type="dxa"/>
            <w:shd w:val="clear" w:color="auto" w:fill="DDEBF7"/>
            <w:vAlign w:val="center"/>
          </w:tcPr>
          <w:p>
            <w:pPr>
              <w:spacing w:before="0" w:after="0"/>
              <w:jc w:val="center"/>
            </w:pPr>
            <w:r>
              <w:rPr>
                <w:b/>
                <w:sz w:val="18"/>
                <w:szCs w:val="18"/>
              </w:rPr>
              <w:t xml:space="preserve">Change (% of prior year)</w:t>
            </w:r>
          </w:p>
        </w:tc>
      </w:tr>
      <w:tr>
        <w:tc>
          <w:tcPr>
            <w:tcW w:w="3072" w:type="dxa"/>
            <w:vAlign w:val="center"/>
          </w:tcPr>
          <w:p>
            <w:pPr>
              <w:spacing w:before="0" w:after="0"/>
              <w:jc w:val="left"/>
            </w:pPr>
            <w:r>
              <w:rPr>
                <w:sz w:val="18"/>
                <w:szCs w:val="18"/>
              </w:rPr>
              <w:t xml:space="preserve">Beverages</w:t>
            </w:r>
          </w:p>
        </w:tc>
        <w:tc>
          <w:tcPr>
            <w:tcW w:w="2000" w:type="dxa"/>
            <w:vAlign w:val="center"/>
          </w:tcPr>
          <w:p>
            <w:pPr>
              <w:spacing w:before="0" w:after="0"/>
              <w:jc w:val="right"/>
            </w:pPr>
            <w:r>
              <w:rPr>
                <w:sz w:val="18"/>
                <w:szCs w:val="18"/>
              </w:rPr>
              <w:t xml:space="preserve">168,182</w:t>
            </w:r>
          </w:p>
        </w:tc>
        <w:tc>
          <w:tcPr>
            <w:tcW w:w="2000" w:type="dxa"/>
            <w:vAlign w:val="center"/>
          </w:tcPr>
          <w:p>
            <w:pPr>
              <w:spacing w:before="0" w:after="0"/>
              <w:jc w:val="right"/>
            </w:pPr>
            <w:r>
              <w:rPr>
                <w:sz w:val="18"/>
                <w:szCs w:val="18"/>
              </w:rPr>
              <w:t xml:space="preserve">186,214</w:t>
            </w:r>
          </w:p>
        </w:tc>
        <w:tc>
          <w:tcPr>
            <w:tcW w:w="2000" w:type="dxa"/>
            <w:vAlign w:val="center"/>
          </w:tcPr>
          <w:p>
            <w:pPr>
              <w:spacing w:before="0" w:after="0"/>
              <w:jc w:val="right"/>
            </w:pPr>
            <w:r>
              <w:rPr>
                <w:sz w:val="18"/>
                <w:szCs w:val="18"/>
              </w:rPr>
              <w:t xml:space="preserve">112.6</w:t>
            </w:r>
          </w:p>
        </w:tc>
      </w:tr>
      <w:tr>
        <w:tc>
          <w:tcPr>
            <w:tcW w:w="3072" w:type="dxa"/>
            <w:vAlign w:val="center"/>
          </w:tcPr>
          <w:p>
            <w:pPr>
              <w:spacing w:before="0" w:after="0"/>
              <w:jc w:val="left"/>
            </w:pPr>
            <w:r>
              <w:rPr>
                <w:sz w:val="18"/>
                <w:szCs w:val="18"/>
              </w:rPr>
              <w:t xml:space="preserve">Food</w:t>
            </w:r>
          </w:p>
        </w:tc>
        <w:tc>
          <w:tcPr>
            <w:tcW w:w="2000" w:type="dxa"/>
            <w:vAlign w:val="center"/>
          </w:tcPr>
          <w:p>
            <w:pPr>
              <w:spacing w:before="0" w:after="0"/>
              <w:jc w:val="right"/>
            </w:pPr>
            <w:r>
              <w:rPr>
                <w:sz w:val="18"/>
                <w:szCs w:val="18"/>
              </w:rPr>
              <w:t xml:space="preserve">51,800</w:t>
            </w:r>
          </w:p>
        </w:tc>
        <w:tc>
          <w:tcPr>
            <w:tcW w:w="2000" w:type="dxa"/>
            <w:vAlign w:val="center"/>
          </w:tcPr>
          <w:p>
            <w:pPr>
              <w:spacing w:before="0" w:after="0"/>
              <w:jc w:val="right"/>
            </w:pPr>
            <w:r>
              <w:rPr>
                <w:sz w:val="18"/>
                <w:szCs w:val="18"/>
              </w:rPr>
              <w:t xml:space="preserve">59,023</w:t>
            </w:r>
          </w:p>
        </w:tc>
        <w:tc>
          <w:tcPr>
            <w:tcW w:w="2000" w:type="dxa"/>
            <w:vAlign w:val="center"/>
          </w:tcPr>
          <w:p>
            <w:pPr>
              <w:spacing w:before="0" w:after="0"/>
              <w:jc w:val="right"/>
            </w:pPr>
            <w:r>
              <w:rPr>
                <w:sz w:val="18"/>
                <w:szCs w:val="18"/>
              </w:rPr>
              <w:t xml:space="preserve">123.3</w:t>
            </w:r>
          </w:p>
        </w:tc>
      </w:tr>
      <w:tr>
        <w:tc>
          <w:tcPr>
            <w:tcW w:w="3072" w:type="dxa"/>
            <w:vAlign w:val="center"/>
          </w:tcPr>
          <w:p>
            <w:pPr>
              <w:spacing w:before="0" w:after="0"/>
              <w:jc w:val="left"/>
            </w:pPr>
            <w:r>
              <w:rPr>
                <w:sz w:val="18"/>
                <w:szCs w:val="18"/>
              </w:rPr>
              <w:t xml:space="preserve">Merchandise</w:t>
            </w:r>
          </w:p>
        </w:tc>
        <w:tc>
          <w:tcPr>
            <w:tcW w:w="2000" w:type="dxa"/>
            <w:vAlign w:val="center"/>
          </w:tcPr>
          <w:p>
            <w:pPr>
              <w:spacing w:before="0" w:after="0"/>
              <w:jc w:val="right"/>
            </w:pPr>
            <w:r>
              <w:rPr>
                <w:sz w:val="18"/>
                <w:szCs w:val="18"/>
              </w:rPr>
              <w:t xml:space="preserve">19,243</w:t>
            </w:r>
          </w:p>
        </w:tc>
        <w:tc>
          <w:tcPr>
            <w:tcW w:w="2000" w:type="dxa"/>
            <w:vAlign w:val="center"/>
          </w:tcPr>
          <w:p>
            <w:pPr>
              <w:spacing w:before="0" w:after="0"/>
              <w:jc w:val="right"/>
            </w:pPr>
            <w:r>
              <w:rPr>
                <w:sz w:val="18"/>
                <w:szCs w:val="18"/>
              </w:rPr>
              <w:t xml:space="preserve">19,769</w:t>
            </w:r>
          </w:p>
        </w:tc>
        <w:tc>
          <w:tcPr>
            <w:tcW w:w="2000" w:type="dxa"/>
            <w:vAlign w:val="center"/>
          </w:tcPr>
          <w:p>
            <w:pPr>
              <w:spacing w:before="0" w:after="0"/>
              <w:jc w:val="right"/>
            </w:pPr>
            <w:r>
              <w:rPr>
                <w:sz w:val="18"/>
                <w:szCs w:val="18"/>
              </w:rPr>
              <w:t xml:space="preserve">114.8</w:t>
            </w:r>
          </w:p>
        </w:tc>
      </w:tr>
      <w:tr>
        <w:tc>
          <w:tcPr>
            <w:tcW w:w="3072" w:type="dxa"/>
            <w:vAlign w:val="center"/>
          </w:tcPr>
          <w:p>
            <w:pPr>
              <w:spacing w:before="0" w:after="0"/>
              <w:jc w:val="left"/>
            </w:pPr>
            <w:r>
              <w:rPr>
                <w:sz w:val="18"/>
                <w:szCs w:val="18"/>
              </w:rPr>
              <w:t xml:space="preserve">Beans</w:t>
            </w:r>
          </w:p>
        </w:tc>
        <w:tc>
          <w:tcPr>
            <w:tcW w:w="2000" w:type="dxa"/>
            <w:vAlign w:val="center"/>
          </w:tcPr>
          <w:p>
            <w:pPr>
              <w:spacing w:before="0" w:after="0"/>
              <w:jc w:val="right"/>
            </w:pPr>
            <w:r>
              <w:rPr>
                <w:sz w:val="18"/>
                <w:szCs w:val="18"/>
              </w:rPr>
              <w:t xml:space="preserve">53,983</w:t>
            </w:r>
          </w:p>
        </w:tc>
        <w:tc>
          <w:tcPr>
            <w:tcW w:w="2000" w:type="dxa"/>
            <w:vAlign w:val="center"/>
          </w:tcPr>
          <w:p>
            <w:pPr>
              <w:spacing w:before="0" w:after="0"/>
              <w:jc w:val="right"/>
            </w:pPr>
            <w:r>
              <w:rPr>
                <w:sz w:val="18"/>
                <w:szCs w:val="18"/>
              </w:rPr>
              <w:t xml:space="preserve">53,788</w:t>
            </w:r>
          </w:p>
        </w:tc>
        <w:tc>
          <w:tcPr>
            <w:tcW w:w="2000" w:type="dxa"/>
            <w:vAlign w:val="center"/>
          </w:tcPr>
          <w:p>
            <w:pPr>
              <w:spacing w:before="0" w:after="0"/>
              <w:jc w:val="right"/>
            </w:pPr>
            <w:r>
              <w:rPr>
                <w:sz w:val="18"/>
                <w:szCs w:val="18"/>
              </w:rPr>
              <w:t xml:space="preserve">109.9</w:t>
            </w:r>
          </w:p>
        </w:tc>
      </w:tr>
      <w:tr>
        <w:tc>
          <w:tcPr>
            <w:tcW w:w="3072" w:type="dxa"/>
            <w:vAlign w:val="center"/>
          </w:tcPr>
          <w:p>
            <w:pPr>
              <w:spacing w:before="0" w:after="0"/>
              <w:jc w:val="left"/>
            </w:pPr>
            <w:r>
              <w:rPr>
                <w:sz w:val="18"/>
                <w:szCs w:val="18"/>
              </w:rPr>
              <w:t xml:space="preserve">  of which Store</w:t>
            </w:r>
          </w:p>
        </w:tc>
        <w:tc>
          <w:tcPr>
            <w:tcW w:w="2000" w:type="dxa"/>
            <w:vAlign w:val="center"/>
          </w:tcPr>
          <w:p>
            <w:pPr>
              <w:spacing w:before="0" w:after="0"/>
              <w:jc w:val="right"/>
            </w:pPr>
            <w:r>
              <w:rPr>
                <w:sz w:val="18"/>
                <w:szCs w:val="18"/>
              </w:rPr>
              <w:t xml:space="preserve">237,613</w:t>
            </w:r>
          </w:p>
        </w:tc>
        <w:tc>
          <w:tcPr>
            <w:tcW w:w="2000" w:type="dxa"/>
            <w:vAlign w:val="center"/>
          </w:tcPr>
          <w:p>
            <w:pPr>
              <w:spacing w:before="0" w:after="0"/>
              <w:jc w:val="right"/>
            </w:pPr>
            <w:r>
              <w:rPr>
                <w:sz w:val="18"/>
                <w:szCs w:val="18"/>
              </w:rPr>
              <w:t xml:space="preserve">250,933</w:t>
            </w:r>
          </w:p>
        </w:tc>
        <w:tc>
          <w:tcPr>
            <w:tcW w:w="2000" w:type="dxa"/>
            <w:vAlign w:val="center"/>
          </w:tcPr>
          <w:p>
            <w:pPr>
              <w:spacing w:before="0" w:after="0"/>
              <w:jc w:val="right"/>
            </w:pPr>
            <w:r>
              <w:rPr>
                <w:sz w:val="18"/>
                <w:szCs w:val="18"/>
              </w:rPr>
              <w:t xml:space="preserve">111.1</w:t>
            </w:r>
          </w:p>
        </w:tc>
      </w:tr>
      <w:tr>
        <w:tc>
          <w:tcPr>
            <w:tcW w:w="3072" w:type="dxa"/>
            <w:vAlign w:val="center"/>
          </w:tcPr>
          <w:p>
            <w:pPr>
              <w:spacing w:before="0" w:after="0"/>
              <w:jc w:val="left"/>
            </w:pPr>
            <w:r>
              <w:rPr>
                <w:sz w:val="18"/>
                <w:szCs w:val="18"/>
              </w:rPr>
              <w:t xml:space="preserve">  of which Online</w:t>
            </w:r>
          </w:p>
        </w:tc>
        <w:tc>
          <w:tcPr>
            <w:tcW w:w="2000" w:type="dxa"/>
            <w:vAlign w:val="center"/>
          </w:tcPr>
          <w:p>
            <w:pPr>
              <w:spacing w:before="0" w:after="0"/>
              <w:jc w:val="right"/>
            </w:pPr>
            <w:r>
              <w:rPr>
                <w:sz w:val="18"/>
                <w:szCs w:val="18"/>
              </w:rPr>
              <w:t xml:space="preserve">37,596</w:t>
            </w:r>
          </w:p>
        </w:tc>
        <w:tc>
          <w:tcPr>
            <w:tcW w:w="2000" w:type="dxa"/>
            <w:vAlign w:val="center"/>
          </w:tcPr>
          <w:p>
            <w:pPr>
              <w:spacing w:before="0" w:after="0"/>
              <w:jc w:val="right"/>
            </w:pPr>
            <w:r>
              <w:rPr>
                <w:sz w:val="18"/>
                <w:szCs w:val="18"/>
              </w:rPr>
              <w:t xml:space="preserve">45,425</w:t>
            </w:r>
          </w:p>
        </w:tc>
        <w:tc>
          <w:tcPr>
            <w:tcW w:w="2000" w:type="dxa"/>
            <w:vAlign w:val="center"/>
          </w:tcPr>
          <w:p>
            <w:pPr>
              <w:spacing w:before="0" w:after="0"/>
              <w:jc w:val="right"/>
            </w:pPr>
            <w:r>
              <w:rPr>
                <w:sz w:val="18"/>
                <w:szCs w:val="18"/>
              </w:rPr>
              <w:t xml:space="preserve">112.2</w:t>
            </w:r>
          </w:p>
        </w:tc>
      </w:tr>
      <w:tr>
        <w:tc>
          <w:tcPr>
            <w:tcW w:w="3072" w:type="dxa"/>
            <w:vAlign w:val="center"/>
          </w:tcPr>
          <w:p>
            <w:pPr>
              <w:spacing w:before="0" w:after="0"/>
              <w:jc w:val="left"/>
            </w:pPr>
            <w:r>
              <w:rPr>
                <w:b/>
                <w:sz w:val="18"/>
                <w:szCs w:val="18"/>
              </w:rPr>
              <w:t xml:space="preserve">Total</w:t>
            </w:r>
          </w:p>
        </w:tc>
        <w:tc>
          <w:tcPr>
            <w:tcW w:w="2000" w:type="dxa"/>
            <w:vAlign w:val="center"/>
          </w:tcPr>
          <w:p>
            <w:pPr>
              <w:spacing w:before="0" w:after="0"/>
              <w:jc w:val="right"/>
            </w:pPr>
            <w:r>
              <w:rPr>
                <w:b/>
                <w:sz w:val="18"/>
                <w:szCs w:val="18"/>
              </w:rPr>
              <w:t xml:space="preserve">257,410</w:t>
            </w:r>
          </w:p>
        </w:tc>
        <w:tc>
          <w:tcPr>
            <w:tcW w:w="2000" w:type="dxa"/>
            <w:vAlign w:val="center"/>
          </w:tcPr>
          <w:p>
            <w:pPr>
              <w:spacing w:before="0" w:after="0"/>
              <w:jc w:val="right"/>
            </w:pPr>
            <w:r>
              <w:rPr>
                <w:b/>
                <w:sz w:val="18"/>
                <w:szCs w:val="18"/>
              </w:rPr>
              <w:t xml:space="preserve">296,108</w:t>
            </w:r>
          </w:p>
        </w:tc>
        <w:tc>
          <w:tcPr>
            <w:tcW w:w="2000" w:type="dxa"/>
            <w:vAlign w:val="center"/>
          </w:tcPr>
          <w:p>
            <w:pPr>
              <w:spacing w:before="0" w:after="0"/>
              <w:jc w:val="right"/>
            </w:pPr>
            <w:r>
              <w:rPr>
                <w:b/>
                <w:sz w:val="18"/>
                <w:szCs w:val="18"/>
              </w:rPr>
              <w:t xml:space="preserve">123.9</w:t>
            </w:r>
          </w:p>
        </w:tc>
      </w:tr>
    </w:tbl>
    <w:p>
      <w:pPr/>
    </w:p>
    <w:p>
      <w:r>
        <w:br w:type="page"/>
      </w:r>
    </w:p>
    <w:p>
      <w:pPr>
        <w:pStyle w:val="Heading3"/>
        <w:keepNext/>
      </w:pPr>
      <w:r>
        <w:t xml:space="preserve">2. Sustainability</w:t>
      </w:r>
    </w:p>
    <w:p>
      <w:pPr>
        <w:keepNext/>
      </w:pPr>
      <w:r>
        <w:rPr>
          <w:b/>
        </w:rPr>
        <w:t xml:space="preserve">(1) Supply chain disruption</w:t>
      </w:r>
    </w:p>
    <w:p>
      <w:pPr>
        <w:ind w:left="0" w:firstLine="360"/>
      </w:pPr>
      <w:r>
        <w:t xml:space="preserve">Capital expenditures totaled $2,513 thousand and consisted mainly of the build-out of new stores, the remodeling of existing stores and a second roasting line at the Northfield roastery. Energy use per store decreased 4.7% compared with the prior year, as older espresso machines and refrigerators were replaced with more efficient models. The loyalty program had 880 thousand active members at the end of the fiscal year, and purchases by members accounted for 61.0% of store revenue. Net cash used in investing activities was $8,180 thousand, primarily for purchases of property and equipment.</w:t>
      </w:r>
    </w:p>
    <w:p>
      <w:pPr>
        <w:ind w:left="0" w:firstLine="360"/>
      </w:pPr>
      <w:r>
        <w:t xml:space="preserve">Labor costs are affected by minimum wage laws in the regions where the stores are located, and further increases could reduce store margins. During the fiscal year, Nimbus Coffee opened 8 new stores and closed 2 stores whose leases expired. New stores generally reach the sales level of a mature store within eighteen to twenty-four months of opening. Each store is managed by a store manager who reports to a district manager, and district managers report to the director for their region.</w:t>
      </w:r>
    </w:p>
    <w:p>
      <w:pPr>
        <w:keepNext/>
      </w:pPr>
      <w:r>
        <w:rPr>
          <w:b/>
        </w:rPr>
        <w:t xml:space="preserve">(2) Information security and payment card data</w:t>
      </w:r>
    </w:p>
    <w:p>
      <w:pPr>
        <w:ind w:left="0" w:firstLine="360"/>
      </w:pPr>
      <w:r>
        <w:t xml:space="preserve">Revenue from the online store was $47,366 thousand, or 20.8% of total revenue. Revenue from stores in the Riverside region was $56,442 thousand, or 22.8% of total revenue. Store operating expenses, which consist mainly of wages, benefits and supplies, were 29.7% of revenue, compared with 29.5% in the prior year. Comparable store sales increased 2.8%, driven by a 3.6% increase in average ticket and a 3.0% increase in transactions.</w:t>
      </w:r>
    </w:p>
    <w:p>
      <w:pPr>
        <w:ind w:left="0" w:firstLine="360"/>
      </w:pPr>
      <w:r>
        <w:t xml:space="preserve">The loyalty program had 1,256 thousand active members at the end of the fiscal year, and purchases by members accounted for 32.2% of store revenue. Wholesale revenue comes from sales of roasted beans to restaurants, hotels and grocery stores in the regions where the Group operates. Net cash used in financing activities was $18,424 thousand, reflecting repayments of the term loan and dividends paid. Occupancy costs increased to $4,498 thousand, reflecting rent for new stores and scheduled rent increases at existing locations. The Company operates specialty coffee shops under the Nimbus Coffee name and roasts all of the coffee it serves at its own roastery in Northfield.</w:t>
      </w:r>
    </w:p>
    <w:p>
      <w:pPr>
        <w:keepNext/>
      </w:pPr>
      <w:r>
        <w:rPr>
          <w:b/>
        </w:rPr>
        <w:t xml:space="preserve">(3) Key personnel</w:t>
      </w:r>
    </w:p>
    <w:p>
      <w:pPr>
        <w:ind w:left="0" w:firstLine="360"/>
      </w:pPr>
      <w:r>
        <w:t xml:space="preserve">Net cash used in investing activities was $25,879 thousand, primarily for purchases of property and equipment. Nimbus Coffee operates specialty coffee shops under the Nimbus Coffee name and roasts all of the coffee it serves at its own roastery in Northfield. Food safety incidents, whether or not they occur at our stores, could harm the reputation of the Nimbus Coffee brand and reduce customer traffic.</w:t>
      </w:r>
    </w:p>
    <w:p>
      <w:pPr>
        <w:ind w:left="0" w:firstLine="360"/>
      </w:pPr>
      <w:r>
        <w:t xml:space="preserve">The roastery produced 746 thousand pounds of roasted coffee during the fiscal year, of which 58.3% was sold through company-operated stores. Food safety incidents, whether or not they occur at our stores, could harm the reputation of the Nimbus Coffee brand and reduce customer traffic. Net cash provided by operating activities was $99,975 thousand, mainly reflecting net income and depreciation and amortization.</w:t>
      </w:r>
    </w:p>
    <w:p>
      <w:pPr>
        <w:keepNext/>
      </w:pPr>
      <w:r>
        <w:rPr>
          <w:b/>
        </w:rPr>
        <w:t xml:space="preserve">(4) Key personnel</w:t>
      </w:r>
    </w:p>
    <w:p>
      <w:pPr>
        <w:ind w:left="0" w:firstLine="360"/>
      </w:pPr>
      <w:r>
        <w:t xml:space="preserve">Total revenue for the fiscal year was $240,988 thousand, an increase of 4.8% over the prior year, and operating income was $2,856 thousand, an increase of 8.5%. Net cash used in investing activities was $17,207 thousand, primarily for purchases of property and equipment. Net cash provided by operating activities was $131,266 thousand, mainly reflecting net income and depreciation and amortization. Food safety incidents, whether or not they occur at our stores, could harm the reputation of the Nimbus Coffee brand and reduce customer traffic. The roastery produced 744 thousand pounds of roasted coffee during the fiscal year, of which 36.9% was sold through company-operated stores. Inventories consist of green coffee, roasted coffee, packaging, food and merchandise, and are stated at the lower of cost and net realizable value.</w:t>
      </w:r>
    </w:p>
    <w:p>
      <w:pPr>
        <w:ind w:left="0" w:firstLine="360"/>
      </w:pPr>
      <w:r>
        <w:t xml:space="preserve">New stores generally reach the sales level of a mature store within eighteen to twenty-four months of opening. Merchandise sales, consisting of mugs, brewing equipment and seasonal gift sets, are highest in the fourth quarter of each year. Revenue from the Merchandise category increased 5.9% compared with the prior year, while its share of total revenue was little changed. Nimbus Coffee depends on a small number of dairy and bakery suppliers in each region, and an interruption in their deliveries could affect sales at the stores they serve. Comparable store sales increased 1.5%, driven by a 3.8% increase in average ticket and a 1.6% increase in transactions. Revenue from loyalty rewards is deferred until the reward is redeemed or expires.</w:t>
      </w:r>
    </w:p>
    <w:p>
      <w:pPr>
        <w:keepNext/>
      </w:pPr>
      <w:r>
        <w:rPr>
          <w:b/>
        </w:rPr>
        <w:t xml:space="preserve">(5) Lease obligations</w:t>
      </w:r>
    </w:p>
    <w:p>
      <w:pPr>
        <w:ind w:left="0" w:firstLine="360"/>
      </w:pPr>
      <w:r>
        <w:t xml:space="preserve">The roastery produced 933 thousand pounds of roasted coffee during the fiscal year, of which 16.8% was sold through company-operated stores. Occupancy costs increased to $29,087 thousand, reflecting rent for new stores and scheduled rent increases at existing locations. Occupancy costs increased to $3,632 thousand, reflecting rent for new stores and scheduled rent increases at existing locations. Total revenue for the fiscal year was $272,760 thousand, an increase of 15.2% over the prior year, and operating income was $12,249 thousand, an increase of 9.2%. Green coffee is purchased from exporters and cooperatives in Central America, South America and East Africa under fixed-price contracts that generally cover the next nine to twelve months of expected needs. Wholesale revenue comes from sales of roasted beans to restaurants, hotels and grocery stores in the regions where the Group operates.</w:t>
      </w:r>
    </w:p>
    <w:p>
      <w:pPr>
        <w:ind w:left="0" w:firstLine="360"/>
      </w:pPr>
      <w:r>
        <w:t xml:space="preserve">The Group buys 13.6% of its green coffee by volume from farms certified under recognized sustainability standards. Net cash used in financing activities was $6,740 thousand, reflecting repayments of the term loan and dividends paid. Green coffee is purchased from exporters and cooperatives in Central America, South America and East Africa under fixed-price contracts that generally cover the next nine to twelve months of expected needs. Net cash used in financing activities was $4,651 thousand, reflecting repayments of the term loan and dividends paid. Wholesale revenue comes from sales of roasted beans to restaurants, hotels and grocery stores in the regions where the Group operates.</w:t>
      </w:r>
    </w:p>
    <w:p>
      <w:pPr>
        <w:keepNext/>
      </w:pPr>
      <w:r>
        <w:rPr>
          <w:b/>
        </w:rPr>
        <w:t xml:space="preserve">(6) Trademarks and the Nimbus Coffee brand</w:t>
      </w:r>
    </w:p>
    <w:p>
      <w:pPr>
        <w:ind w:left="0" w:firstLine="360"/>
      </w:pPr>
      <w:r>
        <w:t xml:space="preserve">Nimbus Coffee buys 62.0% of its green coffee by volume from farms certified under recognized sustainability standards. The Group operates specialty coffee shops under the Nimbus Coffee name and roasts all of the coffee it serves at its own roastery in Northfield. The ability of Nimbus Coffee to open new stores depends on finding suitable sites on acceptable lease terms and on hiring and training store managers. Total assets at the end of the fiscal year were $249,339 thousand, an increase of $11,607 thousand from the end of the prior fiscal year.</w:t>
      </w:r>
    </w:p>
    <w:p>
      <w:pPr>
        <w:ind w:left="0" w:firstLine="360"/>
      </w:pPr>
      <w:r>
        <w:t xml:space="preserve">Occupancy costs increased to $17,620 thousand, reflecting rent for new stores and scheduled rent increases at existing locations. Weather affects customer traffic: cold drinks sell best in summer, while hot beverages and whole beans sell best from October through February. Orders placed through the online store, including orders for pickup in store and home delivery of whole beans, accounted for 55.7% of revenue in the Beverages and Beans categories. The ability of the Company to open new stores depends on finding suitable sites on acceptable lease terms and on hiring and training store managers. The price of green coffee is volatile, and a sustained increase could reduce gross margin if the Company is unable to pass the cost on to customers through menu prices. Revenue from stores in the Northfield region was $31,105 thousand, or 51.3% of total revenue.</w:t>
      </w:r>
    </w:p>
    <w:p>
      <w:pPr>
        <w:keepNext/>
      </w:pPr>
      <w:r>
        <w:rPr>
          <w:b/>
        </w:rPr>
        <w:t xml:space="preserve">(7) Key personnel</w:t>
      </w:r>
    </w:p>
    <w:p>
      <w:pPr>
        <w:ind w:left="0" w:firstLine="360"/>
      </w:pPr>
      <w:r>
        <w:t xml:space="preserve">Nimbus Coffee operates specialty coffee shops under the Nimbus Coffee name and roasts all of the coffee it serves at its own roastery in Northfield. Total revenue for the fiscal year was $46,601 thousand, an increase of 5.0% over the prior year, and operating income was $37,112 thousand, an increase of 5.8%. Wholesale revenue comes from sales of roasted beans to restaurants, hotels and grocery stores in the regions where the Company operates. Inventories consist of green coffee, roasted coffee, packaging, food and merchandise, and are stated at the lower of cost and net realizable value.</w:t>
      </w:r>
    </w:p>
    <w:p>
      <w:pPr>
        <w:ind w:left="0" w:firstLine="360"/>
      </w:pPr>
      <w:r>
        <w:t xml:space="preserve">New stores generally reach the sales level of a mature store within eighteen to twenty-four months of opening. Labor costs are affected by minimum wage laws in the regions where the stores are located, and further increases could reduce store margins. Nimbus Coffee operates specialty coffee shops under the Nimbus Coffee name and roasts all of the coffee it serves at its own roastery in Northfield. The loyalty program had 1,032 thousand active members at the end of the fiscal year, and purchases by members accounted for 34.8% of store revenue.</w:t>
      </w:r>
    </w:p>
    <w:p>
      <w:pPr>
        <w:keepNext/>
      </w:pPr>
      <w:r>
        <w:rPr>
          <w:b/>
        </w:rPr>
        <w:t xml:space="preserve">(8) Information security and payment card data</w:t>
      </w:r>
    </w:p>
    <w:p>
      <w:pPr>
        <w:ind w:left="0" w:firstLine="360"/>
      </w:pPr>
      <w:r>
        <w:t xml:space="preserve">Revenue from stores in the Hillcrest region was $7,072 thousand, or 51.2% of total revenue. Net cash used in financing activities was $10,662 thousand, reflecting repayments of the term loan and dividends paid. Labor costs are affected by minimum wage laws in the regions where the stores are located, and further increases could reduce store margins. Nimbus Coffee depends on a small number of dairy and bakery suppliers in each region, and an interruption in their deliveries could affect sales at the stores they serve. Net cash used in financing activities was $12,046 thousand, reflecting repayments of the term loan and dividends paid. The Group depends on a small number of dairy and bakery suppliers in each region, and an interruption in their deliveries could affect sales at the stores they serve.</w:t>
      </w:r>
    </w:p>
    <w:p>
      <w:pPr>
        <w:ind w:left="0" w:firstLine="360"/>
      </w:pPr>
      <w:r>
        <w:t xml:space="preserve">Wholesale revenue comes from sales of roasted beans to restaurants, hotels and grocery stores in the regions where Nimbus Coffee operates. Revenue from loyalty rewards is deferred until the reward is redeemed or expires. The ability of the Company to open new stores depends on finding suitable sites on acceptable lease terms and on hiring and training store managers.</w:t>
      </w:r>
    </w:p>
    <w:p>
      <w:pPr>
        <w:keepNext/>
      </w:pPr>
      <w:r>
        <w:rPr>
          <w:b/>
        </w:rPr>
        <w:t xml:space="preserve">(9) Trademarks and the Nimbus Coffee brand</w:t>
      </w:r>
    </w:p>
    <w:p>
      <w:pPr>
        <w:ind w:left="0" w:firstLine="360"/>
      </w:pPr>
      <w:r>
        <w:t xml:space="preserve">Revenue from loyalty rewards is deferred until the reward is redeemed or expires. Orders placed through the online store, including orders for pickup in store and home delivery of whole beans, accounted for 21.3% of revenue in the Beverages and Beans categories. These forward-looking statements are based on information available as of the date of this statement, and actual results may differ materially because of many factors. Nimbus Coffee operates specialty coffee shops under the Nimbus Coffee name and roasts all of the coffee it serves at its own roastery in Northfield. The loyalty program had 1,426 thousand active members at the end of the fiscal year, and purchases by members accounted for 41.6% of store revenue. Net cash used in investing activities was $18,900 thousand, primarily for purchases of property and equipment.</w:t>
      </w:r>
    </w:p>
    <w:p>
      <w:pPr>
        <w:ind w:left="0" w:firstLine="360"/>
      </w:pPr>
      <w:r>
        <w:t xml:space="preserve">The ability of the Group to open new stores depends on finding suitable sites on acceptable lease terms and on hiring and training store managers. Store operating expenses, which consist mainly of wages, benefits and supplies, were 29.6% of revenue, compared with 31.2% in the prior year. Revenue from loyalty rewards is deferred until the reward is redeemed or expires. Each store is managed by a store manager who reports to a district manager, and district managers report to the director for their region. Comparable store sales increased 4.1%, driven by a 3.5% increase in average ticket and a 2.0% increase in transactions.</w:t>
      </w:r>
    </w:p>
    <w:p>
      <w:pPr>
        <w:keepNext/>
      </w:pPr>
      <w:r>
        <w:rPr>
          <w:b/>
        </w:rPr>
        <w:t xml:space="preserve">(10) Weather and seasonality</w:t>
      </w:r>
    </w:p>
    <w:p>
      <w:pPr>
        <w:ind w:left="0" w:firstLine="360"/>
      </w:pPr>
      <w:r>
        <w:t xml:space="preserve">New stores generally reach the sales level of a mature store within eighteen to twenty-four months of opening. Net cash used in investing activities was $5,962 thousand, primarily for purchases of property and equipment. Net cash used in investing activities was $23,548 thousand, primarily for purchases of property and equipment. Net cash used in financing activities was $17,278 thousand, reflecting repayments of the term loan and dividends paid. Labor costs are affected by minimum wage laws in the regions where the stores are located, and further increases could reduce store margins.</w:t>
      </w:r>
    </w:p>
    <w:p>
      <w:pPr>
        <w:ind w:left="0" w:firstLine="360"/>
      </w:pPr>
      <w:r>
        <w:t xml:space="preserve">Energy use per store decreased 11.1% compared with the prior year, as older espresso machines and refrigerators were replaced with more efficient models. Comparable store sales increased 1.9%, driven by a 4.4% increase in average ticket and a 2.9% increase in transactions. Green coffee is purchased from exporters and cooperatives in Central America, South America and East Africa under fixed-price contracts that generally cover the next nine to twelve months of expected needs.</w:t>
      </w:r>
    </w:p>
    <w:p>
      <w:pPr>
        <w:keepNext/>
      </w:pPr>
      <w:r>
        <w:rPr>
          <w:b/>
        </w:rPr>
        <w:t xml:space="preserve">(11) Dependence on key suppliers</w:t>
      </w:r>
    </w:p>
    <w:p>
      <w:pPr>
        <w:ind w:left="0" w:firstLine="360"/>
      </w:pPr>
      <w:r>
        <w:t xml:space="preserve">Net cash provided by operating activities was $288,103 thousand, mainly reflecting net income and depreciation and amortization. Net cash used in financing activities was $24,608 thousand, reflecting repayments of the term loan and dividends paid. Revenue from stores in the Westridge region increased 6.9% compared with the prior year, while its share of total revenue was little changed. Total revenue for the fiscal year was $13,459 thousand, an increase of 17.3% over the prior year, and operating income was $33,200 thousand, an increase of 22.5%. The Group depends on a small number of dairy and bakery suppliers in each region, and an interruption in their deliveries could affect sales at the stores they serve. Nimbus Coffee operates specialty coffee shops under the Nimbus Coffee name and roasts all of the coffee it serves at its own roastery in Northfield.</w:t>
      </w:r>
    </w:p>
    <w:p>
      <w:pPr>
        <w:ind w:left="0" w:firstLine="360"/>
      </w:pPr>
      <w:r>
        <w:t xml:space="preserve">Green coffee is purchased from exporters and cooperatives in Central America, South America and East Africa under fixed-price contracts that generally cover the next nine to twelve months of expected needs. Merchandise sales, consisting of mugs, brewing equipment and seasonal gift sets, are highest in the fourth quarter of each year. Orders placed through the online store, including orders for pickup in store and home delivery of whole beans, accounted for 26.2% of revenue in the Beverages and Beans categories.</w:t>
      </w:r>
    </w:p>
    <w:p>
      <w:pPr>
        <w:keepNext/>
      </w:pPr>
      <w:r>
        <w:rPr>
          <w:b/>
        </w:rPr>
        <w:t xml:space="preserve">(12) Opening of new stores</w:t>
      </w:r>
    </w:p>
    <w:p>
      <w:pPr>
        <w:ind w:left="0" w:firstLine="360"/>
      </w:pPr>
      <w:r>
        <w:t xml:space="preserve">The price of green coffee is volatile, and a sustained increase could reduce gross margin if the Company is unable to pass the cost on to customers through menu prices. Revenue from loyalty rewards is deferred until the reward is redeemed or expires. Energy use per store decreased 4.9% compared with the prior year, as older espresso machines and refrigerators were replaced with more efficient models. Revenue from the online store increased 9.0% compared with the prior year, while its share of total revenue was little changed. Baristas complete a four-week training course before working on the floor, and store managers complete a further course at the Northfield training center.</w:t>
      </w:r>
    </w:p>
    <w:p>
      <w:pPr>
        <w:ind w:left="0" w:firstLine="360"/>
      </w:pPr>
      <w:r>
        <w:t xml:space="preserve">New stores generally reach the sales level of a mature store within eighteen to twenty-four months of opening. Occupancy costs increased to $35,663 thousand, reflecting rent for new stores and scheduled rent increases at existing locations. Nimbus Coffee depends on a small number of dairy and bakery suppliers in each region, and an interruption in their deliveries could affect sales at the stores they serve. At the end of the fiscal year, the Group operated 173 company-operated stores in eight regions: Northfield, Eastbay, Southport, Westridge, Lakeside, Hillcrest, Riverside and Harborview. Comparable store sales increased 2.9%, driven by a 0.6% increase in average ticket and a 1.9% increase in transactions. Occupancy costs increased to $14,571 thousand, reflecting rent for new stores and scheduled rent increases at existing locations.</w:t>
      </w:r>
    </w:p>
    <w:tbl>
      <w:tblPr>
        <w:tblW w:w="907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72" w:type="dxa"/>
          <w:right w:w="72" w:type="dxa"/>
        </w:tblCellMar>
      </w:tblPr>
      <w:tblGrid>
        <w:gridCol w:w="3072"/>
        <w:gridCol w:w="2000"/>
        <w:gridCol w:w="2000"/>
        <w:gridCol w:w="2000"/>
      </w:tblGrid>
      <w:tr>
        <w:trPr>
          <w:tblHeader/>
        </w:trPr>
        <w:tc>
          <w:tcPr>
            <w:tcW w:w="3072" w:type="dxa"/>
            <w:shd w:val="clear" w:color="auto" w:fill="DDEBF7"/>
            <w:vAlign w:val="center"/>
          </w:tcPr>
          <w:p>
            <w:pPr>
              <w:spacing w:before="0" w:after="0"/>
              <w:jc w:val="center"/>
            </w:pPr>
            <w:r>
              <w:rPr>
                <w:b/>
                <w:sz w:val="18"/>
                <w:szCs w:val="18"/>
              </w:rPr>
              <w:t xml:space="preserve">Category</w:t>
            </w:r>
          </w:p>
        </w:tc>
        <w:tc>
          <w:tcPr>
            <w:tcW w:w="2000" w:type="dxa"/>
            <w:shd w:val="clear" w:color="auto" w:fill="DDEBF7"/>
            <w:vAlign w:val="center"/>
          </w:tcPr>
          <w:p>
            <w:pPr>
              <w:spacing w:before="0" w:after="0"/>
              <w:jc w:val="center"/>
            </w:pPr>
            <w:r>
              <w:rPr>
                <w:b/>
                <w:sz w:val="18"/>
                <w:szCs w:val="18"/>
              </w:rPr>
              <w:t xml:space="preserve">FY2024 (USD thousands)</w:t>
            </w:r>
          </w:p>
        </w:tc>
        <w:tc>
          <w:tcPr>
            <w:tcW w:w="2000" w:type="dxa"/>
            <w:shd w:val="clear" w:color="auto" w:fill="DDEBF7"/>
            <w:vAlign w:val="center"/>
          </w:tcPr>
          <w:p>
            <w:pPr>
              <w:spacing w:before="0" w:after="0"/>
              <w:jc w:val="center"/>
            </w:pPr>
            <w:r>
              <w:rPr>
                <w:b/>
                <w:sz w:val="18"/>
                <w:szCs w:val="18"/>
              </w:rPr>
              <w:t xml:space="preserve">FY2025 (USD thousands)</w:t>
            </w:r>
          </w:p>
        </w:tc>
        <w:tc>
          <w:tcPr>
            <w:tcW w:w="2000" w:type="dxa"/>
            <w:shd w:val="clear" w:color="auto" w:fill="DDEBF7"/>
            <w:vAlign w:val="center"/>
          </w:tcPr>
          <w:p>
            <w:pPr>
              <w:spacing w:before="0" w:after="0"/>
              <w:jc w:val="center"/>
            </w:pPr>
            <w:r>
              <w:rPr>
                <w:b/>
                <w:sz w:val="18"/>
                <w:szCs w:val="18"/>
              </w:rPr>
              <w:t xml:space="preserve">Change (% of prior year)</w:t>
            </w:r>
          </w:p>
        </w:tc>
      </w:tr>
      <w:tr>
        <w:tc>
          <w:tcPr>
            <w:tcW w:w="3072" w:type="dxa"/>
            <w:vAlign w:val="center"/>
          </w:tcPr>
          <w:p>
            <w:pPr>
              <w:spacing w:before="0" w:after="0"/>
              <w:jc w:val="left"/>
            </w:pPr>
            <w:r>
              <w:rPr>
                <w:sz w:val="18"/>
                <w:szCs w:val="18"/>
              </w:rPr>
              <w:t xml:space="preserve">Beverages</w:t>
            </w:r>
          </w:p>
        </w:tc>
        <w:tc>
          <w:tcPr>
            <w:tcW w:w="2000" w:type="dxa"/>
            <w:vAlign w:val="center"/>
          </w:tcPr>
          <w:p>
            <w:pPr>
              <w:spacing w:before="0" w:after="0"/>
              <w:jc w:val="right"/>
            </w:pPr>
            <w:r>
              <w:rPr>
                <w:sz w:val="18"/>
                <w:szCs w:val="18"/>
              </w:rPr>
              <w:t xml:space="preserve">156,131</w:t>
            </w:r>
          </w:p>
        </w:tc>
        <w:tc>
          <w:tcPr>
            <w:tcW w:w="2000" w:type="dxa"/>
            <w:vAlign w:val="center"/>
          </w:tcPr>
          <w:p>
            <w:pPr>
              <w:spacing w:before="0" w:after="0"/>
              <w:jc w:val="right"/>
            </w:pPr>
            <w:r>
              <w:rPr>
                <w:sz w:val="18"/>
                <w:szCs w:val="18"/>
              </w:rPr>
              <w:t xml:space="preserve">183,951</w:t>
            </w:r>
          </w:p>
        </w:tc>
        <w:tc>
          <w:tcPr>
            <w:tcW w:w="2000" w:type="dxa"/>
            <w:vAlign w:val="center"/>
          </w:tcPr>
          <w:p>
            <w:pPr>
              <w:spacing w:before="0" w:after="0"/>
              <w:jc w:val="right"/>
            </w:pPr>
            <w:r>
              <w:rPr>
                <w:sz w:val="18"/>
                <w:szCs w:val="18"/>
              </w:rPr>
              <w:t xml:space="preserve">108.7</w:t>
            </w:r>
          </w:p>
        </w:tc>
      </w:tr>
      <w:tr>
        <w:tc>
          <w:tcPr>
            <w:tcW w:w="3072" w:type="dxa"/>
            <w:vAlign w:val="center"/>
          </w:tcPr>
          <w:p>
            <w:pPr>
              <w:spacing w:before="0" w:after="0"/>
              <w:jc w:val="left"/>
            </w:pPr>
            <w:r>
              <w:rPr>
                <w:sz w:val="18"/>
                <w:szCs w:val="18"/>
              </w:rPr>
              <w:t xml:space="preserve">Food</w:t>
            </w:r>
          </w:p>
        </w:tc>
        <w:tc>
          <w:tcPr>
            <w:tcW w:w="2000" w:type="dxa"/>
            <w:vAlign w:val="center"/>
          </w:tcPr>
          <w:p>
            <w:pPr>
              <w:spacing w:before="0" w:after="0"/>
              <w:jc w:val="right"/>
            </w:pPr>
            <w:r>
              <w:rPr>
                <w:sz w:val="18"/>
                <w:szCs w:val="18"/>
              </w:rPr>
              <w:t xml:space="preserve">52,940</w:t>
            </w:r>
          </w:p>
        </w:tc>
        <w:tc>
          <w:tcPr>
            <w:tcW w:w="2000" w:type="dxa"/>
            <w:vAlign w:val="center"/>
          </w:tcPr>
          <w:p>
            <w:pPr>
              <w:spacing w:before="0" w:after="0"/>
              <w:jc w:val="right"/>
            </w:pPr>
            <w:r>
              <w:rPr>
                <w:sz w:val="18"/>
                <w:szCs w:val="18"/>
              </w:rPr>
              <w:t xml:space="preserve">56,649</w:t>
            </w:r>
          </w:p>
        </w:tc>
        <w:tc>
          <w:tcPr>
            <w:tcW w:w="2000" w:type="dxa"/>
            <w:vAlign w:val="center"/>
          </w:tcPr>
          <w:p>
            <w:pPr>
              <w:spacing w:before="0" w:after="0"/>
              <w:jc w:val="right"/>
            </w:pPr>
            <w:r>
              <w:rPr>
                <w:sz w:val="18"/>
                <w:szCs w:val="18"/>
              </w:rPr>
              <w:t xml:space="preserve">107.2</w:t>
            </w:r>
          </w:p>
        </w:tc>
      </w:tr>
      <w:tr>
        <w:tc>
          <w:tcPr>
            <w:tcW w:w="3072" w:type="dxa"/>
            <w:vAlign w:val="center"/>
          </w:tcPr>
          <w:p>
            <w:pPr>
              <w:spacing w:before="0" w:after="0"/>
              <w:jc w:val="left"/>
            </w:pPr>
            <w:r>
              <w:rPr>
                <w:sz w:val="18"/>
                <w:szCs w:val="18"/>
              </w:rPr>
              <w:t xml:space="preserve">Merchandise</w:t>
            </w:r>
          </w:p>
        </w:tc>
        <w:tc>
          <w:tcPr>
            <w:tcW w:w="2000" w:type="dxa"/>
            <w:vAlign w:val="center"/>
          </w:tcPr>
          <w:p>
            <w:pPr>
              <w:spacing w:before="0" w:after="0"/>
              <w:jc w:val="right"/>
            </w:pPr>
            <w:r>
              <w:rPr>
                <w:sz w:val="18"/>
                <w:szCs w:val="18"/>
              </w:rPr>
              <w:t xml:space="preserve">19,939</w:t>
            </w:r>
          </w:p>
        </w:tc>
        <w:tc>
          <w:tcPr>
            <w:tcW w:w="2000" w:type="dxa"/>
            <w:vAlign w:val="center"/>
          </w:tcPr>
          <w:p>
            <w:pPr>
              <w:spacing w:before="0" w:after="0"/>
              <w:jc w:val="right"/>
            </w:pPr>
            <w:r>
              <w:rPr>
                <w:sz w:val="18"/>
                <w:szCs w:val="18"/>
              </w:rPr>
              <w:t xml:space="preserve">22,322</w:t>
            </w:r>
          </w:p>
        </w:tc>
        <w:tc>
          <w:tcPr>
            <w:tcW w:w="2000" w:type="dxa"/>
            <w:vAlign w:val="center"/>
          </w:tcPr>
          <w:p>
            <w:pPr>
              <w:spacing w:before="0" w:after="0"/>
              <w:jc w:val="right"/>
            </w:pPr>
            <w:r>
              <w:rPr>
                <w:sz w:val="18"/>
                <w:szCs w:val="18"/>
              </w:rPr>
              <w:t xml:space="preserve">121.7</w:t>
            </w:r>
          </w:p>
        </w:tc>
      </w:tr>
      <w:tr>
        <w:tc>
          <w:tcPr>
            <w:tcW w:w="3072" w:type="dxa"/>
            <w:vAlign w:val="center"/>
          </w:tcPr>
          <w:p>
            <w:pPr>
              <w:spacing w:before="0" w:after="0"/>
              <w:jc w:val="left"/>
            </w:pPr>
            <w:r>
              <w:rPr>
                <w:sz w:val="18"/>
                <w:szCs w:val="18"/>
              </w:rPr>
              <w:t xml:space="preserve">Beans</w:t>
            </w:r>
          </w:p>
        </w:tc>
        <w:tc>
          <w:tcPr>
            <w:tcW w:w="2000" w:type="dxa"/>
            <w:vAlign w:val="center"/>
          </w:tcPr>
          <w:p>
            <w:pPr>
              <w:spacing w:before="0" w:after="0"/>
              <w:jc w:val="right"/>
            </w:pPr>
            <w:r>
              <w:rPr>
                <w:sz w:val="18"/>
                <w:szCs w:val="18"/>
              </w:rPr>
              <w:t xml:space="preserve">51,784</w:t>
            </w:r>
          </w:p>
        </w:tc>
        <w:tc>
          <w:tcPr>
            <w:tcW w:w="2000" w:type="dxa"/>
            <w:vAlign w:val="center"/>
          </w:tcPr>
          <w:p>
            <w:pPr>
              <w:spacing w:before="0" w:after="0"/>
              <w:jc w:val="right"/>
            </w:pPr>
            <w:r>
              <w:rPr>
                <w:sz w:val="18"/>
                <w:szCs w:val="18"/>
              </w:rPr>
              <w:t xml:space="preserve">56,198</w:t>
            </w:r>
          </w:p>
        </w:tc>
        <w:tc>
          <w:tcPr>
            <w:tcW w:w="2000" w:type="dxa"/>
            <w:vAlign w:val="center"/>
          </w:tcPr>
          <w:p>
            <w:pPr>
              <w:spacing w:before="0" w:after="0"/>
              <w:jc w:val="right"/>
            </w:pPr>
            <w:r>
              <w:rPr>
                <w:sz w:val="18"/>
                <w:szCs w:val="18"/>
              </w:rPr>
              <w:t xml:space="preserve">103.7</w:t>
            </w:r>
          </w:p>
        </w:tc>
      </w:tr>
      <w:tr>
        <w:tc>
          <w:tcPr>
            <w:tcW w:w="3072" w:type="dxa"/>
            <w:vAlign w:val="center"/>
          </w:tcPr>
          <w:p>
            <w:pPr>
              <w:spacing w:before="0" w:after="0"/>
              <w:jc w:val="left"/>
            </w:pPr>
            <w:r>
              <w:rPr>
                <w:sz w:val="18"/>
                <w:szCs w:val="18"/>
              </w:rPr>
              <w:t xml:space="preserve">  of which Store</w:t>
            </w:r>
          </w:p>
        </w:tc>
        <w:tc>
          <w:tcPr>
            <w:tcW w:w="2000" w:type="dxa"/>
            <w:vAlign w:val="center"/>
          </w:tcPr>
          <w:p>
            <w:pPr>
              <w:spacing w:before="0" w:after="0"/>
              <w:jc w:val="right"/>
            </w:pPr>
            <w:r>
              <w:rPr>
                <w:sz w:val="18"/>
                <w:szCs w:val="18"/>
              </w:rPr>
              <w:t xml:space="preserve">225,978</w:t>
            </w:r>
          </w:p>
        </w:tc>
        <w:tc>
          <w:tcPr>
            <w:tcW w:w="2000" w:type="dxa"/>
            <w:vAlign w:val="center"/>
          </w:tcPr>
          <w:p>
            <w:pPr>
              <w:spacing w:before="0" w:after="0"/>
              <w:jc w:val="right"/>
            </w:pPr>
            <w:r>
              <w:rPr>
                <w:sz w:val="18"/>
                <w:szCs w:val="18"/>
              </w:rPr>
              <w:t xml:space="preserve">286,780</w:t>
            </w:r>
          </w:p>
        </w:tc>
        <w:tc>
          <w:tcPr>
            <w:tcW w:w="2000" w:type="dxa"/>
            <w:vAlign w:val="center"/>
          </w:tcPr>
          <w:p>
            <w:pPr>
              <w:spacing w:before="0" w:after="0"/>
              <w:jc w:val="right"/>
            </w:pPr>
            <w:r>
              <w:rPr>
                <w:sz w:val="18"/>
                <w:szCs w:val="18"/>
              </w:rPr>
              <w:t xml:space="preserve">107.1</w:t>
            </w:r>
          </w:p>
        </w:tc>
      </w:tr>
      <w:tr>
        <w:tc>
          <w:tcPr>
            <w:tcW w:w="3072" w:type="dxa"/>
            <w:vAlign w:val="center"/>
          </w:tcPr>
          <w:p>
            <w:pPr>
              <w:spacing w:before="0" w:after="0"/>
              <w:jc w:val="left"/>
            </w:pPr>
            <w:r>
              <w:rPr>
                <w:sz w:val="18"/>
                <w:szCs w:val="18"/>
              </w:rPr>
              <w:t xml:space="preserve">  of which Online</w:t>
            </w:r>
          </w:p>
        </w:tc>
        <w:tc>
          <w:tcPr>
            <w:tcW w:w="2000" w:type="dxa"/>
            <w:vAlign w:val="center"/>
          </w:tcPr>
          <w:p>
            <w:pPr>
              <w:spacing w:before="0" w:after="0"/>
              <w:jc w:val="right"/>
            </w:pPr>
            <w:r>
              <w:rPr>
                <w:sz w:val="18"/>
                <w:szCs w:val="18"/>
              </w:rPr>
              <w:t xml:space="preserve">39,614</w:t>
            </w:r>
          </w:p>
        </w:tc>
        <w:tc>
          <w:tcPr>
            <w:tcW w:w="2000" w:type="dxa"/>
            <w:vAlign w:val="center"/>
          </w:tcPr>
          <w:p>
            <w:pPr>
              <w:spacing w:before="0" w:after="0"/>
              <w:jc w:val="right"/>
            </w:pPr>
            <w:r>
              <w:rPr>
                <w:sz w:val="18"/>
                <w:szCs w:val="18"/>
              </w:rPr>
              <w:t xml:space="preserve">45,284</w:t>
            </w:r>
          </w:p>
        </w:tc>
        <w:tc>
          <w:tcPr>
            <w:tcW w:w="2000" w:type="dxa"/>
            <w:vAlign w:val="center"/>
          </w:tcPr>
          <w:p>
            <w:pPr>
              <w:spacing w:before="0" w:after="0"/>
              <w:jc w:val="right"/>
            </w:pPr>
            <w:r>
              <w:rPr>
                <w:sz w:val="18"/>
                <w:szCs w:val="18"/>
              </w:rPr>
              <w:t xml:space="preserve">105.6</w:t>
            </w:r>
          </w:p>
        </w:tc>
      </w:tr>
      <w:tr>
        <w:tc>
          <w:tcPr>
            <w:tcW w:w="3072" w:type="dxa"/>
            <w:vAlign w:val="center"/>
          </w:tcPr>
          <w:p>
            <w:pPr>
              <w:spacing w:before="0" w:after="0"/>
              <w:jc w:val="left"/>
            </w:pPr>
            <w:r>
              <w:rPr>
                <w:b/>
                <w:sz w:val="18"/>
                <w:szCs w:val="18"/>
              </w:rPr>
              <w:t xml:space="preserve">Total</w:t>
            </w:r>
          </w:p>
        </w:tc>
        <w:tc>
          <w:tcPr>
            <w:tcW w:w="2000" w:type="dxa"/>
            <w:vAlign w:val="center"/>
          </w:tcPr>
          <w:p>
            <w:pPr>
              <w:spacing w:before="0" w:after="0"/>
              <w:jc w:val="right"/>
            </w:pPr>
            <w:r>
              <w:rPr>
                <w:b/>
                <w:sz w:val="18"/>
                <w:szCs w:val="18"/>
              </w:rPr>
              <w:t xml:space="preserve">282,670</w:t>
            </w:r>
          </w:p>
        </w:tc>
        <w:tc>
          <w:tcPr>
            <w:tcW w:w="2000" w:type="dxa"/>
            <w:vAlign w:val="center"/>
          </w:tcPr>
          <w:p>
            <w:pPr>
              <w:spacing w:before="0" w:after="0"/>
              <w:jc w:val="right"/>
            </w:pPr>
            <w:r>
              <w:rPr>
                <w:b/>
                <w:sz w:val="18"/>
                <w:szCs w:val="18"/>
              </w:rPr>
              <w:t xml:space="preserve">324,242</w:t>
            </w:r>
          </w:p>
        </w:tc>
        <w:tc>
          <w:tcPr>
            <w:tcW w:w="2000" w:type="dxa"/>
            <w:vAlign w:val="center"/>
          </w:tcPr>
          <w:p>
            <w:pPr>
              <w:spacing w:before="0" w:after="0"/>
              <w:jc w:val="right"/>
            </w:pPr>
            <w:r>
              <w:rPr>
                <w:b/>
                <w:sz w:val="18"/>
                <w:szCs w:val="18"/>
              </w:rPr>
              <w:t xml:space="preserve">110.1</w:t>
            </w:r>
          </w:p>
        </w:tc>
      </w:tr>
    </w:tbl>
    <w:p>
      <w:pPr/>
    </w:p>
    <w:p>
      <w:r>
        <w:br w:type="page"/>
      </w:r>
    </w:p>
    <w:p>
      <w:pPr>
        <w:pStyle w:val="Heading3"/>
        <w:keepNext/>
      </w:pPr>
      <w:r>
        <w:t xml:space="preserve">3. Risk Factors</w:t>
      </w:r>
    </w:p>
    <w:p>
      <w:pPr>
        <w:keepNext/>
      </w:pPr>
      <w:r>
        <w:rPr>
          <w:b/>
        </w:rPr>
        <w:t xml:space="preserve">(1) Competition</w:t>
      </w:r>
    </w:p>
    <w:p>
      <w:pPr>
        <w:ind w:left="0" w:firstLine="360"/>
      </w:pPr>
      <w:r>
        <w:t xml:space="preserve">The Group depends on a small number of dairy and bakery suppliers in each region, and an interruption in their deliveries could affect sales at the stores they serve. Energy use per store decreased 3.6% compared with the prior year, as older espresso machines and refrigerators were replaced with more efficient models. Orders placed through the online store, including orders for pickup in store and home delivery of whole beans, accounted for 24.4% of revenue in the Beverages and Beans categories. Each store is managed by a store manager who reports to a district manager, and district managers report to the director for their region. Inventories consist of green coffee, roasted coffee, packaging, food and merchandise, and are stated at the lower of cost and net realizable value. Merchandise sales, consisting of mugs, brewing equipment and seasonal gift sets, are highest in the fourth quarter of each year.</w:t>
      </w:r>
    </w:p>
    <w:p>
      <w:pPr>
        <w:ind w:left="0" w:firstLine="360"/>
      </w:pPr>
      <w:r>
        <w:t xml:space="preserve">Green coffee is purchased from exporters and cooperatives in Central America, South America and East Africa under fixed-price contracts that generally cover the next nine to twelve months of expected needs. Labor costs are affected by minimum wage laws in the regions where the stores are located, and further increases could reduce store margins. The Company intends to pay dividends out of retained earnings while keeping sufficient funds to finance the opening of new stores. Nimbus Coffee holds no derivatives other than coffee futures contracts used to fix the price of part of its future green coffee purchases. Food safety incidents, whether or not they occur at our stores, could harm the reputation of the Nimbus Coffee brand and reduce customer traffic.</w:t>
      </w:r>
    </w:p>
    <w:p>
      <w:pPr>
        <w:keepNext/>
      </w:pPr>
      <w:r>
        <w:rPr>
          <w:b/>
        </w:rPr>
        <w:t xml:space="preserve">(2) Concentration of stores in eight regions</w:t>
      </w:r>
    </w:p>
    <w:p>
      <w:pPr>
        <w:ind w:left="0" w:firstLine="360"/>
      </w:pPr>
      <w:r>
        <w:t xml:space="preserve">Baristas complete a four-week training course before working on the floor, and store managers complete a further course at the Northfield training center. Revenue from stores in the Lakeside region increased 8.2% compared with the prior year, while its share of total revenue was little changed. These forward-looking statements are based on information available as of the date of this statement, and actual results may differ materially because of many factors. Wholesale revenue comes from sales of roasted beans to restaurants, hotels and grocery stores in the regions where the Company operates.</w:t>
      </w:r>
    </w:p>
    <w:p>
      <w:pPr>
        <w:ind w:left="0" w:firstLine="360"/>
      </w:pPr>
      <w:r>
        <w:t xml:space="preserve">The roastery produced 910 thousand pounds of roasted coffee during the fiscal year, of which 51.5% was sold through company-operated stores. Total revenue for the fiscal year was $208,349 thousand, an increase of 10.1% over the prior year, and operating income was $7,345 thousand, an increase of 1.8%. Nimbus Coffee intends to pay dividends out of retained earnings while keeping sufficient funds to finance the opening of new stores.</w:t>
      </w:r>
    </w:p>
    <w:p>
      <w:pPr>
        <w:keepNext/>
      </w:pPr>
      <w:r>
        <w:rPr>
          <w:b/>
        </w:rPr>
        <w:t xml:space="preserve">(3) Lease obligations</w:t>
      </w:r>
    </w:p>
    <w:p>
      <w:pPr>
        <w:ind w:left="0" w:firstLine="360"/>
      </w:pPr>
      <w:r>
        <w:t xml:space="preserve">Total assets at the end of the fiscal year were $194,642 thousand, an increase of $34,086 thousand from the end of the prior fiscal year. Net cash used in financing activities was $19,529 thousand, reflecting repayments of the term loan and dividends paid. Weather affects customer traffic: cold drinks sell best in summer, while hot beverages and whole beans sell best from October through February. The price of green coffee is volatile, and a sustained increase could reduce gross margin if Nimbus Coffee is unable to pass the cost on to customers through menu prices.</w:t>
      </w:r>
    </w:p>
    <w:p>
      <w:pPr>
        <w:ind w:left="0" w:firstLine="360"/>
      </w:pPr>
      <w:r>
        <w:t xml:space="preserve">Food safety incidents, whether or not they occur at our stores, could harm the reputation of the Nimbus Coffee brand and reduce customer traffic. Comparable store sales increased 5.8%, driven by a 0.5% increase in average ticket and a 2.1% increase in transactions. Comparable store sales increased 4.4%, driven by a 1.1% increase in average ticket and a 1.3% increase in transactions.</w:t>
      </w:r>
    </w:p>
    <w:p>
      <w:pPr>
        <w:keepNext/>
      </w:pPr>
      <w:r>
        <w:rPr>
          <w:b/>
        </w:rPr>
        <w:t xml:space="preserve">(4) Concentration of stores in eight regions</w:t>
      </w:r>
    </w:p>
    <w:p>
      <w:pPr>
        <w:ind w:left="0" w:firstLine="360"/>
      </w:pPr>
      <w:r>
        <w:t xml:space="preserve">Energy use per store decreased 5.1% compared with the prior year, as older espresso machines and refrigerators were replaced with more efficient models. Net cash provided by operating activities was $152,332 thousand, mainly reflecting net income and depreciation and amortization. Green coffee is purchased from exporters and cooperatives in Central America, South America and East Africa under fixed-price contracts that generally cover the next nine to twelve months of expected needs. Nimbus Coffee intends to pay dividends out of retained earnings while keeping sufficient funds to finance the opening of new stores. Orders placed through the online store, including orders for pickup in store and home delivery of whole beans, accounted for 61.4% of revenue in the Beverages and Beans categories. Energy use per store decreased 5.4% compared with the prior year, as older espresso machines and refrigerators were replaced with more efficient models.</w:t>
      </w:r>
    </w:p>
    <w:p>
      <w:pPr>
        <w:ind w:left="0" w:firstLine="360"/>
      </w:pPr>
      <w:r>
        <w:t xml:space="preserve">The Group depends on a small number of dairy and bakery suppliers in each region, and an interruption in their deliveries could affect sales at the stores they serve. Revenue from the Beverages category increased 17.7% compared with the prior year, while its share of total revenue was little changed. The Group depends on a small number of dairy and bakery suppliers in each region, and an interruption in their deliveries could affect sales at the stores they serve.</w:t>
      </w:r>
    </w:p>
    <w:p>
      <w:pPr>
        <w:keepNext/>
      </w:pPr>
      <w:r>
        <w:rPr>
          <w:b/>
        </w:rPr>
        <w:t xml:space="preserve">(5) Food safety</w:t>
      </w:r>
    </w:p>
    <w:p>
      <w:pPr>
        <w:ind w:left="0" w:firstLine="360"/>
      </w:pPr>
      <w:r>
        <w:t xml:space="preserve">Revenue from stores in the Northfield region was $11,647 thousand, or 11.4% of total revenue. During the fiscal year, the Group opened 6 new stores and closed 5 stores whose leases expired. Weather affects customer traffic: cold drinks sell best in summer, while hot beverages and whole beans sell best from October through February. The Company holds no derivatives other than coffee futures contracts used to fix the price of part of its future green coffee purchases. Labor costs are affected by minimum wage laws in the regions where the stores are located, and further increases could reduce store margins.</w:t>
      </w:r>
    </w:p>
    <w:p>
      <w:pPr>
        <w:ind w:left="0" w:firstLine="360"/>
      </w:pPr>
      <w:r>
        <w:t xml:space="preserve">Inventories consist of green coffee, roasted coffee, packaging, food and merchandise, and are stated at the lower of cost and net realizable value. Net cash used in investing activities was $21,162 thousand, primarily for purchases of property and equipment. The Company operates specialty coffee shops under the Nimbus Coffee name and roasts all of the coffee it serves at its own roastery in Northfield. Merchandise sales, consisting of mugs, brewing equipment and seasonal gift sets, are highest in the fourth quarter of each year. Orders placed through the online store, including orders for pickup in store and home delivery of whole beans, accounted for 59.3% of revenue in the Beverages and Beans categories.</w:t>
      </w:r>
    </w:p>
    <w:p>
      <w:pPr>
        <w:keepNext/>
      </w:pPr>
      <w:r>
        <w:rPr>
          <w:b/>
        </w:rPr>
        <w:t xml:space="preserve">(6) Food safety</w:t>
      </w:r>
    </w:p>
    <w:p>
      <w:pPr>
        <w:ind w:left="0" w:firstLine="360"/>
      </w:pPr>
      <w:r>
        <w:t xml:space="preserve">Wholesale revenue comes from sales of roasted beans to restaurants, hotels and grocery stores in the regions where the Group operates. Merchandise sales, consisting of mugs, brewing equipment and seasonal gift sets, are highest in the fourth quarter of each year. Revenue from stores in the Southport region increased 15.9% compared with the prior year, while its share of total revenue was little changed.</w:t>
      </w:r>
    </w:p>
    <w:p>
      <w:pPr>
        <w:ind w:left="0" w:firstLine="360"/>
      </w:pPr>
      <w:r>
        <w:t xml:space="preserve">Food safety incidents, whether or not they occur at our stores, could harm the reputation of the Nimbus Coffee brand and reduce customer traffic. Store operating expenses, which consist mainly of wages, benefits and supplies, were 31.6% of revenue, compared with 30.5% in the prior year. Net cash provided by operating activities was $113,471 thousand, mainly reflecting net income and depreciation and amortization. Wholesale revenue comes from sales of roasted beans to restaurants, hotels and grocery stores in the regions where the Company operates. The Company depends on a small number of dairy and bakery suppliers in each region, and an interruption in their deliveries could affect sales at the stores they serve.</w:t>
      </w:r>
    </w:p>
    <w:p>
      <w:pPr>
        <w:keepNext/>
      </w:pPr>
      <w:r>
        <w:rPr>
          <w:b/>
        </w:rPr>
        <w:t xml:space="preserve">(7) Information security and payment card data</w:t>
      </w:r>
    </w:p>
    <w:p>
      <w:pPr>
        <w:ind w:left="0" w:firstLine="360"/>
      </w:pPr>
      <w:r>
        <w:t xml:space="preserve">Revenue from loyalty rewards is deferred until the reward is redeemed or expires. Energy use per store decreased 4.3% compared with the prior year, as older espresso machines and refrigerators were replaced with more efficient models. Baristas complete a four-week training course before working on the floor, and store managers complete a further course at the Northfield training center. Nimbus Coffee buys 17.2% of its green coffee by volume from farms certified under recognized sustainability standards. Nimbus Coffee leases all of its store premises under operating leases with initial terms of ten years, most of which include options to renew.</w:t>
      </w:r>
    </w:p>
    <w:p>
      <w:pPr>
        <w:ind w:left="0" w:firstLine="360"/>
      </w:pPr>
      <w:r>
        <w:t xml:space="preserve">Revenue from the Food category increased 5.3% compared with the prior year, while its share of total revenue was little changed. The Group buys 23.4% of its green coffee by volume from farms certified under recognized sustainability standards. Revenue from stores in the Harborview region increased 8.6% compared with the prior year, while its share of total revenue was little changed. Wholesale revenue comes from sales of roasted beans to restaurants, hotels and grocery stores in the regions where the Company operates. The Group depends on a small number of dairy and bakery suppliers in each region, and an interruption in their deliveries could affect sales at the stores they serve. Net cash provided by operating activities was $58,441 thousand, mainly reflecting net income and depreciation and amortization.</w:t>
      </w:r>
    </w:p>
    <w:p>
      <w:pPr>
        <w:keepNext/>
      </w:pPr>
      <w:r>
        <w:rPr>
          <w:b/>
        </w:rPr>
        <w:t xml:space="preserve">(8) Green coffee prices</w:t>
      </w:r>
    </w:p>
    <w:p>
      <w:pPr>
        <w:ind w:left="0" w:firstLine="360"/>
      </w:pPr>
      <w:r>
        <w:t xml:space="preserve">Nimbus Coffee operates specialty coffee shops under the Nimbus Coffee name and roasts all of the coffee it serves at its own roastery in Northfield. Net cash used in financing activities was $6,999 thousand, reflecting repayments of the term loan and dividends paid. Inventories consist of green coffee, roasted coffee, packaging, food and merchandise, and are stated at the lower of cost and net realizable value. Revenue from loyalty rewards is deferred until the reward is redeemed or expires.</w:t>
      </w:r>
    </w:p>
    <w:p>
      <w:pPr>
        <w:ind w:left="0" w:firstLine="360"/>
      </w:pPr>
      <w:r>
        <w:t xml:space="preserve">Total revenue for the fiscal year was $83,184 thousand, an increase of 1.0% over the prior year, and operating income was $14,381 thousand, an increase of 13.1%. During the fiscal year, Nimbus Coffee opened 11 new stores and closed 1 stores whose leases expired. Capital expenditures totaled $18,981 thousand and consisted mainly of the build-out of new stores, the remodeling of existing stores and a second roasting line at the Northfield roastery. Net cash used in investing activities was $14,327 thousand, primarily for purchases of property and equipment. Total assets at the end of the fiscal year were $213,866 thousand, an increase of $28,040 thousand from the end of the prior fiscal year.</w:t>
      </w:r>
    </w:p>
    <w:p>
      <w:pPr>
        <w:keepNext/>
      </w:pPr>
      <w:r>
        <w:rPr>
          <w:b/>
        </w:rPr>
        <w:t xml:space="preserve">(9) Food safety</w:t>
      </w:r>
    </w:p>
    <w:p>
      <w:pPr>
        <w:ind w:left="0" w:firstLine="360"/>
      </w:pPr>
      <w:r>
        <w:t xml:space="preserve">The price of green coffee is volatile, and a sustained increase could reduce gross margin if Nimbus Coffee is unable to pass the cost on to customers through menu prices. The ability of the Group to open new stores depends on finding suitable sites on acceptable lease terms and on hiring and training store managers. Green coffee is purchased from exporters and cooperatives in Central America, South America and East Africa under fixed-price contracts that generally cover the next nine to twelve months of expected needs. Net cash used in financing activities was $24,929 thousand, reflecting repayments of the term loan and dividends paid.</w:t>
      </w:r>
    </w:p>
    <w:p>
      <w:pPr>
        <w:ind w:left="0" w:firstLine="360"/>
      </w:pPr>
      <w:r>
        <w:t xml:space="preserve">Net cash provided by operating activities was $285,011 thousand, mainly reflecting net income and depreciation and amortization. At the end of the fiscal year, the Company operated 163 company-operated stores in eight regions: Northfield, Eastbay, Southport, Westridge, Lakeside, Hillcrest, Riverside and Harborview. Capital expenditures totaled $23,302 thousand and consisted mainly of the build-out of new stores, the remodeling of existing stores and a second roasting line at the Northfield roastery. The Group holds no derivatives other than coffee futures contracts used to fix the price of part of its future green coffee purchases.</w:t>
      </w:r>
    </w:p>
    <w:p>
      <w:pPr>
        <w:keepNext/>
      </w:pPr>
      <w:r>
        <w:rPr>
          <w:b/>
        </w:rPr>
        <w:t xml:space="preserve">(10) Supply chain disruption</w:t>
      </w:r>
    </w:p>
    <w:p>
      <w:pPr>
        <w:ind w:left="0" w:firstLine="360"/>
      </w:pPr>
      <w:r>
        <w:t xml:space="preserve">At the end of the fiscal year, the Group operated 186 company-operated stores in eight regions: Northfield, Eastbay, Southport, Westridge, Lakeside, Hillcrest, Riverside and Harborview. At the end of the fiscal year, Nimbus Coffee operated 157 company-operated stores in eight regions: Northfield, Eastbay, Southport, Westridge, Lakeside, Hillcrest, Riverside and Harborview. These forward-looking statements are based on information available as of the date of this statement, and actual results may differ materially because of many factors.</w:t>
      </w:r>
    </w:p>
    <w:p>
      <w:pPr>
        <w:ind w:left="0" w:firstLine="360"/>
      </w:pPr>
      <w:r>
        <w:t xml:space="preserve">Baristas complete a four-week training course before working on the floor, and store managers complete a further course at the Northfield training center. The Group intends to pay dividends out of retained earnings while keeping sufficient funds to finance the opening of new stores. During the fiscal year, the Company opened 19 new stores and closed 4 stores whose leases expired. Net cash used in financing activities was $7,799 thousand, reflecting repayments of the term loan and dividends paid.</w:t>
      </w:r>
    </w:p>
    <w:p>
      <w:pPr>
        <w:keepNext/>
      </w:pPr>
      <w:r>
        <w:rPr>
          <w:b/>
        </w:rPr>
        <w:t xml:space="preserve">(11) Lease obligations</w:t>
      </w:r>
    </w:p>
    <w:p>
      <w:pPr>
        <w:ind w:left="0" w:firstLine="360"/>
      </w:pPr>
      <w:r>
        <w:t xml:space="preserve">Revenue from loyalty rewards is deferred until the reward is redeemed or expires. Store operating expenses, which consist mainly of wages, benefits and supplies, were 34.9% of revenue, compared with 30.0% in the prior year. Orders placed through the online store, including orders for pickup in store and home delivery of whole beans, accounted for 32.7% of revenue in the Beverages and Beans categories.</w:t>
      </w:r>
    </w:p>
    <w:p>
      <w:pPr>
        <w:ind w:left="0" w:firstLine="360"/>
      </w:pPr>
      <w:r>
        <w:t xml:space="preserve">Food safety incidents, whether or not they occur at our stores, could harm the reputation of the Nimbus Coffee brand and reduce customer traffic. The price of green coffee is volatile, and a sustained increase could reduce gross margin if the Company is unable to pass the cost on to customers through menu prices. Weather affects customer traffic: cold drinks sell best in summer, while hot beverages and whole beans sell best from October through February. Nimbus Coffee depends on a small number of dairy and bakery suppliers in each region, and an interruption in their deliveries could affect sales at the stores they serve.</w:t>
      </w:r>
    </w:p>
    <w:p>
      <w:pPr>
        <w:keepNext/>
      </w:pPr>
      <w:r>
        <w:rPr>
          <w:b/>
        </w:rPr>
        <w:t xml:space="preserve">(12) Key personnel</w:t>
      </w:r>
    </w:p>
    <w:p>
      <w:pPr>
        <w:ind w:left="0" w:firstLine="360"/>
      </w:pPr>
      <w:r>
        <w:t xml:space="preserve">Merchandise sales, consisting of mugs, brewing equipment and seasonal gift sets, are highest in the fourth quarter of each year. Wholesale revenue comes from sales of roasted beans to restaurants, hotels and grocery stores in the regions where Nimbus Coffee operates. The loyalty program had 1,414 thousand active members at the end of the fiscal year, and purchases by members accounted for 11.8% of store revenue. The price of green coffee is volatile, and a sustained increase could reduce gross margin if Nimbus Coffee is unable to pass the cost on to customers through menu prices. Inventories consist of green coffee, roasted coffee, packaging, food and merchandise, and are stated at the lower of cost and net realizable value. During the fiscal year, the Company opened 18 new stores and closed 4 stores whose leases expired.</w:t>
      </w:r>
    </w:p>
    <w:p>
      <w:pPr>
        <w:ind w:left="0" w:firstLine="360"/>
      </w:pPr>
      <w:r>
        <w:t xml:space="preserve">The Company holds no derivatives other than coffee futures contracts used to fix the price of part of its future green coffee purchases. Orders placed through the online store, including orders for pickup in store and home delivery of whole beans, accounted for 46.0% of revenue in the Beverages and Beans categories. Food safety incidents, whether or not they occur at our stores, could harm the reputation of the Nimbus Coffee brand and reduce customer traffic. Inventories consist of green coffee, roasted coffee, packaging, food and merchandise, and are stated at the lower of cost and net realizable value. The price of green coffee is volatile, and a sustained increase could reduce gross margin if the Group is unable to pass the cost on to customers through menu prices. Baristas complete a four-week training course before working on the floor, and store managers complete a further course at the Northfield training center.</w:t>
      </w:r>
    </w:p>
    <w:p>
      <w:pPr>
        <w:keepNext/>
      </w:pPr>
      <w:r>
        <w:rPr>
          <w:b/>
        </w:rPr>
        <w:t xml:space="preserve">(13) Trademarks and the Nimbus Coffee brand</w:t>
      </w:r>
    </w:p>
    <w:p>
      <w:pPr>
        <w:ind w:left="0" w:firstLine="360"/>
      </w:pPr>
      <w:r>
        <w:t xml:space="preserve">Wholesale revenue comes from sales of roasted beans to restaurants, hotels and grocery stores in the regions where Nimbus Coffee operates. Nimbus Coffee operates specialty coffee shops under the Nimbus Coffee name and roasts all of the coffee it serves at its own roastery in Northfield. Orders placed through the online store, including orders for pickup in store and home delivery of whole beans, accounted for 46.2% of revenue in the Beverages and Beans categories. Total revenue for the fiscal year was $199,514 thousand, an increase of 10.1% over the prior year, and operating income was $32,480 thousand, an increase of 7.6%. The Company depends on a small number of dairy and bakery suppliers in each region, and an interruption in their deliveries could affect sales at the stores they serve.</w:t>
      </w:r>
    </w:p>
    <w:p>
      <w:pPr>
        <w:ind w:left="0" w:firstLine="360"/>
      </w:pPr>
      <w:r>
        <w:t xml:space="preserve">Occupancy costs increased to $11,871 thousand, reflecting rent for new stores and scheduled rent increases at existing locations. Each store is managed by a store manager who reports to a district manager, and district managers report to the director for their region. The Group buys 58.4% of its green coffee by volume from farms certified under recognized sustainability standards. Inventories consist of green coffee, roasted coffee, packaging, food and merchandise, and are stated at the lower of cost and net realizable value.</w:t>
      </w:r>
    </w:p>
    <w:p>
      <w:pPr>
        <w:keepNext/>
      </w:pPr>
      <w:r>
        <w:rPr>
          <w:b/>
        </w:rPr>
        <w:t xml:space="preserve">(14) Lease obligations</w:t>
      </w:r>
    </w:p>
    <w:p>
      <w:pPr>
        <w:ind w:left="0" w:firstLine="360"/>
      </w:pPr>
      <w:r>
        <w:t xml:space="preserve">Total revenue for the fiscal year was $132,967 thousand, an increase of 15.6% over the prior year, and operating income was $8,605 thousand, an increase of 18.5%. Net cash used in investing activities was $4,099 thousand, primarily for purchases of property and equipment. New stores generally reach the sales level of a mature store within eighteen to twenty-four months of opening.</w:t>
      </w:r>
    </w:p>
    <w:p>
      <w:pPr>
        <w:ind w:left="0" w:firstLine="360"/>
      </w:pPr>
      <w:r>
        <w:t xml:space="preserve">Orders placed through the online store, including orders for pickup in store and home delivery of whole beans, accounted for 21.5% of revenue in the Beverages and Beans categories. Revenue from stores in the Harborview region was $55,804 thousand, or 5.9% of total revenue. Capital expenditures totaled $18,250 thousand and consisted mainly of the build-out of new stores, the remodeling of existing stores and a second roasting line at the Northfield roastery. Food safety incidents, whether or not they occur at our stores, could harm the reputation of the Nimbus Coffee brand and reduce customer traffic. New stores generally reach the sales level of a mature store within eighteen to twenty-four months of opening. Revenue from wholesale customers increased 10.2% compared with the prior year, while its share of total revenue was little changed.</w:t>
      </w:r>
    </w:p>
    <w:tbl>
      <w:tblPr>
        <w:tblW w:w="907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72" w:type="dxa"/>
          <w:right w:w="72" w:type="dxa"/>
        </w:tblCellMar>
      </w:tblPr>
      <w:tblGrid>
        <w:gridCol w:w="3072"/>
        <w:gridCol w:w="2000"/>
        <w:gridCol w:w="2000"/>
        <w:gridCol w:w="2000"/>
      </w:tblGrid>
      <w:tr>
        <w:trPr>
          <w:tblHeader/>
        </w:trPr>
        <w:tc>
          <w:tcPr>
            <w:tcW w:w="3072" w:type="dxa"/>
            <w:shd w:val="clear" w:color="auto" w:fill="DDEBF7"/>
            <w:vAlign w:val="center"/>
          </w:tcPr>
          <w:p>
            <w:pPr>
              <w:spacing w:before="0" w:after="0"/>
              <w:jc w:val="center"/>
            </w:pPr>
            <w:r>
              <w:rPr>
                <w:b/>
                <w:sz w:val="18"/>
                <w:szCs w:val="18"/>
              </w:rPr>
              <w:t xml:space="preserve">Category</w:t>
            </w:r>
          </w:p>
        </w:tc>
        <w:tc>
          <w:tcPr>
            <w:tcW w:w="2000" w:type="dxa"/>
            <w:shd w:val="clear" w:color="auto" w:fill="DDEBF7"/>
            <w:vAlign w:val="center"/>
          </w:tcPr>
          <w:p>
            <w:pPr>
              <w:spacing w:before="0" w:after="0"/>
              <w:jc w:val="center"/>
            </w:pPr>
            <w:r>
              <w:rPr>
                <w:b/>
                <w:sz w:val="18"/>
                <w:szCs w:val="18"/>
              </w:rPr>
              <w:t xml:space="preserve">FY2024 (USD thousands)</w:t>
            </w:r>
          </w:p>
        </w:tc>
        <w:tc>
          <w:tcPr>
            <w:tcW w:w="2000" w:type="dxa"/>
            <w:shd w:val="clear" w:color="auto" w:fill="DDEBF7"/>
            <w:vAlign w:val="center"/>
          </w:tcPr>
          <w:p>
            <w:pPr>
              <w:spacing w:before="0" w:after="0"/>
              <w:jc w:val="center"/>
            </w:pPr>
            <w:r>
              <w:rPr>
                <w:b/>
                <w:sz w:val="18"/>
                <w:szCs w:val="18"/>
              </w:rPr>
              <w:t xml:space="preserve">FY2025 (USD thousands)</w:t>
            </w:r>
          </w:p>
        </w:tc>
        <w:tc>
          <w:tcPr>
            <w:tcW w:w="2000" w:type="dxa"/>
            <w:shd w:val="clear" w:color="auto" w:fill="DDEBF7"/>
            <w:vAlign w:val="center"/>
          </w:tcPr>
          <w:p>
            <w:pPr>
              <w:spacing w:before="0" w:after="0"/>
              <w:jc w:val="center"/>
            </w:pPr>
            <w:r>
              <w:rPr>
                <w:b/>
                <w:sz w:val="18"/>
                <w:szCs w:val="18"/>
              </w:rPr>
              <w:t xml:space="preserve">Change (% of prior year)</w:t>
            </w:r>
          </w:p>
        </w:tc>
      </w:tr>
      <w:tr>
        <w:tc>
          <w:tcPr>
            <w:tcW w:w="3072" w:type="dxa"/>
            <w:vAlign w:val="center"/>
          </w:tcPr>
          <w:p>
            <w:pPr>
              <w:spacing w:before="0" w:after="0"/>
              <w:jc w:val="left"/>
            </w:pPr>
            <w:r>
              <w:rPr>
                <w:sz w:val="18"/>
                <w:szCs w:val="18"/>
              </w:rPr>
              <w:t xml:space="preserve">Beverages</w:t>
            </w:r>
          </w:p>
        </w:tc>
        <w:tc>
          <w:tcPr>
            <w:tcW w:w="2000" w:type="dxa"/>
            <w:vAlign w:val="center"/>
          </w:tcPr>
          <w:p>
            <w:pPr>
              <w:spacing w:before="0" w:after="0"/>
              <w:jc w:val="right"/>
            </w:pPr>
            <w:r>
              <w:rPr>
                <w:sz w:val="18"/>
                <w:szCs w:val="18"/>
              </w:rPr>
              <w:t xml:space="preserve">164,717</w:t>
            </w:r>
          </w:p>
        </w:tc>
        <w:tc>
          <w:tcPr>
            <w:tcW w:w="2000" w:type="dxa"/>
            <w:vAlign w:val="center"/>
          </w:tcPr>
          <w:p>
            <w:pPr>
              <w:spacing w:before="0" w:after="0"/>
              <w:jc w:val="right"/>
            </w:pPr>
            <w:r>
              <w:rPr>
                <w:sz w:val="18"/>
                <w:szCs w:val="18"/>
              </w:rPr>
              <w:t xml:space="preserve">170,863</w:t>
            </w:r>
          </w:p>
        </w:tc>
        <w:tc>
          <w:tcPr>
            <w:tcW w:w="2000" w:type="dxa"/>
            <w:vAlign w:val="center"/>
          </w:tcPr>
          <w:p>
            <w:pPr>
              <w:spacing w:before="0" w:after="0"/>
              <w:jc w:val="right"/>
            </w:pPr>
            <w:r>
              <w:rPr>
                <w:sz w:val="18"/>
                <w:szCs w:val="18"/>
              </w:rPr>
              <w:t xml:space="preserve">112.6</w:t>
            </w:r>
          </w:p>
        </w:tc>
      </w:tr>
      <w:tr>
        <w:tc>
          <w:tcPr>
            <w:tcW w:w="3072" w:type="dxa"/>
            <w:vAlign w:val="center"/>
          </w:tcPr>
          <w:p>
            <w:pPr>
              <w:spacing w:before="0" w:after="0"/>
              <w:jc w:val="left"/>
            </w:pPr>
            <w:r>
              <w:rPr>
                <w:sz w:val="18"/>
                <w:szCs w:val="18"/>
              </w:rPr>
              <w:t xml:space="preserve">Food</w:t>
            </w:r>
          </w:p>
        </w:tc>
        <w:tc>
          <w:tcPr>
            <w:tcW w:w="2000" w:type="dxa"/>
            <w:vAlign w:val="center"/>
          </w:tcPr>
          <w:p>
            <w:pPr>
              <w:spacing w:before="0" w:after="0"/>
              <w:jc w:val="right"/>
            </w:pPr>
            <w:r>
              <w:rPr>
                <w:sz w:val="18"/>
                <w:szCs w:val="18"/>
              </w:rPr>
              <w:t xml:space="preserve">48,967</w:t>
            </w:r>
          </w:p>
        </w:tc>
        <w:tc>
          <w:tcPr>
            <w:tcW w:w="2000" w:type="dxa"/>
            <w:vAlign w:val="center"/>
          </w:tcPr>
          <w:p>
            <w:pPr>
              <w:spacing w:before="0" w:after="0"/>
              <w:jc w:val="right"/>
            </w:pPr>
            <w:r>
              <w:rPr>
                <w:sz w:val="18"/>
                <w:szCs w:val="18"/>
              </w:rPr>
              <w:t xml:space="preserve">57,706</w:t>
            </w:r>
          </w:p>
        </w:tc>
        <w:tc>
          <w:tcPr>
            <w:tcW w:w="2000" w:type="dxa"/>
            <w:vAlign w:val="center"/>
          </w:tcPr>
          <w:p>
            <w:pPr>
              <w:spacing w:before="0" w:after="0"/>
              <w:jc w:val="right"/>
            </w:pPr>
            <w:r>
              <w:rPr>
                <w:sz w:val="18"/>
                <w:szCs w:val="18"/>
              </w:rPr>
              <w:t xml:space="preserve">106.2</w:t>
            </w:r>
          </w:p>
        </w:tc>
      </w:tr>
      <w:tr>
        <w:tc>
          <w:tcPr>
            <w:tcW w:w="3072" w:type="dxa"/>
            <w:vAlign w:val="center"/>
          </w:tcPr>
          <w:p>
            <w:pPr>
              <w:spacing w:before="0" w:after="0"/>
              <w:jc w:val="left"/>
            </w:pPr>
            <w:r>
              <w:rPr>
                <w:sz w:val="18"/>
                <w:szCs w:val="18"/>
              </w:rPr>
              <w:t xml:space="preserve">Merchandise</w:t>
            </w:r>
          </w:p>
        </w:tc>
        <w:tc>
          <w:tcPr>
            <w:tcW w:w="2000" w:type="dxa"/>
            <w:vAlign w:val="center"/>
          </w:tcPr>
          <w:p>
            <w:pPr>
              <w:spacing w:before="0" w:after="0"/>
              <w:jc w:val="right"/>
            </w:pPr>
            <w:r>
              <w:rPr>
                <w:sz w:val="18"/>
                <w:szCs w:val="18"/>
              </w:rPr>
              <w:t xml:space="preserve">19,281</w:t>
            </w:r>
          </w:p>
        </w:tc>
        <w:tc>
          <w:tcPr>
            <w:tcW w:w="2000" w:type="dxa"/>
            <w:vAlign w:val="center"/>
          </w:tcPr>
          <w:p>
            <w:pPr>
              <w:spacing w:before="0" w:after="0"/>
              <w:jc w:val="right"/>
            </w:pPr>
            <w:r>
              <w:rPr>
                <w:sz w:val="18"/>
                <w:szCs w:val="18"/>
              </w:rPr>
              <w:t xml:space="preserve">19,418</w:t>
            </w:r>
          </w:p>
        </w:tc>
        <w:tc>
          <w:tcPr>
            <w:tcW w:w="2000" w:type="dxa"/>
            <w:vAlign w:val="center"/>
          </w:tcPr>
          <w:p>
            <w:pPr>
              <w:spacing w:before="0" w:after="0"/>
              <w:jc w:val="right"/>
            </w:pPr>
            <w:r>
              <w:rPr>
                <w:sz w:val="18"/>
                <w:szCs w:val="18"/>
              </w:rPr>
              <w:t xml:space="preserve">112.9</w:t>
            </w:r>
          </w:p>
        </w:tc>
      </w:tr>
      <w:tr>
        <w:tc>
          <w:tcPr>
            <w:tcW w:w="3072" w:type="dxa"/>
            <w:vAlign w:val="center"/>
          </w:tcPr>
          <w:p>
            <w:pPr>
              <w:spacing w:before="0" w:after="0"/>
              <w:jc w:val="left"/>
            </w:pPr>
            <w:r>
              <w:rPr>
                <w:sz w:val="18"/>
                <w:szCs w:val="18"/>
              </w:rPr>
              <w:t xml:space="preserve">Beans</w:t>
            </w:r>
          </w:p>
        </w:tc>
        <w:tc>
          <w:tcPr>
            <w:tcW w:w="2000" w:type="dxa"/>
            <w:vAlign w:val="center"/>
          </w:tcPr>
          <w:p>
            <w:pPr>
              <w:spacing w:before="0" w:after="0"/>
              <w:jc w:val="right"/>
            </w:pPr>
            <w:r>
              <w:rPr>
                <w:sz w:val="18"/>
                <w:szCs w:val="18"/>
              </w:rPr>
              <w:t xml:space="preserve">52,190</w:t>
            </w:r>
          </w:p>
        </w:tc>
        <w:tc>
          <w:tcPr>
            <w:tcW w:w="2000" w:type="dxa"/>
            <w:vAlign w:val="center"/>
          </w:tcPr>
          <w:p>
            <w:pPr>
              <w:spacing w:before="0" w:after="0"/>
              <w:jc w:val="right"/>
            </w:pPr>
            <w:r>
              <w:rPr>
                <w:sz w:val="18"/>
                <w:szCs w:val="18"/>
              </w:rPr>
              <w:t xml:space="preserve">56,426</w:t>
            </w:r>
          </w:p>
        </w:tc>
        <w:tc>
          <w:tcPr>
            <w:tcW w:w="2000" w:type="dxa"/>
            <w:vAlign w:val="center"/>
          </w:tcPr>
          <w:p>
            <w:pPr>
              <w:spacing w:before="0" w:after="0"/>
              <w:jc w:val="right"/>
            </w:pPr>
            <w:r>
              <w:rPr>
                <w:sz w:val="18"/>
                <w:szCs w:val="18"/>
              </w:rPr>
              <w:t xml:space="preserve">105.0</w:t>
            </w:r>
          </w:p>
        </w:tc>
      </w:tr>
      <w:tr>
        <w:tc>
          <w:tcPr>
            <w:tcW w:w="3072" w:type="dxa"/>
            <w:vAlign w:val="center"/>
          </w:tcPr>
          <w:p>
            <w:pPr>
              <w:spacing w:before="0" w:after="0"/>
              <w:jc w:val="left"/>
            </w:pPr>
            <w:r>
              <w:rPr>
                <w:sz w:val="18"/>
                <w:szCs w:val="18"/>
              </w:rPr>
              <w:t xml:space="preserve">  of which Store</w:t>
            </w:r>
          </w:p>
        </w:tc>
        <w:tc>
          <w:tcPr>
            <w:tcW w:w="2000" w:type="dxa"/>
            <w:vAlign w:val="center"/>
          </w:tcPr>
          <w:p>
            <w:pPr>
              <w:spacing w:before="0" w:after="0"/>
              <w:jc w:val="right"/>
            </w:pPr>
            <w:r>
              <w:rPr>
                <w:sz w:val="18"/>
                <w:szCs w:val="18"/>
              </w:rPr>
              <w:t xml:space="preserve">228,785</w:t>
            </w:r>
          </w:p>
        </w:tc>
        <w:tc>
          <w:tcPr>
            <w:tcW w:w="2000" w:type="dxa"/>
            <w:vAlign w:val="center"/>
          </w:tcPr>
          <w:p>
            <w:pPr>
              <w:spacing w:before="0" w:after="0"/>
              <w:jc w:val="right"/>
            </w:pPr>
            <w:r>
              <w:rPr>
                <w:sz w:val="18"/>
                <w:szCs w:val="18"/>
              </w:rPr>
              <w:t xml:space="preserve">287,419</w:t>
            </w:r>
          </w:p>
        </w:tc>
        <w:tc>
          <w:tcPr>
            <w:tcW w:w="2000" w:type="dxa"/>
            <w:vAlign w:val="center"/>
          </w:tcPr>
          <w:p>
            <w:pPr>
              <w:spacing w:before="0" w:after="0"/>
              <w:jc w:val="right"/>
            </w:pPr>
            <w:r>
              <w:rPr>
                <w:sz w:val="18"/>
                <w:szCs w:val="18"/>
              </w:rPr>
              <w:t xml:space="preserve">116.1</w:t>
            </w:r>
          </w:p>
        </w:tc>
      </w:tr>
      <w:tr>
        <w:tc>
          <w:tcPr>
            <w:tcW w:w="3072" w:type="dxa"/>
            <w:vAlign w:val="center"/>
          </w:tcPr>
          <w:p>
            <w:pPr>
              <w:spacing w:before="0" w:after="0"/>
              <w:jc w:val="left"/>
            </w:pPr>
            <w:r>
              <w:rPr>
                <w:sz w:val="18"/>
                <w:szCs w:val="18"/>
              </w:rPr>
              <w:t xml:space="preserve">  of which Online</w:t>
            </w:r>
          </w:p>
        </w:tc>
        <w:tc>
          <w:tcPr>
            <w:tcW w:w="2000" w:type="dxa"/>
            <w:vAlign w:val="center"/>
          </w:tcPr>
          <w:p>
            <w:pPr>
              <w:spacing w:before="0" w:after="0"/>
              <w:jc w:val="right"/>
            </w:pPr>
            <w:r>
              <w:rPr>
                <w:sz w:val="18"/>
                <w:szCs w:val="18"/>
              </w:rPr>
              <w:t xml:space="preserve">42,101</w:t>
            </w:r>
          </w:p>
        </w:tc>
        <w:tc>
          <w:tcPr>
            <w:tcW w:w="2000" w:type="dxa"/>
            <w:vAlign w:val="center"/>
          </w:tcPr>
          <w:p>
            <w:pPr>
              <w:spacing w:before="0" w:after="0"/>
              <w:jc w:val="right"/>
            </w:pPr>
            <w:r>
              <w:rPr>
                <w:sz w:val="18"/>
                <w:szCs w:val="18"/>
              </w:rPr>
              <w:t xml:space="preserve">45,520</w:t>
            </w:r>
          </w:p>
        </w:tc>
        <w:tc>
          <w:tcPr>
            <w:tcW w:w="2000" w:type="dxa"/>
            <w:vAlign w:val="center"/>
          </w:tcPr>
          <w:p>
            <w:pPr>
              <w:spacing w:before="0" w:after="0"/>
              <w:jc w:val="right"/>
            </w:pPr>
            <w:r>
              <w:rPr>
                <w:sz w:val="18"/>
                <w:szCs w:val="18"/>
              </w:rPr>
              <w:t xml:space="preserve">122.8</w:t>
            </w:r>
          </w:p>
        </w:tc>
      </w:tr>
      <w:tr>
        <w:tc>
          <w:tcPr>
            <w:tcW w:w="3072" w:type="dxa"/>
            <w:vAlign w:val="center"/>
          </w:tcPr>
          <w:p>
            <w:pPr>
              <w:spacing w:before="0" w:after="0"/>
              <w:jc w:val="left"/>
            </w:pPr>
            <w:r>
              <w:rPr>
                <w:b/>
                <w:sz w:val="18"/>
                <w:szCs w:val="18"/>
              </w:rPr>
              <w:t xml:space="preserve">Total</w:t>
            </w:r>
          </w:p>
        </w:tc>
        <w:tc>
          <w:tcPr>
            <w:tcW w:w="2000" w:type="dxa"/>
            <w:vAlign w:val="center"/>
          </w:tcPr>
          <w:p>
            <w:pPr>
              <w:spacing w:before="0" w:after="0"/>
              <w:jc w:val="right"/>
            </w:pPr>
            <w:r>
              <w:rPr>
                <w:b/>
                <w:sz w:val="18"/>
                <w:szCs w:val="18"/>
              </w:rPr>
              <w:t xml:space="preserve">272,834</w:t>
            </w:r>
          </w:p>
        </w:tc>
        <w:tc>
          <w:tcPr>
            <w:tcW w:w="2000" w:type="dxa"/>
            <w:vAlign w:val="center"/>
          </w:tcPr>
          <w:p>
            <w:pPr>
              <w:spacing w:before="0" w:after="0"/>
              <w:jc w:val="right"/>
            </w:pPr>
            <w:r>
              <w:rPr>
                <w:b/>
                <w:sz w:val="18"/>
                <w:szCs w:val="18"/>
              </w:rPr>
              <w:t xml:space="preserve">315,891</w:t>
            </w:r>
          </w:p>
        </w:tc>
        <w:tc>
          <w:tcPr>
            <w:tcW w:w="2000" w:type="dxa"/>
            <w:vAlign w:val="center"/>
          </w:tcPr>
          <w:p>
            <w:pPr>
              <w:spacing w:before="0" w:after="0"/>
              <w:jc w:val="right"/>
            </w:pPr>
            <w:r>
              <w:rPr>
                <w:b/>
                <w:sz w:val="18"/>
                <w:szCs w:val="18"/>
              </w:rPr>
              <w:t xml:space="preserve">109.9</w:t>
            </w:r>
          </w:p>
        </w:tc>
      </w:tr>
    </w:tbl>
    <w:p>
      <w:pPr/>
    </w:p>
    <w:p>
      <w:r>
        <w:br w:type="page"/>
      </w:r>
    </w:p>
    <w:p>
      <w:pPr>
        <w:pStyle w:val="Heading3"/>
        <w:keepNext/>
      </w:pPr>
      <w:r>
        <w:t xml:space="preserve">4. Management's Discussion and Analysis of Financial Condition, Results of Operations and Cash Flows</w:t>
      </w:r>
    </w:p>
    <w:p>
      <w:pPr>
        <w:keepNext/>
      </w:pPr>
      <w:r>
        <w:rPr>
          <w:b/>
        </w:rPr>
        <w:t xml:space="preserve">(1) Key personnel</w:t>
      </w:r>
    </w:p>
    <w:p>
      <w:pPr>
        <w:ind w:left="0" w:firstLine="360"/>
      </w:pPr>
      <w:r>
        <w:t xml:space="preserve">Net cash provided by operating activities was $301,273 thousand, mainly reflecting net income and depreciation and amortization. Green coffee is purchased from exporters and cooperatives in Central America, South America and East Africa under fixed-price contracts that generally cover the next nine to twelve months of expected needs. Orders placed through the online store, including orders for pickup in store and home delivery of whole beans, accounted for 10.9% of revenue in the Beverages and Beans categories. New stores generally reach the sales level of a mature store within eighteen to twenty-four months of opening. The Company depends on a small number of dairy and bakery suppliers in each region, and an interruption in their deliveries could affect sales at the stores they serve.</w:t>
      </w:r>
    </w:p>
    <w:p>
      <w:pPr>
        <w:ind w:left="0" w:firstLine="360"/>
      </w:pPr>
      <w:r>
        <w:t xml:space="preserve">Weather affects customer traffic: cold drinks sell best in summer, while hot beverages and whole beans sell best from October through February. Weather affects customer traffic: cold drinks sell best in summer, while hot beverages and whole beans sell best from October through February. Each store is managed by a store manager who reports to a district manager, and district managers report to the director for their region. Baristas complete a four-week training course before working on the floor, and store managers complete a further course at the Northfield training center. Nimbus Coffee holds no derivatives other than coffee futures contracts used to fix the price of part of its future green coffee purchases.</w:t>
      </w:r>
    </w:p>
    <w:p>
      <w:pPr>
        <w:keepNext/>
      </w:pPr>
      <w:r>
        <w:rPr>
          <w:b/>
        </w:rPr>
        <w:t xml:space="preserve">(2) Key personnel</w:t>
      </w:r>
    </w:p>
    <w:p>
      <w:pPr>
        <w:ind w:left="0" w:firstLine="360"/>
      </w:pPr>
      <w:r>
        <w:t xml:space="preserve">Store operating expenses, which consist mainly of wages, benefits and supplies, were 33.1% of revenue, compared with 31.8% in the prior year. Wholesale revenue comes from sales of roasted beans to restaurants, hotels and grocery stores in the regions where the Company operates. Baristas complete a four-week training course before working on the floor, and store managers complete a further course at the Northfield training center. Nimbus Coffee holds no derivatives other than coffee futures contracts used to fix the price of part of its future green coffee purchases. Occupancy costs increased to $26,903 thousand, reflecting rent for new stores and scheduled rent increases at existing locations. Comparable store sales increased 4.4%, driven by a 2.3% increase in average ticket and a 2.6% increase in transactions.</w:t>
      </w:r>
    </w:p>
    <w:p>
      <w:pPr>
        <w:ind w:left="0" w:firstLine="360"/>
      </w:pPr>
      <w:r>
        <w:t xml:space="preserve">Nimbus Coffee holds no derivatives other than coffee futures contracts used to fix the price of part of its future green coffee purchases. Food safety incidents, whether or not they occur at our stores, could harm the reputation of the Nimbus Coffee brand and reduce customer traffic. The roastery produced 228 thousand pounds of roasted coffee during the fiscal year, of which 58.2% was sold through company-operated stores. The price of green coffee is volatile, and a sustained increase could reduce gross margin if the Group is unable to pass the cost on to customers through menu prices. During the fiscal year, the Company opened 13 new stores and closed 3 stores whose leases expired. Wholesale revenue comes from sales of roasted beans to restaurants, hotels and grocery stores in the regions where the Company operates.</w:t>
      </w:r>
    </w:p>
    <w:p>
      <w:pPr>
        <w:keepNext/>
      </w:pPr>
      <w:r>
        <w:rPr>
          <w:b/>
        </w:rPr>
        <w:t xml:space="preserve">(3) Green coffee prices</w:t>
      </w:r>
    </w:p>
    <w:p>
      <w:pPr>
        <w:ind w:left="0" w:firstLine="360"/>
      </w:pPr>
      <w:r>
        <w:t xml:space="preserve">Net cash used in investing activities was $16,816 thousand, primarily for purchases of property and equipment. Energy use per store decreased 10.0% compared with the prior year, as older espresso machines and refrigerators were replaced with more efficient models. During the fiscal year, Nimbus Coffee opened 11 new stores and closed 5 stores whose leases expired. Food safety incidents, whether or not they occur at our stores, could harm the reputation of the Nimbus Coffee brand and reduce customer traffic.</w:t>
      </w:r>
    </w:p>
    <w:p>
      <w:pPr>
        <w:ind w:left="0" w:firstLine="360"/>
      </w:pPr>
      <w:r>
        <w:t xml:space="preserve">The Group holds no derivatives other than coffee futures contracts used to fix the price of part of its future green coffee purchases. The Group intends to pay dividends out of retained earnings while keeping sufficient funds to finance the opening of new stores. Inventories consist of green coffee, roasted coffee, packaging, food and merchandise, and are stated at the lower of cost and net realizable value. The ability of Nimbus Coffee to open new stores depends on finding suitable sites on acceptable lease terms and on hiring and training store managers. Revenue from stores in the Eastbay region increased 15.1% compared with the prior year, while its share of total revenue was little changed.</w:t>
      </w:r>
    </w:p>
    <w:p>
      <w:pPr>
        <w:keepNext/>
      </w:pPr>
      <w:r>
        <w:rPr>
          <w:b/>
        </w:rPr>
        <w:t xml:space="preserve">(4) Green coffee prices</w:t>
      </w:r>
    </w:p>
    <w:p>
      <w:pPr>
        <w:ind w:left="0" w:firstLine="360"/>
      </w:pPr>
      <w:r>
        <w:t xml:space="preserve">Energy use per store decreased 16.4% compared with the prior year, as older espresso machines and refrigerators were replaced with more efficient models. The Group buys 31.2% of its green coffee by volume from farms certified under recognized sustainability standards. Energy use per store decreased 8.8% compared with the prior year, as older espresso machines and refrigerators were replaced with more efficient models. Net cash used in financing activities was $24,202 thousand, reflecting repayments of the term loan and dividends paid.</w:t>
      </w:r>
    </w:p>
    <w:p>
      <w:pPr>
        <w:ind w:left="0" w:firstLine="360"/>
      </w:pPr>
      <w:r>
        <w:t xml:space="preserve">Baristas complete a four-week training course before working on the floor, and store managers complete a further course at the Northfield training center. Revenue from loyalty rewards is deferred until the reward is redeemed or expires. Revenue from stores in the Riverside region increased 8.6% compared with the prior year, while its share of total revenue was little changed. Green coffee is purchased from exporters and cooperatives in Central America, South America and East Africa under fixed-price contracts that generally cover the next nine to twelve months of expected needs. These forward-looking statements are based on information available as of the date of this statement, and actual results may differ materially because of many factors. Green coffee is purchased from exporters and cooperatives in Central America, South America and East Africa under fixed-price contracts that generally cover the next nine to twelve months of expected needs.</w:t>
      </w:r>
    </w:p>
    <w:p>
      <w:pPr>
        <w:keepNext/>
      </w:pPr>
      <w:r>
        <w:rPr>
          <w:b/>
        </w:rPr>
        <w:t xml:space="preserve">(5) Key personnel</w:t>
      </w:r>
    </w:p>
    <w:p>
      <w:pPr>
        <w:ind w:left="0" w:firstLine="360"/>
      </w:pPr>
      <w:r>
        <w:t xml:space="preserve">Total revenue for the fiscal year was $97,127 thousand, an increase of 15.2% over the prior year, and operating income was $2,553 thousand, an increase of 2.8%. New stores generally reach the sales level of a mature store within eighteen to twenty-four months of opening. The ability of Nimbus Coffee to open new stores depends on finding suitable sites on acceptable lease terms and on hiring and training store managers. Store operating expenses, which consist mainly of wages, benefits and supplies, were 35.4% of revenue, compared with 28.5% in the prior year. Total assets at the end of the fiscal year were $136,038 thousand, an increase of $13,304 thousand from the end of the prior fiscal year. The roastery produced 880 thousand pounds of roasted coffee during the fiscal year, of which 58.8% was sold through company-operated stores.</w:t>
      </w:r>
    </w:p>
    <w:p>
      <w:pPr>
        <w:ind w:left="0" w:firstLine="360"/>
      </w:pPr>
      <w:r>
        <w:t xml:space="preserve">The roastery produced 620 thousand pounds of roasted coffee during the fiscal year, of which 17.1% was sold through company-operated stores. During the fiscal year, Nimbus Coffee opened 7 new stores and closed 4 stores whose leases expired. Wholesale revenue comes from sales of roasted beans to restaurants, hotels and grocery stores in the regions where the Company operates.</w:t>
      </w:r>
    </w:p>
    <w:p>
      <w:pPr>
        <w:keepNext/>
      </w:pPr>
      <w:r>
        <w:rPr>
          <w:b/>
        </w:rPr>
        <w:t xml:space="preserve">(6) Key personnel</w:t>
      </w:r>
    </w:p>
    <w:p>
      <w:pPr>
        <w:ind w:left="0" w:firstLine="360"/>
      </w:pPr>
      <w:r>
        <w:t xml:space="preserve">The Group buys 52.6% of its green coffee by volume from farms certified under recognized sustainability standards. Food safety incidents, whether or not they occur at our stores, could harm the reputation of the Nimbus Coffee brand and reduce customer traffic. Capital expenditures totaled $24,207 thousand and consisted mainly of the build-out of new stores, the remodeling of existing stores and a second roasting line at the Northfield roastery. Each store is managed by a store manager who reports to a district manager, and district managers report to the director for their region. The roastery produced 547 thousand pounds of roasted coffee during the fiscal year, of which 46.2% was sold through company-operated stores.</w:t>
      </w:r>
    </w:p>
    <w:p>
      <w:pPr>
        <w:ind w:left="0" w:firstLine="360"/>
      </w:pPr>
      <w:r>
        <w:t xml:space="preserve">Orders placed through the online store, including orders for pickup in store and home delivery of whole beans, accounted for 13.2% of revenue in the Beverages and Beans categories. Revenue from company-operated stores increased 6.1% compared with the prior year, while its share of total revenue was little changed. Revenue from stores in the Westridge region increased 15.5% compared with the prior year, while its share of total revenue was little changed. Nimbus Coffee intends to pay dividends out of retained earnings while keeping sufficient funds to finance the opening of new stores. During the fiscal year, the Group opened 18 new stores and closed 4 stores whose leases expired. The price of green coffee is volatile, and a sustained increase could reduce gross margin if Nimbus Coffee is unable to pass the cost on to customers through menu prices.</w:t>
      </w:r>
    </w:p>
    <w:p>
      <w:pPr>
        <w:keepNext/>
      </w:pPr>
      <w:r>
        <w:rPr>
          <w:b/>
        </w:rPr>
        <w:t xml:space="preserve">(7) Competition</w:t>
      </w:r>
    </w:p>
    <w:p>
      <w:pPr>
        <w:ind w:left="0" w:firstLine="360"/>
      </w:pPr>
      <w:r>
        <w:t xml:space="preserve">Store operating expenses, which consist mainly of wages, benefits and supplies, were 30.8% of revenue, compared with 29.5% in the prior year. Revenue from loyalty rewards is deferred until the reward is redeemed or expires. Green coffee is purchased from exporters and cooperatives in Central America, South America and East Africa under fixed-price contracts that generally cover the next nine to twelve months of expected needs.</w:t>
      </w:r>
    </w:p>
    <w:p>
      <w:pPr>
        <w:ind w:left="0" w:firstLine="360"/>
      </w:pPr>
      <w:r>
        <w:t xml:space="preserve">The Company leases all of its store premises under operating leases with initial terms of ten years, most of which include options to renew. Total revenue for the fiscal year was $71,031 thousand, an increase of 4.4% over the prior year, and operating income was $35,469 thousand, an increase of 17.4%. At the end of the fiscal year, the Company operated 156 company-operated stores in eight regions: Northfield, Eastbay, Southport, Westridge, Lakeside, Hillcrest, Riverside and Harborview. The loyalty program had 981 thousand active members at the end of the fiscal year, and purchases by members accounted for 51.3% of store revenue. Merchandise sales, consisting of mugs, brewing equipment and seasonal gift sets, are highest in the fourth quarter of each year.</w:t>
      </w:r>
    </w:p>
    <w:p>
      <w:pPr>
        <w:keepNext/>
      </w:pPr>
      <w:r>
        <w:rPr>
          <w:b/>
        </w:rPr>
        <w:t xml:space="preserve">(8) Dependence on key suppliers</w:t>
      </w:r>
    </w:p>
    <w:p>
      <w:pPr>
        <w:ind w:left="0" w:firstLine="360"/>
      </w:pPr>
      <w:r>
        <w:t xml:space="preserve">Inventories consist of green coffee, roasted coffee, packaging, food and merchandise, and are stated at the lower of cost and net realizable value. The Company operates specialty coffee shops under the Nimbus Coffee name and roasts all of the coffee it serves at its own roastery in Northfield. The roastery produced 570 thousand pounds of roasted coffee during the fiscal year, of which 42.0% was sold through company-operated stores. The Group depends on a small number of dairy and bakery suppliers in each region, and an interruption in their deliveries could affect sales at the stores they serve.</w:t>
      </w:r>
    </w:p>
    <w:p>
      <w:pPr>
        <w:ind w:left="0" w:firstLine="360"/>
      </w:pPr>
      <w:r>
        <w:t xml:space="preserve">At the end of the fiscal year, Nimbus Coffee operated 153 company-operated stores in eight regions: Northfield, Eastbay, Southport, Westridge, Lakeside, Hillcrest, Riverside and Harborview. The Group holds no derivatives other than coffee futures contracts used to fix the price of part of its future green coffee purchases. Labor costs are affected by minimum wage laws in the regions where the stores are located, and further increases could reduce store margins.</w:t>
      </w:r>
    </w:p>
    <w:p>
      <w:pPr>
        <w:keepNext/>
      </w:pPr>
      <w:r>
        <w:rPr>
          <w:b/>
        </w:rPr>
        <w:t xml:space="preserve">(9) Lease obligations</w:t>
      </w:r>
    </w:p>
    <w:p>
      <w:pPr>
        <w:ind w:left="0" w:firstLine="360"/>
      </w:pPr>
      <w:r>
        <w:t xml:space="preserve">Merchandise sales, consisting of mugs, brewing equipment and seasonal gift sets, are highest in the fourth quarter of each year. During the fiscal year, the Group opened 6 new stores and closed 5 stores whose leases expired. Food safety incidents, whether or not they occur at our stores, could harm the reputation of the Nimbus Coffee brand and reduce customer traffic. Revenue from loyalty rewards is deferred until the reward is redeemed or expires.</w:t>
      </w:r>
    </w:p>
    <w:p>
      <w:pPr>
        <w:ind w:left="0" w:firstLine="360"/>
      </w:pPr>
      <w:r>
        <w:t xml:space="preserve">Inventories consist of green coffee, roasted coffee, packaging, food and merchandise, and are stated at the lower of cost and net realizable value. Baristas complete a four-week training course before working on the floor, and store managers complete a further course at the Northfield training center. Net cash used in financing activities was $10,973 thousand, reflecting repayments of the term loan and dividends paid.</w:t>
      </w:r>
    </w:p>
    <w:p>
      <w:pPr>
        <w:keepNext/>
      </w:pPr>
      <w:r>
        <w:rPr>
          <w:b/>
        </w:rPr>
        <w:t xml:space="preserve">(10) Laws and regulations</w:t>
      </w:r>
    </w:p>
    <w:p>
      <w:pPr>
        <w:ind w:left="0" w:firstLine="360"/>
      </w:pPr>
      <w:r>
        <w:t xml:space="preserve">These forward-looking statements are based on information available as of the date of this statement, and actual results may differ materially because of many factors. Wholesale revenue comes from sales of roasted beans to restaurants, hotels and grocery stores in the regions where the Group operates. Weather affects customer traffic: cold drinks sell best in summer, while hot beverages and whole beans sell best from October through February. Comparable store sales increased 6.6%, driven by a 1.2% increase in average ticket and a 1.0% increase in transactions. Revenue from stores in the Harborview region increased 13.2% compared with the prior year, while its share of total revenue was little changed.</w:t>
      </w:r>
    </w:p>
    <w:p>
      <w:pPr>
        <w:ind w:left="0" w:firstLine="360"/>
      </w:pPr>
      <w:r>
        <w:t xml:space="preserve">Baristas complete a four-week training course before working on the floor, and store managers complete a further course at the Northfield training center. Inventories consist of green coffee, roasted coffee, packaging, food and merchandise, and are stated at the lower of cost and net realizable value. Revenue from wholesale customers was $21,386 thousand, or 18.4% of total revenue.</w:t>
      </w:r>
    </w:p>
    <w:tbl>
      <w:tblPr>
        <w:tblW w:w="907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72" w:type="dxa"/>
          <w:right w:w="72" w:type="dxa"/>
        </w:tblCellMar>
      </w:tblPr>
      <w:tblGrid>
        <w:gridCol w:w="3072"/>
        <w:gridCol w:w="2000"/>
        <w:gridCol w:w="2000"/>
        <w:gridCol w:w="2000"/>
      </w:tblGrid>
      <w:tr>
        <w:trPr>
          <w:tblHeader/>
        </w:trPr>
        <w:tc>
          <w:tcPr>
            <w:tcW w:w="3072" w:type="dxa"/>
            <w:shd w:val="clear" w:color="auto" w:fill="DDEBF7"/>
            <w:vAlign w:val="center"/>
          </w:tcPr>
          <w:p>
            <w:pPr>
              <w:spacing w:before="0" w:after="0"/>
              <w:jc w:val="center"/>
            </w:pPr>
            <w:r>
              <w:rPr>
                <w:b/>
                <w:sz w:val="18"/>
                <w:szCs w:val="18"/>
              </w:rPr>
              <w:t xml:space="preserve">Category</w:t>
            </w:r>
          </w:p>
        </w:tc>
        <w:tc>
          <w:tcPr>
            <w:tcW w:w="2000" w:type="dxa"/>
            <w:shd w:val="clear" w:color="auto" w:fill="DDEBF7"/>
            <w:vAlign w:val="center"/>
          </w:tcPr>
          <w:p>
            <w:pPr>
              <w:spacing w:before="0" w:after="0"/>
              <w:jc w:val="center"/>
            </w:pPr>
            <w:r>
              <w:rPr>
                <w:b/>
                <w:sz w:val="18"/>
                <w:szCs w:val="18"/>
              </w:rPr>
              <w:t xml:space="preserve">FY2024 (USD thousands)</w:t>
            </w:r>
          </w:p>
        </w:tc>
        <w:tc>
          <w:tcPr>
            <w:tcW w:w="2000" w:type="dxa"/>
            <w:shd w:val="clear" w:color="auto" w:fill="DDEBF7"/>
            <w:vAlign w:val="center"/>
          </w:tcPr>
          <w:p>
            <w:pPr>
              <w:spacing w:before="0" w:after="0"/>
              <w:jc w:val="center"/>
            </w:pPr>
            <w:r>
              <w:rPr>
                <w:b/>
                <w:sz w:val="18"/>
                <w:szCs w:val="18"/>
              </w:rPr>
              <w:t xml:space="preserve">FY2025 (USD thousands)</w:t>
            </w:r>
          </w:p>
        </w:tc>
        <w:tc>
          <w:tcPr>
            <w:tcW w:w="2000" w:type="dxa"/>
            <w:shd w:val="clear" w:color="auto" w:fill="DDEBF7"/>
            <w:vAlign w:val="center"/>
          </w:tcPr>
          <w:p>
            <w:pPr>
              <w:spacing w:before="0" w:after="0"/>
              <w:jc w:val="center"/>
            </w:pPr>
            <w:r>
              <w:rPr>
                <w:b/>
                <w:sz w:val="18"/>
                <w:szCs w:val="18"/>
              </w:rPr>
              <w:t xml:space="preserve">Change (% of prior year)</w:t>
            </w:r>
          </w:p>
        </w:tc>
      </w:tr>
      <w:tr>
        <w:tc>
          <w:tcPr>
            <w:tcW w:w="3072" w:type="dxa"/>
            <w:vAlign w:val="center"/>
          </w:tcPr>
          <w:p>
            <w:pPr>
              <w:spacing w:before="0" w:after="0"/>
              <w:jc w:val="left"/>
            </w:pPr>
            <w:r>
              <w:rPr>
                <w:sz w:val="18"/>
                <w:szCs w:val="18"/>
              </w:rPr>
              <w:t xml:space="preserve">Beverages</w:t>
            </w:r>
          </w:p>
        </w:tc>
        <w:tc>
          <w:tcPr>
            <w:tcW w:w="2000" w:type="dxa"/>
            <w:vAlign w:val="center"/>
          </w:tcPr>
          <w:p>
            <w:pPr>
              <w:spacing w:before="0" w:after="0"/>
              <w:jc w:val="right"/>
            </w:pPr>
            <w:r>
              <w:rPr>
                <w:sz w:val="18"/>
                <w:szCs w:val="18"/>
              </w:rPr>
              <w:t xml:space="preserve">161,219</w:t>
            </w:r>
          </w:p>
        </w:tc>
        <w:tc>
          <w:tcPr>
            <w:tcW w:w="2000" w:type="dxa"/>
            <w:vAlign w:val="center"/>
          </w:tcPr>
          <w:p>
            <w:pPr>
              <w:spacing w:before="0" w:after="0"/>
              <w:jc w:val="right"/>
            </w:pPr>
            <w:r>
              <w:rPr>
                <w:sz w:val="18"/>
                <w:szCs w:val="18"/>
              </w:rPr>
              <w:t xml:space="preserve">184,944</w:t>
            </w:r>
          </w:p>
        </w:tc>
        <w:tc>
          <w:tcPr>
            <w:tcW w:w="2000" w:type="dxa"/>
            <w:vAlign w:val="center"/>
          </w:tcPr>
          <w:p>
            <w:pPr>
              <w:spacing w:before="0" w:after="0"/>
              <w:jc w:val="right"/>
            </w:pPr>
            <w:r>
              <w:rPr>
                <w:sz w:val="18"/>
                <w:szCs w:val="18"/>
              </w:rPr>
              <w:t xml:space="preserve">104.1</w:t>
            </w:r>
          </w:p>
        </w:tc>
      </w:tr>
      <w:tr>
        <w:tc>
          <w:tcPr>
            <w:tcW w:w="3072" w:type="dxa"/>
            <w:vAlign w:val="center"/>
          </w:tcPr>
          <w:p>
            <w:pPr>
              <w:spacing w:before="0" w:after="0"/>
              <w:jc w:val="left"/>
            </w:pPr>
            <w:r>
              <w:rPr>
                <w:sz w:val="18"/>
                <w:szCs w:val="18"/>
              </w:rPr>
              <w:t xml:space="preserve">Food</w:t>
            </w:r>
          </w:p>
        </w:tc>
        <w:tc>
          <w:tcPr>
            <w:tcW w:w="2000" w:type="dxa"/>
            <w:vAlign w:val="center"/>
          </w:tcPr>
          <w:p>
            <w:pPr>
              <w:spacing w:before="0" w:after="0"/>
              <w:jc w:val="right"/>
            </w:pPr>
            <w:r>
              <w:rPr>
                <w:sz w:val="18"/>
                <w:szCs w:val="18"/>
              </w:rPr>
              <w:t xml:space="preserve">51,337</w:t>
            </w:r>
          </w:p>
        </w:tc>
        <w:tc>
          <w:tcPr>
            <w:tcW w:w="2000" w:type="dxa"/>
            <w:vAlign w:val="center"/>
          </w:tcPr>
          <w:p>
            <w:pPr>
              <w:spacing w:before="0" w:after="0"/>
              <w:jc w:val="right"/>
            </w:pPr>
            <w:r>
              <w:rPr>
                <w:sz w:val="18"/>
                <w:szCs w:val="18"/>
              </w:rPr>
              <w:t xml:space="preserve">56,896</w:t>
            </w:r>
          </w:p>
        </w:tc>
        <w:tc>
          <w:tcPr>
            <w:tcW w:w="2000" w:type="dxa"/>
            <w:vAlign w:val="center"/>
          </w:tcPr>
          <w:p>
            <w:pPr>
              <w:spacing w:before="0" w:after="0"/>
              <w:jc w:val="right"/>
            </w:pPr>
            <w:r>
              <w:rPr>
                <w:sz w:val="18"/>
                <w:szCs w:val="18"/>
              </w:rPr>
              <w:t xml:space="preserve">112.0</w:t>
            </w:r>
          </w:p>
        </w:tc>
      </w:tr>
      <w:tr>
        <w:tc>
          <w:tcPr>
            <w:tcW w:w="3072" w:type="dxa"/>
            <w:vAlign w:val="center"/>
          </w:tcPr>
          <w:p>
            <w:pPr>
              <w:spacing w:before="0" w:after="0"/>
              <w:jc w:val="left"/>
            </w:pPr>
            <w:r>
              <w:rPr>
                <w:sz w:val="18"/>
                <w:szCs w:val="18"/>
              </w:rPr>
              <w:t xml:space="preserve">Merchandise</w:t>
            </w:r>
          </w:p>
        </w:tc>
        <w:tc>
          <w:tcPr>
            <w:tcW w:w="2000" w:type="dxa"/>
            <w:vAlign w:val="center"/>
          </w:tcPr>
          <w:p>
            <w:pPr>
              <w:spacing w:before="0" w:after="0"/>
              <w:jc w:val="right"/>
            </w:pPr>
            <w:r>
              <w:rPr>
                <w:sz w:val="18"/>
                <w:szCs w:val="18"/>
              </w:rPr>
              <w:t xml:space="preserve">19,374</w:t>
            </w:r>
          </w:p>
        </w:tc>
        <w:tc>
          <w:tcPr>
            <w:tcW w:w="2000" w:type="dxa"/>
            <w:vAlign w:val="center"/>
          </w:tcPr>
          <w:p>
            <w:pPr>
              <w:spacing w:before="0" w:after="0"/>
              <w:jc w:val="right"/>
            </w:pPr>
            <w:r>
              <w:rPr>
                <w:sz w:val="18"/>
                <w:szCs w:val="18"/>
              </w:rPr>
              <w:t xml:space="preserve">21,011</w:t>
            </w:r>
          </w:p>
        </w:tc>
        <w:tc>
          <w:tcPr>
            <w:tcW w:w="2000" w:type="dxa"/>
            <w:vAlign w:val="center"/>
          </w:tcPr>
          <w:p>
            <w:pPr>
              <w:spacing w:before="0" w:after="0"/>
              <w:jc w:val="right"/>
            </w:pPr>
            <w:r>
              <w:rPr>
                <w:sz w:val="18"/>
                <w:szCs w:val="18"/>
              </w:rPr>
              <w:t xml:space="preserve">111.2</w:t>
            </w:r>
          </w:p>
        </w:tc>
      </w:tr>
      <w:tr>
        <w:tc>
          <w:tcPr>
            <w:tcW w:w="3072" w:type="dxa"/>
            <w:vAlign w:val="center"/>
          </w:tcPr>
          <w:p>
            <w:pPr>
              <w:spacing w:before="0" w:after="0"/>
              <w:jc w:val="left"/>
            </w:pPr>
            <w:r>
              <w:rPr>
                <w:sz w:val="18"/>
                <w:szCs w:val="18"/>
              </w:rPr>
              <w:t xml:space="preserve">Beans</w:t>
            </w:r>
          </w:p>
        </w:tc>
        <w:tc>
          <w:tcPr>
            <w:tcW w:w="2000" w:type="dxa"/>
            <w:vAlign w:val="center"/>
          </w:tcPr>
          <w:p>
            <w:pPr>
              <w:spacing w:before="0" w:after="0"/>
              <w:jc w:val="right"/>
            </w:pPr>
            <w:r>
              <w:rPr>
                <w:sz w:val="18"/>
                <w:szCs w:val="18"/>
              </w:rPr>
              <w:t xml:space="preserve">47,125</w:t>
            </w:r>
          </w:p>
        </w:tc>
        <w:tc>
          <w:tcPr>
            <w:tcW w:w="2000" w:type="dxa"/>
            <w:vAlign w:val="center"/>
          </w:tcPr>
          <w:p>
            <w:pPr>
              <w:spacing w:before="0" w:after="0"/>
              <w:jc w:val="right"/>
            </w:pPr>
            <w:r>
              <w:rPr>
                <w:sz w:val="18"/>
                <w:szCs w:val="18"/>
              </w:rPr>
              <w:t xml:space="preserve">55,491</w:t>
            </w:r>
          </w:p>
        </w:tc>
        <w:tc>
          <w:tcPr>
            <w:tcW w:w="2000" w:type="dxa"/>
            <w:vAlign w:val="center"/>
          </w:tcPr>
          <w:p>
            <w:pPr>
              <w:spacing w:before="0" w:after="0"/>
              <w:jc w:val="right"/>
            </w:pPr>
            <w:r>
              <w:rPr>
                <w:sz w:val="18"/>
                <w:szCs w:val="18"/>
              </w:rPr>
              <w:t xml:space="preserve">104.6</w:t>
            </w:r>
          </w:p>
        </w:tc>
      </w:tr>
      <w:tr>
        <w:tc>
          <w:tcPr>
            <w:tcW w:w="3072" w:type="dxa"/>
            <w:vAlign w:val="center"/>
          </w:tcPr>
          <w:p>
            <w:pPr>
              <w:spacing w:before="0" w:after="0"/>
              <w:jc w:val="left"/>
            </w:pPr>
            <w:r>
              <w:rPr>
                <w:sz w:val="18"/>
                <w:szCs w:val="18"/>
              </w:rPr>
              <w:t xml:space="preserve">  of which Store</w:t>
            </w:r>
          </w:p>
        </w:tc>
        <w:tc>
          <w:tcPr>
            <w:tcW w:w="2000" w:type="dxa"/>
            <w:vAlign w:val="center"/>
          </w:tcPr>
          <w:p>
            <w:pPr>
              <w:spacing w:before="0" w:after="0"/>
              <w:jc w:val="right"/>
            </w:pPr>
            <w:r>
              <w:rPr>
                <w:sz w:val="18"/>
                <w:szCs w:val="18"/>
              </w:rPr>
              <w:t xml:space="preserve">248,684</w:t>
            </w:r>
          </w:p>
        </w:tc>
        <w:tc>
          <w:tcPr>
            <w:tcW w:w="2000" w:type="dxa"/>
            <w:vAlign w:val="center"/>
          </w:tcPr>
          <w:p>
            <w:pPr>
              <w:spacing w:before="0" w:after="0"/>
              <w:jc w:val="right"/>
            </w:pPr>
            <w:r>
              <w:rPr>
                <w:sz w:val="18"/>
                <w:szCs w:val="18"/>
              </w:rPr>
              <w:t xml:space="preserve">271,545</w:t>
            </w:r>
          </w:p>
        </w:tc>
        <w:tc>
          <w:tcPr>
            <w:tcW w:w="2000" w:type="dxa"/>
            <w:vAlign w:val="center"/>
          </w:tcPr>
          <w:p>
            <w:pPr>
              <w:spacing w:before="0" w:after="0"/>
              <w:jc w:val="right"/>
            </w:pPr>
            <w:r>
              <w:rPr>
                <w:sz w:val="18"/>
                <w:szCs w:val="18"/>
              </w:rPr>
              <w:t xml:space="preserve">111.0</w:t>
            </w:r>
          </w:p>
        </w:tc>
      </w:tr>
      <w:tr>
        <w:tc>
          <w:tcPr>
            <w:tcW w:w="3072" w:type="dxa"/>
            <w:vAlign w:val="center"/>
          </w:tcPr>
          <w:p>
            <w:pPr>
              <w:spacing w:before="0" w:after="0"/>
              <w:jc w:val="left"/>
            </w:pPr>
            <w:r>
              <w:rPr>
                <w:sz w:val="18"/>
                <w:szCs w:val="18"/>
              </w:rPr>
              <w:t xml:space="preserve">  of which Online</w:t>
            </w:r>
          </w:p>
        </w:tc>
        <w:tc>
          <w:tcPr>
            <w:tcW w:w="2000" w:type="dxa"/>
            <w:vAlign w:val="center"/>
          </w:tcPr>
          <w:p>
            <w:pPr>
              <w:spacing w:before="0" w:after="0"/>
              <w:jc w:val="right"/>
            </w:pPr>
            <w:r>
              <w:rPr>
                <w:sz w:val="18"/>
                <w:szCs w:val="18"/>
              </w:rPr>
              <w:t xml:space="preserve">41,314</w:t>
            </w:r>
          </w:p>
        </w:tc>
        <w:tc>
          <w:tcPr>
            <w:tcW w:w="2000" w:type="dxa"/>
            <w:vAlign w:val="center"/>
          </w:tcPr>
          <w:p>
            <w:pPr>
              <w:spacing w:before="0" w:after="0"/>
              <w:jc w:val="right"/>
            </w:pPr>
            <w:r>
              <w:rPr>
                <w:sz w:val="18"/>
                <w:szCs w:val="18"/>
              </w:rPr>
              <w:t xml:space="preserve">40,757</w:t>
            </w:r>
          </w:p>
        </w:tc>
        <w:tc>
          <w:tcPr>
            <w:tcW w:w="2000" w:type="dxa"/>
            <w:vAlign w:val="center"/>
          </w:tcPr>
          <w:p>
            <w:pPr>
              <w:spacing w:before="0" w:after="0"/>
              <w:jc w:val="right"/>
            </w:pPr>
            <w:r>
              <w:rPr>
                <w:sz w:val="18"/>
                <w:szCs w:val="18"/>
              </w:rPr>
              <w:t xml:space="preserve">103.7</w:t>
            </w:r>
          </w:p>
        </w:tc>
      </w:tr>
      <w:tr>
        <w:tc>
          <w:tcPr>
            <w:tcW w:w="3072" w:type="dxa"/>
            <w:vAlign w:val="center"/>
          </w:tcPr>
          <w:p>
            <w:pPr>
              <w:spacing w:before="0" w:after="0"/>
              <w:jc w:val="left"/>
            </w:pPr>
            <w:r>
              <w:rPr>
                <w:b/>
                <w:sz w:val="18"/>
                <w:szCs w:val="18"/>
              </w:rPr>
              <w:t xml:space="preserve">Total</w:t>
            </w:r>
          </w:p>
        </w:tc>
        <w:tc>
          <w:tcPr>
            <w:tcW w:w="2000" w:type="dxa"/>
            <w:vAlign w:val="center"/>
          </w:tcPr>
          <w:p>
            <w:pPr>
              <w:spacing w:before="0" w:after="0"/>
              <w:jc w:val="right"/>
            </w:pPr>
            <w:r>
              <w:rPr>
                <w:b/>
                <w:sz w:val="18"/>
                <w:szCs w:val="18"/>
              </w:rPr>
              <w:t xml:space="preserve">289,142</w:t>
            </w:r>
          </w:p>
        </w:tc>
        <w:tc>
          <w:tcPr>
            <w:tcW w:w="2000" w:type="dxa"/>
            <w:vAlign w:val="center"/>
          </w:tcPr>
          <w:p>
            <w:pPr>
              <w:spacing w:before="0" w:after="0"/>
              <w:jc w:val="right"/>
            </w:pPr>
            <w:r>
              <w:rPr>
                <w:b/>
                <w:sz w:val="18"/>
                <w:szCs w:val="18"/>
              </w:rPr>
              <w:t xml:space="preserve">327,622</w:t>
            </w:r>
          </w:p>
        </w:tc>
        <w:tc>
          <w:tcPr>
            <w:tcW w:w="2000" w:type="dxa"/>
            <w:vAlign w:val="center"/>
          </w:tcPr>
          <w:p>
            <w:pPr>
              <w:spacing w:before="0" w:after="0"/>
              <w:jc w:val="right"/>
            </w:pPr>
            <w:r>
              <w:rPr>
                <w:b/>
                <w:sz w:val="18"/>
                <w:szCs w:val="18"/>
              </w:rPr>
              <w:t xml:space="preserve">108.4</w:t>
            </w:r>
          </w:p>
        </w:tc>
      </w:tr>
    </w:tbl>
    <w:p>
      <w:pPr/>
    </w:p>
    <w:p>
      <w:r>
        <w:br w:type="page"/>
      </w:r>
    </w:p>
    <w:p>
      <w:pPr>
        <w:pStyle w:val="Heading3"/>
        <w:keepNext/>
      </w:pPr>
      <w:r>
        <w:t xml:space="preserve">5. Material Contracts</w:t>
      </w:r>
    </w:p>
    <w:p>
      <w:pPr>
        <w:keepNext/>
      </w:pPr>
      <w:r>
        <w:rPr>
          <w:b/>
        </w:rPr>
        <w:t xml:space="preserve">(1) Laws and regulations</w:t>
      </w:r>
    </w:p>
    <w:p>
      <w:pPr>
        <w:ind w:left="0" w:firstLine="360"/>
      </w:pPr>
      <w:r>
        <w:t xml:space="preserve">During the fiscal year, the Company opened 16 new stores and closed 2 stores whose leases expired. The Company leases all of its store premises under operating leases with initial terms of ten years, most of which include options to renew. The loyalty program had 403 thousand active members at the end of the fiscal year, and purchases by members accounted for 40.3% of store revenue. Net cash used in investing activities was $19,854 thousand, primarily for purchases of property and equipment. Occupancy costs increased to $6,820 thousand, reflecting rent for new stores and scheduled rent increases at existing locations.</w:t>
      </w:r>
    </w:p>
    <w:p>
      <w:pPr>
        <w:ind w:left="0" w:firstLine="360"/>
      </w:pPr>
      <w:r>
        <w:t xml:space="preserve">Food safety incidents, whether or not they occur at our stores, could harm the reputation of the Nimbus Coffee brand and reduce customer traffic. Labor costs are affected by minimum wage laws in the regions where the stores are located, and further increases could reduce store margins. Nimbus Coffee buys 49.0% of its green coffee by volume from farms certified under recognized sustainability standards. At the end of the fiscal year, the Group operated 154 company-operated stores in eight regions: Northfield, Eastbay, Southport, Westridge, Lakeside, Hillcrest, Riverside and Harborview. Revenue from loyalty rewards is deferred until the reward is redeemed or expires. Merchandise sales, consisting of mugs, brewing equipment and seasonal gift sets, are highest in the fourth quarter of each year.</w:t>
      </w:r>
    </w:p>
    <w:p>
      <w:pPr>
        <w:keepNext/>
      </w:pPr>
      <w:r>
        <w:rPr>
          <w:b/>
        </w:rPr>
        <w:t xml:space="preserve">(2) Food safety</w:t>
      </w:r>
    </w:p>
    <w:p>
      <w:pPr>
        <w:ind w:left="0" w:firstLine="360"/>
      </w:pPr>
      <w:r>
        <w:t xml:space="preserve">Weather affects customer traffic: cold drinks sell best in summer, while hot beverages and whole beans sell best from October through February. Each store is managed by a store manager who reports to a district manager, and district managers report to the director for their region. Nimbus Coffee operates specialty coffee shops under the Nimbus Coffee name and roasts all of the coffee it serves at its own roastery in Northfield.</w:t>
      </w:r>
    </w:p>
    <w:p>
      <w:pPr>
        <w:ind w:left="0" w:firstLine="360"/>
      </w:pPr>
      <w:r>
        <w:t xml:space="preserve">Orders placed through the online store, including orders for pickup in store and home delivery of whole beans, accounted for 14.7% of revenue in the Beverages and Beans categories. Occupancy costs increased to $4,426 thousand, reflecting rent for new stores and scheduled rent increases at existing locations. The price of green coffee is volatile, and a sustained increase could reduce gross margin if the Group is unable to pass the cost on to customers through menu prices. Energy use per store decreased 17.4% compared with the prior year, as older espresso machines and refrigerators were replaced with more efficient models. Revenue from stores in the Westridge region was $55,273 thousand, or 12.2% of total revenue. The loyalty program had 628 thousand active members at the end of the fiscal year, and purchases by members accounted for 22.5% of store revenue.</w:t>
      </w:r>
    </w:p>
    <w:p>
      <w:pPr>
        <w:keepNext/>
      </w:pPr>
      <w:r>
        <w:rPr>
          <w:b/>
        </w:rPr>
        <w:t xml:space="preserve">(3) Green coffee prices</w:t>
      </w:r>
    </w:p>
    <w:p>
      <w:pPr>
        <w:ind w:left="0" w:firstLine="360"/>
      </w:pPr>
      <w:r>
        <w:t xml:space="preserve">The loyalty program had 513 thousand active members at the end of the fiscal year, and purchases by members accounted for 58.5% of store revenue. Comparable store sales increased 6.3%, driven by a 2.8% increase in average ticket and a 0.8% increase in transactions. Green coffee is purchased from exporters and cooperatives in Central America, South America and East Africa under fixed-price contracts that generally cover the next nine to twelve months of expected needs. Each store is managed by a store manager who reports to a district manager, and district managers report to the director for their region.</w:t>
      </w:r>
    </w:p>
    <w:p>
      <w:pPr>
        <w:ind w:left="0" w:firstLine="360"/>
      </w:pPr>
      <w:r>
        <w:t xml:space="preserve">Orders placed through the online store, including orders for pickup in store and home delivery of whole beans, accounted for 48.3% of revenue in the Beverages and Beans categories. Orders placed through the online store, including orders for pickup in store and home delivery of whole beans, accounted for 24.7% of revenue in the Beverages and Beans categories. Revenue from loyalty rewards is deferred until the reward is redeemed or expires. Revenue from loyalty rewards is deferred until the reward is redeemed or expires. Net cash used in financing activities was $4,753 thousand, reflecting repayments of the term loan and dividends paid. Store operating expenses, which consist mainly of wages, benefits and supplies, were 33.6% of revenue, compared with 35.9% in the prior year.</w:t>
      </w:r>
    </w:p>
    <w:p>
      <w:pPr>
        <w:keepNext/>
      </w:pPr>
      <w:r>
        <w:rPr>
          <w:b/>
        </w:rPr>
        <w:t xml:space="preserve">(4) Concentration of stores in eight regions</w:t>
      </w:r>
    </w:p>
    <w:p>
      <w:pPr>
        <w:ind w:left="0" w:firstLine="360"/>
      </w:pPr>
      <w:r>
        <w:t xml:space="preserve">Nimbus Coffee buys 53.9% of its green coffee by volume from farms certified under recognized sustainability standards. Store operating expenses, which consist mainly of wages, benefits and supplies, were 28.0% of revenue, compared with 33.0% in the prior year. Baristas complete a four-week training course before working on the floor, and store managers complete a further course at the Northfield training center. Wholesale revenue comes from sales of roasted beans to restaurants, hotels and grocery stores in the regions where Nimbus Coffee operates.</w:t>
      </w:r>
    </w:p>
    <w:p>
      <w:pPr>
        <w:ind w:left="0" w:firstLine="360"/>
      </w:pPr>
      <w:r>
        <w:t xml:space="preserve">Store operating expenses, which consist mainly of wages, benefits and supplies, were 35.8% of revenue, compared with 29.0% in the prior year. Revenue from loyalty rewards is deferred until the reward is redeemed or expires. Inventories consist of green coffee, roasted coffee, packaging, food and merchandise, and are stated at the lower of cost and net realizable value. During the fiscal year, the Group opened 11 new stores and closed 2 stores whose leases expired. The Company depends on a small number of dairy and bakery suppliers in each region, and an interruption in their deliveries could affect sales at the stores they serve. Nimbus Coffee depends on a small number of dairy and bakery suppliers in each region, and an interruption in their deliveries could affect sales at the stores they serve.</w:t>
      </w:r>
    </w:p>
    <w:p>
      <w:pPr>
        <w:keepNext/>
      </w:pPr>
      <w:r>
        <w:rPr>
          <w:b/>
        </w:rPr>
        <w:t xml:space="preserve">(5) Weather and seasonality</w:t>
      </w:r>
    </w:p>
    <w:p>
      <w:pPr>
        <w:ind w:left="0" w:firstLine="360"/>
      </w:pPr>
      <w:r>
        <w:t xml:space="preserve">Total assets at the end of the fiscal year were $208,238 thousand, an increase of $18,348 thousand from the end of the prior fiscal year. These forward-looking statements are based on information available as of the date of this statement, and actual results may differ materially because of many factors. At the end of the fiscal year, the Company operated 154 company-operated stores in eight regions: Northfield, Eastbay, Southport, Westridge, Lakeside, Hillcrest, Riverside and Harborview. Wholesale revenue comes from sales of roasted beans to restaurants, hotels and grocery stores in the regions where Nimbus Coffee operates.</w:t>
      </w:r>
    </w:p>
    <w:p>
      <w:pPr>
        <w:ind w:left="0" w:firstLine="360"/>
      </w:pPr>
      <w:r>
        <w:t xml:space="preserve">During the fiscal year, Nimbus Coffee opened 13 new stores and closed 5 stores whose leases expired. Capital expenditures totaled $17,415 thousand and consisted mainly of the build-out of new stores, the remodeling of existing stores and a second roasting line at the Northfield roastery. During the fiscal year, the Group opened 9 new stores and closed 3 stores whose leases expired. Nimbus Coffee holds no derivatives other than coffee futures contracts used to fix the price of part of its future green coffee purchases.</w:t>
      </w:r>
    </w:p>
    <w:p>
      <w:pPr>
        <w:keepNext/>
      </w:pPr>
      <w:r>
        <w:rPr>
          <w:b/>
        </w:rPr>
        <w:t xml:space="preserve">(6) Information security and payment card data</w:t>
      </w:r>
    </w:p>
    <w:p>
      <w:pPr>
        <w:ind w:left="0" w:firstLine="360"/>
      </w:pPr>
      <w:r>
        <w:t xml:space="preserve">Green coffee is purchased from exporters and cooperatives in Central America, South America and East Africa under fixed-price contracts that generally cover the next nine to twelve months of expected needs. Food safety incidents, whether or not they occur at our stores, could harm the reputation of the Nimbus Coffee brand and reduce customer traffic. Occupancy costs increased to $25,005 thousand, reflecting rent for new stores and scheduled rent increases at existing locations. The Company buys 54.4% of its green coffee by volume from farms certified under recognized sustainability standards. Occupancy costs increased to $19,772 thousand, reflecting rent for new stores and scheduled rent increases at existing locations.</w:t>
      </w:r>
    </w:p>
    <w:p>
      <w:pPr>
        <w:ind w:left="0" w:firstLine="360"/>
      </w:pPr>
      <w:r>
        <w:t xml:space="preserve">At the end of the fiscal year, Nimbus Coffee operated 162 company-operated stores in eight regions: Northfield, Eastbay, Southport, Westridge, Lakeside, Hillcrest, Riverside and Harborview. Each store is managed by a store manager who reports to a district manager, and district managers report to the director for their region. Inventories consist of green coffee, roasted coffee, packaging, food and merchandise, and are stated at the lower of cost and net realizable value.</w:t>
      </w:r>
    </w:p>
    <w:p>
      <w:pPr>
        <w:keepNext/>
      </w:pPr>
      <w:r>
        <w:rPr>
          <w:b/>
        </w:rPr>
        <w:t xml:space="preserve">(7) Green coffee prices</w:t>
      </w:r>
    </w:p>
    <w:p>
      <w:pPr>
        <w:ind w:left="0" w:firstLine="360"/>
      </w:pPr>
      <w:r>
        <w:t xml:space="preserve">Revenue from the online store was $20,478 thousand, or 54.3% of total revenue. Net cash provided by operating activities was $156,325 thousand, mainly reflecting net income and depreciation and amortization. Net cash used in financing activities was $25,756 thousand, reflecting repayments of the term loan and dividends paid. Orders placed through the online store, including orders for pickup in store and home delivery of whole beans, accounted for 46.5% of revenue in the Beverages and Beans categories. Net cash used in financing activities was $10,466 thousand, reflecting repayments of the term loan and dividends paid.</w:t>
      </w:r>
    </w:p>
    <w:p>
      <w:pPr>
        <w:ind w:left="0" w:firstLine="360"/>
      </w:pPr>
      <w:r>
        <w:t xml:space="preserve">The Group intends to pay dividends out of retained earnings while keeping sufficient funds to finance the opening of new stores. Nimbus Coffee intends to pay dividends out of retained earnings while keeping sufficient funds to finance the opening of new stores. The Company holds no derivatives other than coffee futures contracts used to fix the price of part of its future green coffee purchases. Revenue from stores in the Lakeside region increased 3.4% compared with the prior year, while its share of total revenue was little changed. The Company operates specialty coffee shops under the Nimbus Coffee name and roasts all of the coffee it serves at its own roastery in Northfield.</w:t>
      </w:r>
    </w:p>
    <w:p>
      <w:pPr>
        <w:keepNext/>
      </w:pPr>
      <w:r>
        <w:rPr>
          <w:b/>
        </w:rPr>
        <w:t xml:space="preserve">(8) Food safety</w:t>
      </w:r>
    </w:p>
    <w:p>
      <w:pPr>
        <w:ind w:left="0" w:firstLine="360"/>
      </w:pPr>
      <w:r>
        <w:t xml:space="preserve">Nimbus Coffee operates specialty coffee shops under the Nimbus Coffee name and roasts all of the coffee it serves at its own roastery in Northfield. Net cash used in investing activities was $8,014 thousand, primarily for purchases of property and equipment. At the end of the fiscal year, the Company operated 157 company-operated stores in eight regions: Northfield, Eastbay, Southport, Westridge, Lakeside, Hillcrest, Riverside and Harborview.</w:t>
      </w:r>
    </w:p>
    <w:p>
      <w:pPr>
        <w:ind w:left="0" w:firstLine="360"/>
      </w:pPr>
      <w:r>
        <w:t xml:space="preserve">The loyalty program had 718 thousand active members at the end of the fiscal year, and purchases by members accounted for 25.8% of store revenue. Inventories consist of green coffee, roasted coffee, packaging, food and merchandise, and are stated at the lower of cost and net realizable value. Net cash used in investing activities was $21,125 thousand, primarily for purchases of property and equipment.</w:t>
      </w:r>
    </w:p>
    <w:tbl>
      <w:tblPr>
        <w:tblW w:w="907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72" w:type="dxa"/>
          <w:right w:w="72" w:type="dxa"/>
        </w:tblCellMar>
      </w:tblPr>
      <w:tblGrid>
        <w:gridCol w:w="3072"/>
        <w:gridCol w:w="2000"/>
        <w:gridCol w:w="2000"/>
        <w:gridCol w:w="2000"/>
      </w:tblGrid>
      <w:tr>
        <w:trPr>
          <w:tblHeader/>
        </w:trPr>
        <w:tc>
          <w:tcPr>
            <w:tcW w:w="3072" w:type="dxa"/>
            <w:shd w:val="clear" w:color="auto" w:fill="DDEBF7"/>
            <w:vAlign w:val="center"/>
          </w:tcPr>
          <w:p>
            <w:pPr>
              <w:spacing w:before="0" w:after="0"/>
              <w:jc w:val="center"/>
            </w:pPr>
            <w:r>
              <w:rPr>
                <w:b/>
                <w:sz w:val="18"/>
                <w:szCs w:val="18"/>
              </w:rPr>
              <w:t xml:space="preserve">Category</w:t>
            </w:r>
          </w:p>
        </w:tc>
        <w:tc>
          <w:tcPr>
            <w:tcW w:w="2000" w:type="dxa"/>
            <w:shd w:val="clear" w:color="auto" w:fill="DDEBF7"/>
            <w:vAlign w:val="center"/>
          </w:tcPr>
          <w:p>
            <w:pPr>
              <w:spacing w:before="0" w:after="0"/>
              <w:jc w:val="center"/>
            </w:pPr>
            <w:r>
              <w:rPr>
                <w:b/>
                <w:sz w:val="18"/>
                <w:szCs w:val="18"/>
              </w:rPr>
              <w:t xml:space="preserve">FY2024 (USD thousands)</w:t>
            </w:r>
          </w:p>
        </w:tc>
        <w:tc>
          <w:tcPr>
            <w:tcW w:w="2000" w:type="dxa"/>
            <w:shd w:val="clear" w:color="auto" w:fill="DDEBF7"/>
            <w:vAlign w:val="center"/>
          </w:tcPr>
          <w:p>
            <w:pPr>
              <w:spacing w:before="0" w:after="0"/>
              <w:jc w:val="center"/>
            </w:pPr>
            <w:r>
              <w:rPr>
                <w:b/>
                <w:sz w:val="18"/>
                <w:szCs w:val="18"/>
              </w:rPr>
              <w:t xml:space="preserve">FY2025 (USD thousands)</w:t>
            </w:r>
          </w:p>
        </w:tc>
        <w:tc>
          <w:tcPr>
            <w:tcW w:w="2000" w:type="dxa"/>
            <w:shd w:val="clear" w:color="auto" w:fill="DDEBF7"/>
            <w:vAlign w:val="center"/>
          </w:tcPr>
          <w:p>
            <w:pPr>
              <w:spacing w:before="0" w:after="0"/>
              <w:jc w:val="center"/>
            </w:pPr>
            <w:r>
              <w:rPr>
                <w:b/>
                <w:sz w:val="18"/>
                <w:szCs w:val="18"/>
              </w:rPr>
              <w:t xml:space="preserve">Change (% of prior year)</w:t>
            </w:r>
          </w:p>
        </w:tc>
      </w:tr>
      <w:tr>
        <w:tc>
          <w:tcPr>
            <w:tcW w:w="3072" w:type="dxa"/>
            <w:vAlign w:val="center"/>
          </w:tcPr>
          <w:p>
            <w:pPr>
              <w:spacing w:before="0" w:after="0"/>
              <w:jc w:val="left"/>
            </w:pPr>
            <w:r>
              <w:rPr>
                <w:sz w:val="18"/>
                <w:szCs w:val="18"/>
              </w:rPr>
              <w:t xml:space="preserve">Beverages</w:t>
            </w:r>
          </w:p>
        </w:tc>
        <w:tc>
          <w:tcPr>
            <w:tcW w:w="2000" w:type="dxa"/>
            <w:vAlign w:val="center"/>
          </w:tcPr>
          <w:p>
            <w:pPr>
              <w:spacing w:before="0" w:after="0"/>
              <w:jc w:val="right"/>
            </w:pPr>
            <w:r>
              <w:rPr>
                <w:sz w:val="18"/>
                <w:szCs w:val="18"/>
              </w:rPr>
              <w:t xml:space="preserve">157,642</w:t>
            </w:r>
          </w:p>
        </w:tc>
        <w:tc>
          <w:tcPr>
            <w:tcW w:w="2000" w:type="dxa"/>
            <w:vAlign w:val="center"/>
          </w:tcPr>
          <w:p>
            <w:pPr>
              <w:spacing w:before="0" w:after="0"/>
              <w:jc w:val="right"/>
            </w:pPr>
            <w:r>
              <w:rPr>
                <w:sz w:val="18"/>
                <w:szCs w:val="18"/>
              </w:rPr>
              <w:t xml:space="preserve">166,228</w:t>
            </w:r>
          </w:p>
        </w:tc>
        <w:tc>
          <w:tcPr>
            <w:tcW w:w="2000" w:type="dxa"/>
            <w:vAlign w:val="center"/>
          </w:tcPr>
          <w:p>
            <w:pPr>
              <w:spacing w:before="0" w:after="0"/>
              <w:jc w:val="right"/>
            </w:pPr>
            <w:r>
              <w:rPr>
                <w:sz w:val="18"/>
                <w:szCs w:val="18"/>
              </w:rPr>
              <w:t xml:space="preserve">114.7</w:t>
            </w:r>
          </w:p>
        </w:tc>
      </w:tr>
      <w:tr>
        <w:tc>
          <w:tcPr>
            <w:tcW w:w="3072" w:type="dxa"/>
            <w:vAlign w:val="center"/>
          </w:tcPr>
          <w:p>
            <w:pPr>
              <w:spacing w:before="0" w:after="0"/>
              <w:jc w:val="left"/>
            </w:pPr>
            <w:r>
              <w:rPr>
                <w:sz w:val="18"/>
                <w:szCs w:val="18"/>
              </w:rPr>
              <w:t xml:space="preserve">Food</w:t>
            </w:r>
          </w:p>
        </w:tc>
        <w:tc>
          <w:tcPr>
            <w:tcW w:w="2000" w:type="dxa"/>
            <w:vAlign w:val="center"/>
          </w:tcPr>
          <w:p>
            <w:pPr>
              <w:spacing w:before="0" w:after="0"/>
              <w:jc w:val="right"/>
            </w:pPr>
            <w:r>
              <w:rPr>
                <w:sz w:val="18"/>
                <w:szCs w:val="18"/>
              </w:rPr>
              <w:t xml:space="preserve">54,710</w:t>
            </w:r>
          </w:p>
        </w:tc>
        <w:tc>
          <w:tcPr>
            <w:tcW w:w="2000" w:type="dxa"/>
            <w:vAlign w:val="center"/>
          </w:tcPr>
          <w:p>
            <w:pPr>
              <w:spacing w:before="0" w:after="0"/>
              <w:jc w:val="right"/>
            </w:pPr>
            <w:r>
              <w:rPr>
                <w:sz w:val="18"/>
                <w:szCs w:val="18"/>
              </w:rPr>
              <w:t xml:space="preserve">61,659</w:t>
            </w:r>
          </w:p>
        </w:tc>
        <w:tc>
          <w:tcPr>
            <w:tcW w:w="2000" w:type="dxa"/>
            <w:vAlign w:val="center"/>
          </w:tcPr>
          <w:p>
            <w:pPr>
              <w:spacing w:before="0" w:after="0"/>
              <w:jc w:val="right"/>
            </w:pPr>
            <w:r>
              <w:rPr>
                <w:sz w:val="18"/>
                <w:szCs w:val="18"/>
              </w:rPr>
              <w:t xml:space="preserve">118.0</w:t>
            </w:r>
          </w:p>
        </w:tc>
      </w:tr>
      <w:tr>
        <w:tc>
          <w:tcPr>
            <w:tcW w:w="3072" w:type="dxa"/>
            <w:vAlign w:val="center"/>
          </w:tcPr>
          <w:p>
            <w:pPr>
              <w:spacing w:before="0" w:after="0"/>
              <w:jc w:val="left"/>
            </w:pPr>
            <w:r>
              <w:rPr>
                <w:sz w:val="18"/>
                <w:szCs w:val="18"/>
              </w:rPr>
              <w:t xml:space="preserve">Merchandise</w:t>
            </w:r>
          </w:p>
        </w:tc>
        <w:tc>
          <w:tcPr>
            <w:tcW w:w="2000" w:type="dxa"/>
            <w:vAlign w:val="center"/>
          </w:tcPr>
          <w:p>
            <w:pPr>
              <w:spacing w:before="0" w:after="0"/>
              <w:jc w:val="right"/>
            </w:pPr>
            <w:r>
              <w:rPr>
                <w:sz w:val="18"/>
                <w:szCs w:val="18"/>
              </w:rPr>
              <w:t xml:space="preserve">18,746</w:t>
            </w:r>
          </w:p>
        </w:tc>
        <w:tc>
          <w:tcPr>
            <w:tcW w:w="2000" w:type="dxa"/>
            <w:vAlign w:val="center"/>
          </w:tcPr>
          <w:p>
            <w:pPr>
              <w:spacing w:before="0" w:after="0"/>
              <w:jc w:val="right"/>
            </w:pPr>
            <w:r>
              <w:rPr>
                <w:sz w:val="18"/>
                <w:szCs w:val="18"/>
              </w:rPr>
              <w:t xml:space="preserve">20,414</w:t>
            </w:r>
          </w:p>
        </w:tc>
        <w:tc>
          <w:tcPr>
            <w:tcW w:w="2000" w:type="dxa"/>
            <w:vAlign w:val="center"/>
          </w:tcPr>
          <w:p>
            <w:pPr>
              <w:spacing w:before="0" w:after="0"/>
              <w:jc w:val="right"/>
            </w:pPr>
            <w:r>
              <w:rPr>
                <w:sz w:val="18"/>
                <w:szCs w:val="18"/>
              </w:rPr>
              <w:t xml:space="preserve">107.8</w:t>
            </w:r>
          </w:p>
        </w:tc>
      </w:tr>
      <w:tr>
        <w:tc>
          <w:tcPr>
            <w:tcW w:w="3072" w:type="dxa"/>
            <w:vAlign w:val="center"/>
          </w:tcPr>
          <w:p>
            <w:pPr>
              <w:spacing w:before="0" w:after="0"/>
              <w:jc w:val="left"/>
            </w:pPr>
            <w:r>
              <w:rPr>
                <w:sz w:val="18"/>
                <w:szCs w:val="18"/>
              </w:rPr>
              <w:t xml:space="preserve">Beans</w:t>
            </w:r>
          </w:p>
        </w:tc>
        <w:tc>
          <w:tcPr>
            <w:tcW w:w="2000" w:type="dxa"/>
            <w:vAlign w:val="center"/>
          </w:tcPr>
          <w:p>
            <w:pPr>
              <w:spacing w:before="0" w:after="0"/>
              <w:jc w:val="right"/>
            </w:pPr>
            <w:r>
              <w:rPr>
                <w:sz w:val="18"/>
                <w:szCs w:val="18"/>
              </w:rPr>
              <w:t xml:space="preserve">53,007</w:t>
            </w:r>
          </w:p>
        </w:tc>
        <w:tc>
          <w:tcPr>
            <w:tcW w:w="2000" w:type="dxa"/>
            <w:vAlign w:val="center"/>
          </w:tcPr>
          <w:p>
            <w:pPr>
              <w:spacing w:before="0" w:after="0"/>
              <w:jc w:val="right"/>
            </w:pPr>
            <w:r>
              <w:rPr>
                <w:sz w:val="18"/>
                <w:szCs w:val="18"/>
              </w:rPr>
              <w:t xml:space="preserve">56,623</w:t>
            </w:r>
          </w:p>
        </w:tc>
        <w:tc>
          <w:tcPr>
            <w:tcW w:w="2000" w:type="dxa"/>
            <w:vAlign w:val="center"/>
          </w:tcPr>
          <w:p>
            <w:pPr>
              <w:spacing w:before="0" w:after="0"/>
              <w:jc w:val="right"/>
            </w:pPr>
            <w:r>
              <w:rPr>
                <w:sz w:val="18"/>
                <w:szCs w:val="18"/>
              </w:rPr>
              <w:t xml:space="preserve">112.1</w:t>
            </w:r>
          </w:p>
        </w:tc>
      </w:tr>
      <w:tr>
        <w:tc>
          <w:tcPr>
            <w:tcW w:w="3072" w:type="dxa"/>
            <w:vAlign w:val="center"/>
          </w:tcPr>
          <w:p>
            <w:pPr>
              <w:spacing w:before="0" w:after="0"/>
              <w:jc w:val="left"/>
            </w:pPr>
            <w:r>
              <w:rPr>
                <w:sz w:val="18"/>
                <w:szCs w:val="18"/>
              </w:rPr>
              <w:t xml:space="preserve">  of which Store</w:t>
            </w:r>
          </w:p>
        </w:tc>
        <w:tc>
          <w:tcPr>
            <w:tcW w:w="2000" w:type="dxa"/>
            <w:vAlign w:val="center"/>
          </w:tcPr>
          <w:p>
            <w:pPr>
              <w:spacing w:before="0" w:after="0"/>
              <w:jc w:val="right"/>
            </w:pPr>
            <w:r>
              <w:rPr>
                <w:sz w:val="18"/>
                <w:szCs w:val="18"/>
              </w:rPr>
              <w:t xml:space="preserve">253,102</w:t>
            </w:r>
          </w:p>
        </w:tc>
        <w:tc>
          <w:tcPr>
            <w:tcW w:w="2000" w:type="dxa"/>
            <w:vAlign w:val="center"/>
          </w:tcPr>
          <w:p>
            <w:pPr>
              <w:spacing w:before="0" w:after="0"/>
              <w:jc w:val="right"/>
            </w:pPr>
            <w:r>
              <w:rPr>
                <w:sz w:val="18"/>
                <w:szCs w:val="18"/>
              </w:rPr>
              <w:t xml:space="preserve">257,051</w:t>
            </w:r>
          </w:p>
        </w:tc>
        <w:tc>
          <w:tcPr>
            <w:tcW w:w="2000" w:type="dxa"/>
            <w:vAlign w:val="center"/>
          </w:tcPr>
          <w:p>
            <w:pPr>
              <w:spacing w:before="0" w:after="0"/>
              <w:jc w:val="right"/>
            </w:pPr>
            <w:r>
              <w:rPr>
                <w:sz w:val="18"/>
                <w:szCs w:val="18"/>
              </w:rPr>
              <w:t xml:space="preserve">119.8</w:t>
            </w:r>
          </w:p>
        </w:tc>
      </w:tr>
      <w:tr>
        <w:tc>
          <w:tcPr>
            <w:tcW w:w="3072" w:type="dxa"/>
            <w:vAlign w:val="center"/>
          </w:tcPr>
          <w:p>
            <w:pPr>
              <w:spacing w:before="0" w:after="0"/>
              <w:jc w:val="left"/>
            </w:pPr>
            <w:r>
              <w:rPr>
                <w:sz w:val="18"/>
                <w:szCs w:val="18"/>
              </w:rPr>
              <w:t xml:space="preserve">  of which Online</w:t>
            </w:r>
          </w:p>
        </w:tc>
        <w:tc>
          <w:tcPr>
            <w:tcW w:w="2000" w:type="dxa"/>
            <w:vAlign w:val="center"/>
          </w:tcPr>
          <w:p>
            <w:pPr>
              <w:spacing w:before="0" w:after="0"/>
              <w:jc w:val="right"/>
            </w:pPr>
            <w:r>
              <w:rPr>
                <w:sz w:val="18"/>
                <w:szCs w:val="18"/>
              </w:rPr>
              <w:t xml:space="preserve">40,835</w:t>
            </w:r>
          </w:p>
        </w:tc>
        <w:tc>
          <w:tcPr>
            <w:tcW w:w="2000" w:type="dxa"/>
            <w:vAlign w:val="center"/>
          </w:tcPr>
          <w:p>
            <w:pPr>
              <w:spacing w:before="0" w:after="0"/>
              <w:jc w:val="right"/>
            </w:pPr>
            <w:r>
              <w:rPr>
                <w:sz w:val="18"/>
                <w:szCs w:val="18"/>
              </w:rPr>
              <w:t xml:space="preserve">44,288</w:t>
            </w:r>
          </w:p>
        </w:tc>
        <w:tc>
          <w:tcPr>
            <w:tcW w:w="2000" w:type="dxa"/>
            <w:vAlign w:val="center"/>
          </w:tcPr>
          <w:p>
            <w:pPr>
              <w:spacing w:before="0" w:after="0"/>
              <w:jc w:val="right"/>
            </w:pPr>
            <w:r>
              <w:rPr>
                <w:sz w:val="18"/>
                <w:szCs w:val="18"/>
              </w:rPr>
              <w:t xml:space="preserve">111.1</w:t>
            </w:r>
          </w:p>
        </w:tc>
      </w:tr>
      <w:tr>
        <w:tc>
          <w:tcPr>
            <w:tcW w:w="3072" w:type="dxa"/>
            <w:vAlign w:val="center"/>
          </w:tcPr>
          <w:p>
            <w:pPr>
              <w:spacing w:before="0" w:after="0"/>
              <w:jc w:val="left"/>
            </w:pPr>
            <w:r>
              <w:rPr>
                <w:b/>
                <w:sz w:val="18"/>
                <w:szCs w:val="18"/>
              </w:rPr>
              <w:t xml:space="preserve">Total</w:t>
            </w:r>
          </w:p>
        </w:tc>
        <w:tc>
          <w:tcPr>
            <w:tcW w:w="2000" w:type="dxa"/>
            <w:vAlign w:val="center"/>
          </w:tcPr>
          <w:p>
            <w:pPr>
              <w:spacing w:before="0" w:after="0"/>
              <w:jc w:val="right"/>
            </w:pPr>
            <w:r>
              <w:rPr>
                <w:b/>
                <w:sz w:val="18"/>
                <w:szCs w:val="18"/>
              </w:rPr>
              <w:t xml:space="preserve">280,648</w:t>
            </w:r>
          </w:p>
        </w:tc>
        <w:tc>
          <w:tcPr>
            <w:tcW w:w="2000" w:type="dxa"/>
            <w:vAlign w:val="center"/>
          </w:tcPr>
          <w:p>
            <w:pPr>
              <w:spacing w:before="0" w:after="0"/>
              <w:jc w:val="right"/>
            </w:pPr>
            <w:r>
              <w:rPr>
                <w:b/>
                <w:sz w:val="18"/>
                <w:szCs w:val="18"/>
              </w:rPr>
              <w:t xml:space="preserve">336,436</w:t>
            </w:r>
          </w:p>
        </w:tc>
        <w:tc>
          <w:tcPr>
            <w:tcW w:w="2000" w:type="dxa"/>
            <w:vAlign w:val="center"/>
          </w:tcPr>
          <w:p>
            <w:pPr>
              <w:spacing w:before="0" w:after="0"/>
              <w:jc w:val="right"/>
            </w:pPr>
            <w:r>
              <w:rPr>
                <w:b/>
                <w:sz w:val="18"/>
                <w:szCs w:val="18"/>
              </w:rPr>
              <w:t xml:space="preserve">121.4</w:t>
            </w:r>
          </w:p>
        </w:tc>
      </w:tr>
    </w:tbl>
    <w:p>
      <w:pPr/>
    </w:p>
    <w:p>
      <w:r>
        <w:br w:type="page"/>
      </w:r>
    </w:p>
    <w:p>
      <w:pPr>
        <w:pStyle w:val="Heading3"/>
        <w:keepNext/>
      </w:pPr>
      <w:r>
        <w:t xml:space="preserve">6. Product and Menu Development</w:t>
      </w:r>
    </w:p>
    <w:p>
      <w:pPr>
        <w:keepNext/>
      </w:pPr>
      <w:r>
        <w:rPr>
          <w:b/>
        </w:rPr>
        <w:t xml:space="preserve">(1) Weather and seasonality</w:t>
      </w:r>
    </w:p>
    <w:p>
      <w:pPr>
        <w:ind w:left="0" w:firstLine="360"/>
      </w:pPr>
      <w:r>
        <w:t xml:space="preserve">Total revenue for the fiscal year was $307,853 thousand, an increase of 7.8% over the prior year, and operating income was $21,395 thousand, an increase of 18.0%. The loyalty program had 469 thousand active members at the end of the fiscal year, and purchases by members accounted for 18.6% of store revenue. The Company operates specialty coffee shops under the Nimbus Coffee name and roasts all of the coffee it serves at its own roastery in Northfield. Baristas complete a four-week training course before working on the floor, and store managers complete a further course at the Northfield training center. Labor costs are affected by minimum wage laws in the regions where the stores are located, and further increases could reduce store margins. Revenue from loyalty rewards is deferred until the reward is redeemed or expires.</w:t>
      </w:r>
    </w:p>
    <w:p>
      <w:pPr>
        <w:ind w:left="0" w:firstLine="360"/>
      </w:pPr>
      <w:r>
        <w:t xml:space="preserve">Baristas complete a four-week training course before working on the floor, and store managers complete a further course at the Northfield training center. Orders placed through the online store, including orders for pickup in store and home delivery of whole beans, accounted for 42.1% of revenue in the Beverages and Beans categories. The Group holds no derivatives other than coffee futures contracts used to fix the price of part of its future green coffee purchases. Energy use per store decreased 8.4% compared with the prior year, as older espresso machines and refrigerators were replaced with more efficient models. The loyalty program had 458 thousand active members at the end of the fiscal year, and purchases by members accounted for 26.7% of store revenue. Comparable store sales increased 6.0%, driven by a 4.9% increase in average ticket and a 3.0% increase in transactions.</w:t>
      </w:r>
    </w:p>
    <w:p>
      <w:pPr>
        <w:keepNext/>
      </w:pPr>
      <w:r>
        <w:rPr>
          <w:b/>
        </w:rPr>
        <w:t xml:space="preserve">(2) Concentration of stores in eight regions</w:t>
      </w:r>
    </w:p>
    <w:p>
      <w:pPr>
        <w:ind w:left="0" w:firstLine="360"/>
      </w:pPr>
      <w:r>
        <w:t xml:space="preserve">At the end of the fiscal year, the Company operated 174 company-operated stores in eight regions: Northfield, Eastbay, Southport, Westridge, Lakeside, Hillcrest, Riverside and Harborview. Nimbus Coffee depends on a small number of dairy and bakery suppliers in each region, and an interruption in their deliveries could affect sales at the stores they serve. Occupancy costs increased to $35,111 thousand, reflecting rent for new stores and scheduled rent increases at existing locations. At the end of the fiscal year, Nimbus Coffee operated 187 company-operated stores in eight regions: Northfield, Eastbay, Southport, Westridge, Lakeside, Hillcrest, Riverside and Harborview. Orders placed through the online store, including orders for pickup in store and home delivery of whole beans, accounted for 41.0% of revenue in the Beverages and Beans categories.</w:t>
      </w:r>
    </w:p>
    <w:p>
      <w:pPr>
        <w:ind w:left="0" w:firstLine="360"/>
      </w:pPr>
      <w:r>
        <w:t xml:space="preserve">Nimbus Coffee holds no derivatives other than coffee futures contracts used to fix the price of part of its future green coffee purchases. Wholesale revenue comes from sales of roasted beans to restaurants, hotels and grocery stores in the regions where Nimbus Coffee operates. At the end of the fiscal year, the Company operated 194 company-operated stores in eight regions: Northfield, Eastbay, Southport, Westridge, Lakeside, Hillcrest, Riverside and Harborview.</w:t>
      </w:r>
    </w:p>
    <w:p>
      <w:pPr>
        <w:keepNext/>
      </w:pPr>
      <w:r>
        <w:rPr>
          <w:b/>
        </w:rPr>
        <w:t xml:space="preserve">(3) Weather and seasonality</w:t>
      </w:r>
    </w:p>
    <w:p>
      <w:pPr>
        <w:ind w:left="0" w:firstLine="360"/>
      </w:pPr>
      <w:r>
        <w:t xml:space="preserve">Revenue from loyalty rewards is deferred until the reward is redeemed or expires. Revenue from the online store was $46,747 thousand, or 53.1% of total revenue. During the fiscal year, the Company opened 17 new stores and closed 2 stores whose leases expired. Total revenue for the fiscal year was $158,802 thousand, an increase of 17.7% over the prior year, and operating income was $16,329 thousand, an increase of 10.3%.</w:t>
      </w:r>
    </w:p>
    <w:p>
      <w:pPr>
        <w:ind w:left="0" w:firstLine="360"/>
      </w:pPr>
      <w:r>
        <w:t xml:space="preserve">Baristas complete a four-week training course before working on the floor, and store managers complete a further course at the Northfield training center. Comparable store sales increased 4.7%, driven by a 2.5% increase in average ticket and a 0.6% increase in transactions. Total revenue for the fiscal year was $54,023 thousand, an increase of 17.3% over the prior year, and operating income was $24,018 thousand, an increase of 19.9%. Comparable store sales increased 5.8%, driven by a 0.8% increase in average ticket and a 3.2% increase in transactions. Food safety incidents, whether or not they occur at our stores, could harm the reputation of the Nimbus Coffee brand and reduce customer traffic.</w:t>
      </w:r>
    </w:p>
    <w:p>
      <w:pPr>
        <w:keepNext/>
      </w:pPr>
      <w:r>
        <w:rPr>
          <w:b/>
        </w:rPr>
        <w:t xml:space="preserve">(4) Dependence on key suppliers</w:t>
      </w:r>
    </w:p>
    <w:p>
      <w:pPr>
        <w:ind w:left="0" w:firstLine="360"/>
      </w:pPr>
      <w:r>
        <w:t xml:space="preserve">Revenue from loyalty rewards is deferred until the reward is redeemed or expires. Net cash used in investing activities was $22,447 thousand, primarily for purchases of property and equipment. Inventories consist of green coffee, roasted coffee, packaging, food and merchandise, and are stated at the lower of cost and net realizable value. New stores generally reach the sales level of a mature store within eighteen to twenty-four months of opening. Revenue from stores in the Harborview region was $61,830 thousand, or 40.1% of total revenue. Food safety incidents, whether or not they occur at our stores, could harm the reputation of the Nimbus Coffee brand and reduce customer traffic.</w:t>
      </w:r>
    </w:p>
    <w:p>
      <w:pPr>
        <w:ind w:left="0" w:firstLine="360"/>
      </w:pPr>
      <w:r>
        <w:t xml:space="preserve">Revenue from stores in the Riverside region was $59,492 thousand, or 49.5% of total revenue. Total revenue for the fiscal year was $66,935 thousand, an increase of 16.2% over the prior year, and operating income was $15,435 thousand, an increase of 15.2%. The Company operates specialty coffee shops under the Nimbus Coffee name and roasts all of the coffee it serves at its own roastery in Northfield. These forward-looking statements are based on information available as of the date of this statement, and actual results may differ materially because of many factors.</w:t>
      </w:r>
    </w:p>
    <w:p>
      <w:pPr>
        <w:keepNext/>
      </w:pPr>
      <w:r>
        <w:rPr>
          <w:b/>
        </w:rPr>
        <w:t xml:space="preserve">(5) Key personnel</w:t>
      </w:r>
    </w:p>
    <w:p>
      <w:pPr>
        <w:ind w:left="0" w:firstLine="360"/>
      </w:pPr>
      <w:r>
        <w:t xml:space="preserve">Store operating expenses, which consist mainly of wages, benefits and supplies, were 30.2% of revenue, compared with 29.5% in the prior year. Baristas complete a four-week training course before working on the floor, and store managers complete a further course at the Northfield training center. During the fiscal year, the Company opened 7 new stores and closed 4 stores whose leases expired. Inventories consist of green coffee, roasted coffee, packaging, food and merchandise, and are stated at the lower of cost and net realizable value. Total revenue for the fiscal year was $25,036 thousand, an increase of 7.4% over the prior year, and operating income was $25,690 thousand, an increase of 22.7%.</w:t>
      </w:r>
    </w:p>
    <w:p>
      <w:pPr>
        <w:ind w:left="0" w:firstLine="360"/>
      </w:pPr>
      <w:r>
        <w:t xml:space="preserve">The loyalty program had 1,087 thousand active members at the end of the fiscal year, and purchases by members accounted for 36.0% of store revenue. Inventories consist of green coffee, roasted coffee, packaging, food and merchandise, and are stated at the lower of cost and net realizable value. Baristas complete a four-week training course before working on the floor, and store managers complete a further course at the Northfield training center. Green coffee is purchased from exporters and cooperatives in Central America, South America and East Africa under fixed-price contracts that generally cover the next nine to twelve months of expected needs. Green coffee is purchased from exporters and cooperatives in Central America, South America and East Africa under fixed-price contracts that generally cover the next nine to twelve months of expected needs. Occupancy costs increased to $13,845 thousand, reflecting rent for new stores and scheduled rent increases at existing locations.</w:t>
      </w:r>
    </w:p>
    <w:p>
      <w:pPr>
        <w:keepNext/>
      </w:pPr>
      <w:r>
        <w:rPr>
          <w:b/>
        </w:rPr>
        <w:t xml:space="preserve">(6) Dependence on key suppliers</w:t>
      </w:r>
    </w:p>
    <w:p>
      <w:pPr>
        <w:ind w:left="0" w:firstLine="360"/>
      </w:pPr>
      <w:r>
        <w:t xml:space="preserve">The price of green coffee is volatile, and a sustained increase could reduce gross margin if the Company is unable to pass the cost on to customers through menu prices. Capital expenditures totaled $17,521 thousand and consisted mainly of the build-out of new stores, the remodeling of existing stores and a second roasting line at the Northfield roastery. Revenue from company-operated stores increased 8.5% compared with the prior year, while its share of total revenue was little changed. Revenue from stores in the Eastbay region increased 3.7% compared with the prior year, while its share of total revenue was little changed. Inventories consist of green coffee, roasted coffee, packaging, food and merchandise, and are stated at the lower of cost and net realizable value. Inventories consist of green coffee, roasted coffee, packaging, food and merchandise, and are stated at the lower of cost and net realizable value.</w:t>
      </w:r>
    </w:p>
    <w:p>
      <w:pPr>
        <w:ind w:left="0" w:firstLine="360"/>
      </w:pPr>
      <w:r>
        <w:t xml:space="preserve">Revenue from loyalty rewards is deferred until the reward is redeemed or expires. At the end of the fiscal year, the Company operated 162 company-operated stores in eight regions: Northfield, Eastbay, Southport, Westridge, Lakeside, Hillcrest, Riverside and Harborview. At the end of the fiscal year, Nimbus Coffee operated 193 company-operated stores in eight regions: Northfield, Eastbay, Southport, Westridge, Lakeside, Hillcrest, Riverside and Harborview. Labor costs are affected by minimum wage laws in the regions where the stores are located, and further increases could reduce store margins. Revenue from stores in the Westridge region increased 10.3% compared with the prior year, while its share of total revenue was little changed.</w:t>
      </w:r>
    </w:p>
    <w:p>
      <w:pPr>
        <w:keepNext/>
      </w:pPr>
      <w:r>
        <w:rPr>
          <w:b/>
        </w:rPr>
        <w:t xml:space="preserve">(7) Supply chain disruption</w:t>
      </w:r>
    </w:p>
    <w:p>
      <w:pPr>
        <w:ind w:left="0" w:firstLine="360"/>
      </w:pPr>
      <w:r>
        <w:t xml:space="preserve">Revenue from stores in the Eastbay region increased 2.5% compared with the prior year, while its share of total revenue was little changed. Nimbus Coffee intends to pay dividends out of retained earnings while keeping sufficient funds to finance the opening of new stores. Green coffee is purchased from exporters and cooperatives in Central America, South America and East Africa under fixed-price contracts that generally cover the next nine to twelve months of expected needs. During the fiscal year, Nimbus Coffee opened 15 new stores and closed 4 stores whose leases expired. Nimbus Coffee leases all of its store premises under operating leases with initial terms of ten years, most of which include options to renew.</w:t>
      </w:r>
    </w:p>
    <w:p>
      <w:pPr>
        <w:ind w:left="0" w:firstLine="360"/>
      </w:pPr>
      <w:r>
        <w:t xml:space="preserve">The Company buys 24.9% of its green coffee by volume from farms certified under recognized sustainability standards. Labor costs are affected by minimum wage laws in the regions where the stores are located, and further increases could reduce store margins. Total revenue for the fiscal year was $122,724 thousand, an increase of 8.5% over the prior year, and operating income was $5,784 thousand, an increase of 22.5%. Energy use per store decreased 10.1% compared with the prior year, as older espresso machines and refrigerators were replaced with more efficient models.</w:t>
      </w:r>
    </w:p>
    <w:p>
      <w:pPr>
        <w:keepNext/>
      </w:pPr>
      <w:r>
        <w:rPr>
          <w:b/>
        </w:rPr>
        <w:t xml:space="preserve">(8) Lease obligations</w:t>
      </w:r>
    </w:p>
    <w:p>
      <w:pPr>
        <w:ind w:left="0" w:firstLine="360"/>
      </w:pPr>
      <w:r>
        <w:t xml:space="preserve">Comparable store sales increased 5.0%, driven by a 3.1% increase in average ticket and a 4.0% increase in transactions. Green coffee is purchased from exporters and cooperatives in Central America, South America and East Africa under fixed-price contracts that generally cover the next nine to twelve months of expected needs. Green coffee is purchased from exporters and cooperatives in Central America, South America and East Africa under fixed-price contracts that generally cover the next nine to twelve months of expected needs.</w:t>
      </w:r>
    </w:p>
    <w:p>
      <w:pPr>
        <w:ind w:left="0" w:firstLine="360"/>
      </w:pPr>
      <w:r>
        <w:t xml:space="preserve">The roastery produced 437 thousand pounds of roasted coffee during the fiscal year, of which 33.9% was sold through company-operated stores. Green coffee is purchased from exporters and cooperatives in Central America, South America and East Africa under fixed-price contracts that generally cover the next nine to twelve months of expected needs. Food safety incidents, whether or not they occur at our stores, could harm the reputation of the Nimbus Coffee brand and reduce customer traffic. Merchandise sales, consisting of mugs, brewing equipment and seasonal gift sets, are highest in the fourth quarter of each year. Wholesale revenue comes from sales of roasted beans to restaurants, hotels and grocery stores in the regions where the Company operates.</w:t>
      </w:r>
    </w:p>
    <w:p>
      <w:pPr>
        <w:keepNext/>
      </w:pPr>
      <w:r>
        <w:rPr>
          <w:b/>
        </w:rPr>
        <w:t xml:space="preserve">(9) Supply chain disruption</w:t>
      </w:r>
    </w:p>
    <w:p>
      <w:pPr>
        <w:ind w:left="0" w:firstLine="360"/>
      </w:pPr>
      <w:r>
        <w:t xml:space="preserve">Orders placed through the online store, including orders for pickup in store and home delivery of whole beans, accounted for 61.4% of revenue in the Beverages and Beans categories. The Company depends on a small number of dairy and bakery suppliers in each region, and an interruption in their deliveries could affect sales at the stores they serve. The price of green coffee is volatile, and a sustained increase could reduce gross margin if the Group is unable to pass the cost on to customers through menu prices. Net cash used in financing activities was $10,218 thousand, reflecting repayments of the term loan and dividends paid. Revenue from stores in the Westridge region increased 12.7% compared with the prior year, while its share of total revenue was little changed.</w:t>
      </w:r>
    </w:p>
    <w:p>
      <w:pPr>
        <w:ind w:left="0" w:firstLine="360"/>
      </w:pPr>
      <w:r>
        <w:t xml:space="preserve">New stores generally reach the sales level of a mature store within eighteen to twenty-four months of opening. Net cash used in financing activities was $19,638 thousand, reflecting repayments of the term loan and dividends paid. The Company intends to pay dividends out of retained earnings while keeping sufficient funds to finance the opening of new stores. Comparable store sales increased 0.9%, driven by a 1.8% increase in average ticket and a 3.8% increase in transactions. The roastery produced 828 thousand pounds of roasted coffee during the fiscal year, of which 18.3% was sold through company-operated stores.</w:t>
      </w:r>
    </w:p>
    <w:p>
      <w:pPr>
        <w:keepNext/>
      </w:pPr>
      <w:r>
        <w:rPr>
          <w:b/>
        </w:rPr>
        <w:t xml:space="preserve">(10) Green coffee prices</w:t>
      </w:r>
    </w:p>
    <w:p>
      <w:pPr>
        <w:ind w:left="0" w:firstLine="360"/>
      </w:pPr>
      <w:r>
        <w:t xml:space="preserve">Store operating expenses, which consist mainly of wages, benefits and supplies, were 34.9% of revenue, compared with 35.5% in the prior year. Wholesale revenue comes from sales of roasted beans to restaurants, hotels and grocery stores in the regions where the Company operates. The Company holds no derivatives other than coffee futures contracts used to fix the price of part of its future green coffee purchases. Store operating expenses, which consist mainly of wages, benefits and supplies, were 31.7% of revenue, compared with 28.2% in the prior year.</w:t>
      </w:r>
    </w:p>
    <w:p>
      <w:pPr>
        <w:ind w:left="0" w:firstLine="360"/>
      </w:pPr>
      <w:r>
        <w:t xml:space="preserve">The Company depends on a small number of dairy and bakery suppliers in each region, and an interruption in their deliveries could affect sales at the stores they serve. Energy use per store decreased 15.0% compared with the prior year, as older espresso machines and refrigerators were replaced with more efficient models. Labor costs are affected by minimum wage laws in the regions where the stores are located, and further increases could reduce store margins. Nimbus Coffee buys 43.4% of its green coffee by volume from farms certified under recognized sustainability standards. At the end of the fiscal year, Nimbus Coffee operated 189 company-operated stores in eight regions: Northfield, Eastbay, Southport, Westridge, Lakeside, Hillcrest, Riverside and Harborview. The Company depends on a small number of dairy and bakery suppliers in each region, and an interruption in their deliveries could affect sales at the stores they serve.</w:t>
      </w:r>
    </w:p>
    <w:p>
      <w:pPr>
        <w:keepNext/>
      </w:pPr>
      <w:r>
        <w:rPr>
          <w:b/>
        </w:rPr>
        <w:t xml:space="preserve">(11) Lease obligations</w:t>
      </w:r>
    </w:p>
    <w:p>
      <w:pPr>
        <w:ind w:left="0" w:firstLine="360"/>
      </w:pPr>
      <w:r>
        <w:t xml:space="preserve">Nimbus Coffee operates specialty coffee shops under the Nimbus Coffee name and roasts all of the coffee it serves at its own roastery in Northfield. These forward-looking statements are based on information available as of the date of this statement, and actual results may differ materially because of many factors. The ability of Nimbus Coffee to open new stores depends on finding suitable sites on acceptable lease terms and on hiring and training store managers. Net cash provided by operating activities was $220,836 thousand, mainly reflecting net income and depreciation and amortization. Energy use per store decreased 3.5% compared with the prior year, as older espresso machines and refrigerators were replaced with more efficient models. Wholesale revenue comes from sales of roasted beans to restaurants, hotels and grocery stores in the regions where Nimbus Coffee operates.</w:t>
      </w:r>
    </w:p>
    <w:p>
      <w:pPr>
        <w:ind w:left="0" w:firstLine="360"/>
      </w:pPr>
      <w:r>
        <w:t xml:space="preserve">Total revenue for the fiscal year was $157,303 thousand, an increase of 3.9% over the prior year, and operating income was $8,657 thousand, an increase of 19.7%. New stores generally reach the sales level of a mature store within eighteen to twenty-four months of opening. Total revenue for the fiscal year was $177,625 thousand, an increase of 12.0% over the prior year, and operating income was $21,085 thousand, an increase of 4.4%. New stores generally reach the sales level of a mature store within eighteen to twenty-four months of opening. At the end of the fiscal year, the Company operated 193 company-operated stores in eight regions: Northfield, Eastbay, Southport, Westridge, Lakeside, Hillcrest, Riverside and Harborview.</w:t>
      </w:r>
    </w:p>
    <w:p>
      <w:pPr>
        <w:keepNext/>
      </w:pPr>
      <w:r>
        <w:rPr>
          <w:b/>
        </w:rPr>
        <w:t xml:space="preserve">(12) Lease obligations</w:t>
      </w:r>
    </w:p>
    <w:p>
      <w:pPr>
        <w:ind w:left="0" w:firstLine="360"/>
      </w:pPr>
      <w:r>
        <w:t xml:space="preserve">Total revenue for the fiscal year was $91,479 thousand, an increase of 12.6% over the prior year, and operating income was $1,795 thousand, an increase of 14.5%. Energy use per store decreased 13.8% compared with the prior year, as older espresso machines and refrigerators were replaced with more efficient models. The Group holds no derivatives other than coffee futures contracts used to fix the price of part of its future green coffee purchases. The Group leases all of its store premises under operating leases with initial terms of ten years, most of which include options to renew. Merchandise sales, consisting of mugs, brewing equipment and seasonal gift sets, are highest in the fourth quarter of each year. The loyalty program had 1,256 thousand active members at the end of the fiscal year, and purchases by members accounted for 59.5% of store revenue.</w:t>
      </w:r>
    </w:p>
    <w:p>
      <w:pPr>
        <w:ind w:left="0" w:firstLine="360"/>
      </w:pPr>
      <w:r>
        <w:t xml:space="preserve">Energy use per store decreased 11.9% compared with the prior year, as older espresso machines and refrigerators were replaced with more efficient models. Orders placed through the online store, including orders for pickup in store and home delivery of whole beans, accounted for 30.2% of revenue in the Beverages and Beans categories. Green coffee is purchased from exporters and cooperatives in Central America, South America and East Africa under fixed-price contracts that generally cover the next nine to twelve months of expected needs. New stores generally reach the sales level of a mature store within eighteen to twenty-four months of opening. Wholesale revenue comes from sales of roasted beans to restaurants, hotels and grocery stores in the regions where the Group operates. These forward-looking statements are based on information available as of the date of this statement, and actual results may differ materially because of many factors.</w:t>
      </w:r>
    </w:p>
    <w:p>
      <w:pPr>
        <w:keepNext/>
      </w:pPr>
      <w:r>
        <w:rPr>
          <w:b/>
        </w:rPr>
        <w:t xml:space="preserve">(13) Labor costs and staffing</w:t>
      </w:r>
    </w:p>
    <w:p>
      <w:pPr>
        <w:ind w:left="0" w:firstLine="360"/>
      </w:pPr>
      <w:r>
        <w:t xml:space="preserve">These forward-looking statements are based on information available as of the date of this statement, and actual results may differ materially because of many factors. Revenue from the online store was $7,272 thousand, or 7.6% of total revenue. Revenue from loyalty rewards is deferred until the reward is redeemed or expires. Occupancy costs increased to $34,859 thousand, reflecting rent for new stores and scheduled rent increases at existing locations.</w:t>
      </w:r>
    </w:p>
    <w:p>
      <w:pPr>
        <w:ind w:left="0" w:firstLine="360"/>
      </w:pPr>
      <w:r>
        <w:t xml:space="preserve">Energy use per store decreased 13.2% compared with the prior year, as older espresso machines and refrigerators were replaced with more efficient models. Each store is managed by a store manager who reports to a district manager, and district managers report to the director for their region. At the end of the fiscal year, Nimbus Coffee operated 187 company-operated stores in eight regions: Northfield, Eastbay, Southport, Westridge, Lakeside, Hillcrest, Riverside and Harborview.</w:t>
      </w:r>
    </w:p>
    <w:p>
      <w:pPr>
        <w:keepNext/>
      </w:pPr>
      <w:r>
        <w:rPr>
          <w:b/>
        </w:rPr>
        <w:t xml:space="preserve">(14) Food safety</w:t>
      </w:r>
    </w:p>
    <w:p>
      <w:pPr>
        <w:ind w:left="0" w:firstLine="360"/>
      </w:pPr>
      <w:r>
        <w:t xml:space="preserve">Wholesale revenue comes from sales of roasted beans to restaurants, hotels and grocery stores in the regions where Nimbus Coffee operates. The price of green coffee is volatile, and a sustained increase could reduce gross margin if the Group is unable to pass the cost on to customers through menu prices. Each store is managed by a store manager who reports to a district manager, and district managers report to the director for their region. During the fiscal year, the Group opened 14 new stores and closed 1 stores whose leases expired. Total revenue for the fiscal year was $269,169 thousand, an increase of 10.1% over the prior year, and operating income was $10,311 thousand, an increase of 14.8%. Net cash used in investing activities was $19,548 thousand, primarily for purchases of property and equipment.</w:t>
      </w:r>
    </w:p>
    <w:p>
      <w:pPr>
        <w:ind w:left="0" w:firstLine="360"/>
      </w:pPr>
      <w:r>
        <w:t xml:space="preserve">Energy use per store decreased 17.4% compared with the prior year, as older espresso machines and refrigerators were replaced with more efficient models. The loyalty program had 1,335 thousand active members at the end of the fiscal year, and purchases by members accounted for 47.5% of store revenue. Labor costs are affected by minimum wage laws in the regions where the stores are located, and further increases could reduce store margins.</w:t>
      </w:r>
    </w:p>
    <w:tbl>
      <w:tblPr>
        <w:tblW w:w="907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72" w:type="dxa"/>
          <w:right w:w="72" w:type="dxa"/>
        </w:tblCellMar>
      </w:tblPr>
      <w:tblGrid>
        <w:gridCol w:w="3072"/>
        <w:gridCol w:w="2000"/>
        <w:gridCol w:w="2000"/>
        <w:gridCol w:w="2000"/>
      </w:tblGrid>
      <w:tr>
        <w:trPr>
          <w:tblHeader/>
        </w:trPr>
        <w:tc>
          <w:tcPr>
            <w:tcW w:w="3072" w:type="dxa"/>
            <w:shd w:val="clear" w:color="auto" w:fill="DDEBF7"/>
            <w:vAlign w:val="center"/>
          </w:tcPr>
          <w:p>
            <w:pPr>
              <w:spacing w:before="0" w:after="0"/>
              <w:jc w:val="center"/>
            </w:pPr>
            <w:r>
              <w:rPr>
                <w:b/>
                <w:sz w:val="18"/>
                <w:szCs w:val="18"/>
              </w:rPr>
              <w:t xml:space="preserve">Category</w:t>
            </w:r>
          </w:p>
        </w:tc>
        <w:tc>
          <w:tcPr>
            <w:tcW w:w="2000" w:type="dxa"/>
            <w:shd w:val="clear" w:color="auto" w:fill="DDEBF7"/>
            <w:vAlign w:val="center"/>
          </w:tcPr>
          <w:p>
            <w:pPr>
              <w:spacing w:before="0" w:after="0"/>
              <w:jc w:val="center"/>
            </w:pPr>
            <w:r>
              <w:rPr>
                <w:b/>
                <w:sz w:val="18"/>
                <w:szCs w:val="18"/>
              </w:rPr>
              <w:t xml:space="preserve">FY2024 (USD thousands)</w:t>
            </w:r>
          </w:p>
        </w:tc>
        <w:tc>
          <w:tcPr>
            <w:tcW w:w="2000" w:type="dxa"/>
            <w:shd w:val="clear" w:color="auto" w:fill="DDEBF7"/>
            <w:vAlign w:val="center"/>
          </w:tcPr>
          <w:p>
            <w:pPr>
              <w:spacing w:before="0" w:after="0"/>
              <w:jc w:val="center"/>
            </w:pPr>
            <w:r>
              <w:rPr>
                <w:b/>
                <w:sz w:val="18"/>
                <w:szCs w:val="18"/>
              </w:rPr>
              <w:t xml:space="preserve">FY2025 (USD thousands)</w:t>
            </w:r>
          </w:p>
        </w:tc>
        <w:tc>
          <w:tcPr>
            <w:tcW w:w="2000" w:type="dxa"/>
            <w:shd w:val="clear" w:color="auto" w:fill="DDEBF7"/>
            <w:vAlign w:val="center"/>
          </w:tcPr>
          <w:p>
            <w:pPr>
              <w:spacing w:before="0" w:after="0"/>
              <w:jc w:val="center"/>
            </w:pPr>
            <w:r>
              <w:rPr>
                <w:b/>
                <w:sz w:val="18"/>
                <w:szCs w:val="18"/>
              </w:rPr>
              <w:t xml:space="preserve">Change (% of prior year)</w:t>
            </w:r>
          </w:p>
        </w:tc>
      </w:tr>
      <w:tr>
        <w:tc>
          <w:tcPr>
            <w:tcW w:w="3072" w:type="dxa"/>
            <w:vAlign w:val="center"/>
          </w:tcPr>
          <w:p>
            <w:pPr>
              <w:spacing w:before="0" w:after="0"/>
              <w:jc w:val="left"/>
            </w:pPr>
            <w:r>
              <w:rPr>
                <w:sz w:val="18"/>
                <w:szCs w:val="18"/>
              </w:rPr>
              <w:t xml:space="preserve">Beverages</w:t>
            </w:r>
          </w:p>
        </w:tc>
        <w:tc>
          <w:tcPr>
            <w:tcW w:w="2000" w:type="dxa"/>
            <w:vAlign w:val="center"/>
          </w:tcPr>
          <w:p>
            <w:pPr>
              <w:spacing w:before="0" w:after="0"/>
              <w:jc w:val="right"/>
            </w:pPr>
            <w:r>
              <w:rPr>
                <w:sz w:val="18"/>
                <w:szCs w:val="18"/>
              </w:rPr>
              <w:t xml:space="preserve">159,472</w:t>
            </w:r>
          </w:p>
        </w:tc>
        <w:tc>
          <w:tcPr>
            <w:tcW w:w="2000" w:type="dxa"/>
            <w:vAlign w:val="center"/>
          </w:tcPr>
          <w:p>
            <w:pPr>
              <w:spacing w:before="0" w:after="0"/>
              <w:jc w:val="right"/>
            </w:pPr>
            <w:r>
              <w:rPr>
                <w:sz w:val="18"/>
                <w:szCs w:val="18"/>
              </w:rPr>
              <w:t xml:space="preserve">175,564</w:t>
            </w:r>
          </w:p>
        </w:tc>
        <w:tc>
          <w:tcPr>
            <w:tcW w:w="2000" w:type="dxa"/>
            <w:vAlign w:val="center"/>
          </w:tcPr>
          <w:p>
            <w:pPr>
              <w:spacing w:before="0" w:after="0"/>
              <w:jc w:val="right"/>
            </w:pPr>
            <w:r>
              <w:rPr>
                <w:sz w:val="18"/>
                <w:szCs w:val="18"/>
              </w:rPr>
              <w:t xml:space="preserve">110.1</w:t>
            </w:r>
          </w:p>
        </w:tc>
      </w:tr>
      <w:tr>
        <w:tc>
          <w:tcPr>
            <w:tcW w:w="3072" w:type="dxa"/>
            <w:vAlign w:val="center"/>
          </w:tcPr>
          <w:p>
            <w:pPr>
              <w:spacing w:before="0" w:after="0"/>
              <w:jc w:val="left"/>
            </w:pPr>
            <w:r>
              <w:rPr>
                <w:sz w:val="18"/>
                <w:szCs w:val="18"/>
              </w:rPr>
              <w:t xml:space="preserve">Food</w:t>
            </w:r>
          </w:p>
        </w:tc>
        <w:tc>
          <w:tcPr>
            <w:tcW w:w="2000" w:type="dxa"/>
            <w:vAlign w:val="center"/>
          </w:tcPr>
          <w:p>
            <w:pPr>
              <w:spacing w:before="0" w:after="0"/>
              <w:jc w:val="right"/>
            </w:pPr>
            <w:r>
              <w:rPr>
                <w:sz w:val="18"/>
                <w:szCs w:val="18"/>
              </w:rPr>
              <w:t xml:space="preserve">52,401</w:t>
            </w:r>
          </w:p>
        </w:tc>
        <w:tc>
          <w:tcPr>
            <w:tcW w:w="2000" w:type="dxa"/>
            <w:vAlign w:val="center"/>
          </w:tcPr>
          <w:p>
            <w:pPr>
              <w:spacing w:before="0" w:after="0"/>
              <w:jc w:val="right"/>
            </w:pPr>
            <w:r>
              <w:rPr>
                <w:sz w:val="18"/>
                <w:szCs w:val="18"/>
              </w:rPr>
              <w:t xml:space="preserve">54,081</w:t>
            </w:r>
          </w:p>
        </w:tc>
        <w:tc>
          <w:tcPr>
            <w:tcW w:w="2000" w:type="dxa"/>
            <w:vAlign w:val="center"/>
          </w:tcPr>
          <w:p>
            <w:pPr>
              <w:spacing w:before="0" w:after="0"/>
              <w:jc w:val="right"/>
            </w:pPr>
            <w:r>
              <w:rPr>
                <w:sz w:val="18"/>
                <w:szCs w:val="18"/>
              </w:rPr>
              <w:t xml:space="preserve">113.3</w:t>
            </w:r>
          </w:p>
        </w:tc>
      </w:tr>
      <w:tr>
        <w:tc>
          <w:tcPr>
            <w:tcW w:w="3072" w:type="dxa"/>
            <w:vAlign w:val="center"/>
          </w:tcPr>
          <w:p>
            <w:pPr>
              <w:spacing w:before="0" w:after="0"/>
              <w:jc w:val="left"/>
            </w:pPr>
            <w:r>
              <w:rPr>
                <w:sz w:val="18"/>
                <w:szCs w:val="18"/>
              </w:rPr>
              <w:t xml:space="preserve">Merchandise</w:t>
            </w:r>
          </w:p>
        </w:tc>
        <w:tc>
          <w:tcPr>
            <w:tcW w:w="2000" w:type="dxa"/>
            <w:vAlign w:val="center"/>
          </w:tcPr>
          <w:p>
            <w:pPr>
              <w:spacing w:before="0" w:after="0"/>
              <w:jc w:val="right"/>
            </w:pPr>
            <w:r>
              <w:rPr>
                <w:sz w:val="18"/>
                <w:szCs w:val="18"/>
              </w:rPr>
              <w:t xml:space="preserve">18,388</w:t>
            </w:r>
          </w:p>
        </w:tc>
        <w:tc>
          <w:tcPr>
            <w:tcW w:w="2000" w:type="dxa"/>
            <w:vAlign w:val="center"/>
          </w:tcPr>
          <w:p>
            <w:pPr>
              <w:spacing w:before="0" w:after="0"/>
              <w:jc w:val="right"/>
            </w:pPr>
            <w:r>
              <w:rPr>
                <w:sz w:val="18"/>
                <w:szCs w:val="18"/>
              </w:rPr>
              <w:t xml:space="preserve">22,220</w:t>
            </w:r>
          </w:p>
        </w:tc>
        <w:tc>
          <w:tcPr>
            <w:tcW w:w="2000" w:type="dxa"/>
            <w:vAlign w:val="center"/>
          </w:tcPr>
          <w:p>
            <w:pPr>
              <w:spacing w:before="0" w:after="0"/>
              <w:jc w:val="right"/>
            </w:pPr>
            <w:r>
              <w:rPr>
                <w:sz w:val="18"/>
                <w:szCs w:val="18"/>
              </w:rPr>
              <w:t xml:space="preserve">113.8</w:t>
            </w:r>
          </w:p>
        </w:tc>
      </w:tr>
      <w:tr>
        <w:tc>
          <w:tcPr>
            <w:tcW w:w="3072" w:type="dxa"/>
            <w:vAlign w:val="center"/>
          </w:tcPr>
          <w:p>
            <w:pPr>
              <w:spacing w:before="0" w:after="0"/>
              <w:jc w:val="left"/>
            </w:pPr>
            <w:r>
              <w:rPr>
                <w:sz w:val="18"/>
                <w:szCs w:val="18"/>
              </w:rPr>
              <w:t xml:space="preserve">Beans</w:t>
            </w:r>
          </w:p>
        </w:tc>
        <w:tc>
          <w:tcPr>
            <w:tcW w:w="2000" w:type="dxa"/>
            <w:vAlign w:val="center"/>
          </w:tcPr>
          <w:p>
            <w:pPr>
              <w:spacing w:before="0" w:after="0"/>
              <w:jc w:val="right"/>
            </w:pPr>
            <w:r>
              <w:rPr>
                <w:sz w:val="18"/>
                <w:szCs w:val="18"/>
              </w:rPr>
              <w:t xml:space="preserve">54,159</w:t>
            </w:r>
          </w:p>
        </w:tc>
        <w:tc>
          <w:tcPr>
            <w:tcW w:w="2000" w:type="dxa"/>
            <w:vAlign w:val="center"/>
          </w:tcPr>
          <w:p>
            <w:pPr>
              <w:spacing w:before="0" w:after="0"/>
              <w:jc w:val="right"/>
            </w:pPr>
            <w:r>
              <w:rPr>
                <w:sz w:val="18"/>
                <w:szCs w:val="18"/>
              </w:rPr>
              <w:t xml:space="preserve">54,324</w:t>
            </w:r>
          </w:p>
        </w:tc>
        <w:tc>
          <w:tcPr>
            <w:tcW w:w="2000" w:type="dxa"/>
            <w:vAlign w:val="center"/>
          </w:tcPr>
          <w:p>
            <w:pPr>
              <w:spacing w:before="0" w:after="0"/>
              <w:jc w:val="right"/>
            </w:pPr>
            <w:r>
              <w:rPr>
                <w:sz w:val="18"/>
                <w:szCs w:val="18"/>
              </w:rPr>
              <w:t xml:space="preserve">117.6</w:t>
            </w:r>
          </w:p>
        </w:tc>
      </w:tr>
      <w:tr>
        <w:tc>
          <w:tcPr>
            <w:tcW w:w="3072" w:type="dxa"/>
            <w:vAlign w:val="center"/>
          </w:tcPr>
          <w:p>
            <w:pPr>
              <w:spacing w:before="0" w:after="0"/>
              <w:jc w:val="left"/>
            </w:pPr>
            <w:r>
              <w:rPr>
                <w:sz w:val="18"/>
                <w:szCs w:val="18"/>
              </w:rPr>
              <w:t xml:space="preserve">  of which Store</w:t>
            </w:r>
          </w:p>
        </w:tc>
        <w:tc>
          <w:tcPr>
            <w:tcW w:w="2000" w:type="dxa"/>
            <w:vAlign w:val="center"/>
          </w:tcPr>
          <w:p>
            <w:pPr>
              <w:spacing w:before="0" w:after="0"/>
              <w:jc w:val="right"/>
            </w:pPr>
            <w:r>
              <w:rPr>
                <w:sz w:val="18"/>
                <w:szCs w:val="18"/>
              </w:rPr>
              <w:t xml:space="preserve">244,999</w:t>
            </w:r>
          </w:p>
        </w:tc>
        <w:tc>
          <w:tcPr>
            <w:tcW w:w="2000" w:type="dxa"/>
            <w:vAlign w:val="center"/>
          </w:tcPr>
          <w:p>
            <w:pPr>
              <w:spacing w:before="0" w:after="0"/>
              <w:jc w:val="right"/>
            </w:pPr>
            <w:r>
              <w:rPr>
                <w:sz w:val="18"/>
                <w:szCs w:val="18"/>
              </w:rPr>
              <w:t xml:space="preserve">263,490</w:t>
            </w:r>
          </w:p>
        </w:tc>
        <w:tc>
          <w:tcPr>
            <w:tcW w:w="2000" w:type="dxa"/>
            <w:vAlign w:val="center"/>
          </w:tcPr>
          <w:p>
            <w:pPr>
              <w:spacing w:before="0" w:after="0"/>
              <w:jc w:val="right"/>
            </w:pPr>
            <w:r>
              <w:rPr>
                <w:sz w:val="18"/>
                <w:szCs w:val="18"/>
              </w:rPr>
              <w:t xml:space="preserve">112.7</w:t>
            </w:r>
          </w:p>
        </w:tc>
      </w:tr>
      <w:tr>
        <w:tc>
          <w:tcPr>
            <w:tcW w:w="3072" w:type="dxa"/>
            <w:vAlign w:val="center"/>
          </w:tcPr>
          <w:p>
            <w:pPr>
              <w:spacing w:before="0" w:after="0"/>
              <w:jc w:val="left"/>
            </w:pPr>
            <w:r>
              <w:rPr>
                <w:sz w:val="18"/>
                <w:szCs w:val="18"/>
              </w:rPr>
              <w:t xml:space="preserve">  of which Online</w:t>
            </w:r>
          </w:p>
        </w:tc>
        <w:tc>
          <w:tcPr>
            <w:tcW w:w="2000" w:type="dxa"/>
            <w:vAlign w:val="center"/>
          </w:tcPr>
          <w:p>
            <w:pPr>
              <w:spacing w:before="0" w:after="0"/>
              <w:jc w:val="right"/>
            </w:pPr>
            <w:r>
              <w:rPr>
                <w:sz w:val="18"/>
                <w:szCs w:val="18"/>
              </w:rPr>
              <w:t xml:space="preserve">39,933</w:t>
            </w:r>
          </w:p>
        </w:tc>
        <w:tc>
          <w:tcPr>
            <w:tcW w:w="2000" w:type="dxa"/>
            <w:vAlign w:val="center"/>
          </w:tcPr>
          <w:p>
            <w:pPr>
              <w:spacing w:before="0" w:after="0"/>
              <w:jc w:val="right"/>
            </w:pPr>
            <w:r>
              <w:rPr>
                <w:sz w:val="18"/>
                <w:szCs w:val="18"/>
              </w:rPr>
              <w:t xml:space="preserve">41,210</w:t>
            </w:r>
          </w:p>
        </w:tc>
        <w:tc>
          <w:tcPr>
            <w:tcW w:w="2000" w:type="dxa"/>
            <w:vAlign w:val="center"/>
          </w:tcPr>
          <w:p>
            <w:pPr>
              <w:spacing w:before="0" w:after="0"/>
              <w:jc w:val="right"/>
            </w:pPr>
            <w:r>
              <w:rPr>
                <w:sz w:val="18"/>
                <w:szCs w:val="18"/>
              </w:rPr>
              <w:t xml:space="preserve">114.2</w:t>
            </w:r>
          </w:p>
        </w:tc>
      </w:tr>
      <w:tr>
        <w:tc>
          <w:tcPr>
            <w:tcW w:w="3072" w:type="dxa"/>
            <w:vAlign w:val="center"/>
          </w:tcPr>
          <w:p>
            <w:pPr>
              <w:spacing w:before="0" w:after="0"/>
              <w:jc w:val="left"/>
            </w:pPr>
            <w:r>
              <w:rPr>
                <w:b/>
                <w:sz w:val="18"/>
                <w:szCs w:val="18"/>
              </w:rPr>
              <w:t xml:space="preserve">Total</w:t>
            </w:r>
          </w:p>
        </w:tc>
        <w:tc>
          <w:tcPr>
            <w:tcW w:w="2000" w:type="dxa"/>
            <w:vAlign w:val="center"/>
          </w:tcPr>
          <w:p>
            <w:pPr>
              <w:spacing w:before="0" w:after="0"/>
              <w:jc w:val="right"/>
            </w:pPr>
            <w:r>
              <w:rPr>
                <w:b/>
                <w:sz w:val="18"/>
                <w:szCs w:val="18"/>
              </w:rPr>
              <w:t xml:space="preserve">264,269</w:t>
            </w:r>
          </w:p>
        </w:tc>
        <w:tc>
          <w:tcPr>
            <w:tcW w:w="2000" w:type="dxa"/>
            <w:vAlign w:val="center"/>
          </w:tcPr>
          <w:p>
            <w:pPr>
              <w:spacing w:before="0" w:after="0"/>
              <w:jc w:val="right"/>
            </w:pPr>
            <w:r>
              <w:rPr>
                <w:b/>
                <w:sz w:val="18"/>
                <w:szCs w:val="18"/>
              </w:rPr>
              <w:t xml:space="preserve">287,774</w:t>
            </w:r>
          </w:p>
        </w:tc>
        <w:tc>
          <w:tcPr>
            <w:tcW w:w="2000" w:type="dxa"/>
            <w:vAlign w:val="center"/>
          </w:tcPr>
          <w:p>
            <w:pPr>
              <w:spacing w:before="0" w:after="0"/>
              <w:jc w:val="right"/>
            </w:pPr>
            <w:r>
              <w:rPr>
                <w:b/>
                <w:sz w:val="18"/>
                <w:szCs w:val="18"/>
              </w:rPr>
              <w:t xml:space="preserve">111.8</w:t>
            </w:r>
          </w:p>
        </w:tc>
      </w:tr>
    </w:tbl>
    <w:p>
      <w:pPr/>
    </w:p>
    <w:p>
      <w:r>
        <w:br w:type="page"/>
      </w:r>
    </w:p>
    <w:p>
      <w:pPr>
        <w:pStyle w:val="Heading2"/>
        <w:keepNext/>
      </w:pPr>
      <w:r>
        <w:t xml:space="preserve">Item 3. Properties</w:t>
      </w:r>
    </w:p>
    <w:p>
      <w:pPr>
        <w:pStyle w:val="Heading3"/>
        <w:keepNext/>
      </w:pPr>
      <w:r>
        <w:t xml:space="preserve">1. Overview of Capital Expenditures</w:t>
      </w:r>
    </w:p>
    <w:p>
      <w:pPr>
        <w:ind w:left="0" w:firstLine="360"/>
      </w:pPr>
      <w:r>
        <w:t xml:space="preserve">New stores generally reach the sales level of a mature store within eighteen to twenty-four months of opening. Green coffee is purchased from exporters and cooperatives in Central America, South America and East Africa under fixed-price contracts that generally cover the next nine to twelve months of expected needs. Revenue from the Beverages category was $24,601 thousand, or 5.7% of total revenue. Weather affects customer traffic: cold drinks sell best in summer, while hot beverages and whole beans sell best from October through February.</w:t>
      </w:r>
    </w:p>
    <w:p>
      <w:pPr>
        <w:ind w:left="0" w:firstLine="360"/>
      </w:pPr>
      <w:r>
        <w:t xml:space="preserve">The price of green coffee is volatile, and a sustained increase could reduce gross margin if the Group is unable to pass the cost on to customers through menu prices. Baristas complete a four-week training course before working on the floor, and store managers complete a further course at the Northfield training center. Occupancy costs increased to $36,890 thousand, reflecting rent for new stores and scheduled rent increases at existing locations.</w:t>
      </w:r>
    </w:p>
    <w:p>
      <w:pPr>
        <w:ind w:left="0" w:firstLine="360"/>
      </w:pPr>
      <w:r>
        <w:t xml:space="preserve">The loyalty program had 881 thousand active members at the end of the fiscal year, and purchases by members accounted for 45.3% of store revenue. The Group buys 51.6% of its green coffee by volume from farms certified under recognized sustainability standards. These forward-looking statements are based on information available as of the date of this statement, and actual results may differ materially because of many factors. Nimbus Coffee holds no derivatives other than coffee futures contracts used to fix the price of part of its future green coffee purchases. Revenue from loyalty rewards is deferred until the reward is redeemed or expires.</w:t>
      </w:r>
    </w:p>
    <w:tbl>
      <w:tblPr>
        <w:tblW w:w="907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72" w:type="dxa"/>
          <w:right w:w="72" w:type="dxa"/>
        </w:tblCellMar>
      </w:tblPr>
      <w:tblGrid>
        <w:gridCol w:w="2272"/>
        <w:gridCol w:w="1400"/>
        <w:gridCol w:w="1300"/>
        <w:gridCol w:w="1300"/>
        <w:gridCol w:w="1500"/>
        <w:gridCol w:w="1300"/>
      </w:tblGrid>
      <w:tr>
        <w:trPr>
          <w:tblHeader/>
        </w:trPr>
        <w:tc>
          <w:tcPr>
            <w:tcW w:w="2272" w:type="dxa"/>
            <w:shd w:val="clear" w:color="auto" w:fill="DDEBF7"/>
            <w:vAlign w:val="center"/>
          </w:tcPr>
          <w:p>
            <w:pPr>
              <w:spacing w:before="0" w:after="0"/>
              <w:jc w:val="center"/>
            </w:pPr>
            <w:r>
              <w:rPr>
                <w:b/>
                <w:sz w:val="18"/>
                <w:szCs w:val="18"/>
              </w:rPr>
              <w:t xml:space="preserve">Location</w:t>
            </w:r>
          </w:p>
        </w:tc>
        <w:tc>
          <w:tcPr>
            <w:tcW w:w="1400" w:type="dxa"/>
            <w:shd w:val="clear" w:color="auto" w:fill="DDEBF7"/>
            <w:vAlign w:val="center"/>
          </w:tcPr>
          <w:p>
            <w:pPr>
              <w:spacing w:before="0" w:after="0"/>
              <w:jc w:val="center"/>
            </w:pPr>
            <w:r>
              <w:rPr>
                <w:b/>
                <w:sz w:val="18"/>
                <w:szCs w:val="18"/>
              </w:rPr>
              <w:t xml:space="preserve">Use</w:t>
            </w:r>
          </w:p>
        </w:tc>
        <w:tc>
          <w:tcPr>
            <w:tcW w:w="1300" w:type="dxa"/>
            <w:shd w:val="clear" w:color="auto" w:fill="DDEBF7"/>
            <w:vAlign w:val="center"/>
          </w:tcPr>
          <w:p>
            <w:pPr>
              <w:spacing w:before="0" w:after="0"/>
              <w:jc w:val="center"/>
            </w:pPr>
            <w:r>
              <w:rPr>
                <w:b/>
                <w:sz w:val="18"/>
                <w:szCs w:val="18"/>
              </w:rPr>
              <w:t xml:space="preserve">Buildings (USD thousands)</w:t>
            </w:r>
          </w:p>
        </w:tc>
        <w:tc>
          <w:tcPr>
            <w:tcW w:w="1300" w:type="dxa"/>
            <w:shd w:val="clear" w:color="auto" w:fill="DDEBF7"/>
            <w:vAlign w:val="center"/>
          </w:tcPr>
          <w:p>
            <w:pPr>
              <w:spacing w:before="0" w:after="0"/>
              <w:jc w:val="center"/>
            </w:pPr>
            <w:r>
              <w:rPr>
                <w:b/>
                <w:sz w:val="18"/>
                <w:szCs w:val="18"/>
              </w:rPr>
              <w:t xml:space="preserve">Equipment (USD thousands)</w:t>
            </w:r>
          </w:p>
        </w:tc>
        <w:tc>
          <w:tcPr>
            <w:tcW w:w="1500" w:type="dxa"/>
            <w:shd w:val="clear" w:color="auto" w:fill="DDEBF7"/>
            <w:vAlign w:val="center"/>
          </w:tcPr>
          <w:p>
            <w:pPr>
              <w:spacing w:before="0" w:after="0"/>
              <w:jc w:val="center"/>
            </w:pPr>
            <w:r>
              <w:rPr>
                <w:b/>
                <w:sz w:val="18"/>
                <w:szCs w:val="18"/>
              </w:rPr>
              <w:t xml:space="preserve">Leasehold improvements (USD thousands)</w:t>
            </w:r>
          </w:p>
        </w:tc>
        <w:tc>
          <w:tcPr>
            <w:tcW w:w="1300" w:type="dxa"/>
            <w:shd w:val="clear" w:color="auto" w:fill="DDEBF7"/>
            <w:vAlign w:val="center"/>
          </w:tcPr>
          <w:p>
            <w:pPr>
              <w:spacing w:before="0" w:after="0"/>
              <w:jc w:val="center"/>
            </w:pPr>
            <w:r>
              <w:rPr>
                <w:b/>
                <w:sz w:val="18"/>
                <w:szCs w:val="18"/>
              </w:rPr>
              <w:t xml:space="preserve">Total (USD thousands)</w:t>
            </w:r>
          </w:p>
        </w:tc>
      </w:tr>
      <w:tr>
        <w:tc>
          <w:tcPr>
            <w:tcW w:w="2272" w:type="dxa"/>
            <w:vAlign w:val="center"/>
          </w:tcPr>
          <w:p>
            <w:pPr>
              <w:spacing w:before="0" w:after="0"/>
              <w:jc w:val="left"/>
            </w:pPr>
            <w:r>
              <w:rPr>
                <w:sz w:val="18"/>
                <w:szCs w:val="18"/>
              </w:rPr>
              <w:t xml:space="preserve">Headquarters (Northfield)</w:t>
            </w:r>
          </w:p>
        </w:tc>
        <w:tc>
          <w:tcPr>
            <w:tcW w:w="1400" w:type="dxa"/>
            <w:vAlign w:val="center"/>
          </w:tcPr>
          <w:p>
            <w:pPr>
              <w:spacing w:before="0" w:after="0"/>
              <w:jc w:val="left"/>
            </w:pPr>
            <w:r>
              <w:rPr>
                <w:sz w:val="18"/>
                <w:szCs w:val="18"/>
              </w:rPr>
              <w:t xml:space="preserve">Offices</w:t>
            </w:r>
          </w:p>
        </w:tc>
        <w:tc>
          <w:tcPr>
            <w:tcW w:w="1300" w:type="dxa"/>
            <w:vAlign w:val="center"/>
          </w:tcPr>
          <w:p>
            <w:pPr>
              <w:spacing w:before="0" w:after="0"/>
              <w:jc w:val="right"/>
            </w:pPr>
            <w:r>
              <w:rPr>
                <w:sz w:val="18"/>
                <w:szCs w:val="18"/>
              </w:rPr>
              <w:t xml:space="preserve">4,096</w:t>
            </w:r>
          </w:p>
        </w:tc>
        <w:tc>
          <w:tcPr>
            <w:tcW w:w="1300" w:type="dxa"/>
            <w:vAlign w:val="center"/>
          </w:tcPr>
          <w:p>
            <w:pPr>
              <w:spacing w:before="0" w:after="0"/>
              <w:jc w:val="right"/>
            </w:pPr>
            <w:r>
              <w:rPr>
                <w:sz w:val="18"/>
                <w:szCs w:val="18"/>
              </w:rPr>
              <w:t xml:space="preserve">5,301</w:t>
            </w:r>
          </w:p>
        </w:tc>
        <w:tc>
          <w:tcPr>
            <w:tcW w:w="1500" w:type="dxa"/>
            <w:vAlign w:val="center"/>
          </w:tcPr>
          <w:p>
            <w:pPr>
              <w:spacing w:before="0" w:after="0"/>
              <w:jc w:val="right"/>
            </w:pPr>
            <w:r>
              <w:rPr>
                <w:sz w:val="18"/>
                <w:szCs w:val="18"/>
              </w:rPr>
              <w:t xml:space="preserve">6,623</w:t>
            </w:r>
          </w:p>
        </w:tc>
        <w:tc>
          <w:tcPr>
            <w:tcW w:w="1300" w:type="dxa"/>
            <w:vAlign w:val="center"/>
          </w:tcPr>
          <w:p>
            <w:pPr>
              <w:spacing w:before="0" w:after="0"/>
              <w:jc w:val="right"/>
            </w:pPr>
            <w:r>
              <w:rPr>
                <w:sz w:val="18"/>
                <w:szCs w:val="18"/>
              </w:rPr>
              <w:t xml:space="preserve">16,611</w:t>
            </w:r>
          </w:p>
        </w:tc>
      </w:tr>
      <w:tr>
        <w:tc>
          <w:tcPr>
            <w:tcW w:w="2272" w:type="dxa"/>
            <w:vAlign w:val="center"/>
          </w:tcPr>
          <w:p>
            <w:pPr>
              <w:spacing w:before="0" w:after="0"/>
              <w:jc w:val="left"/>
            </w:pPr>
            <w:r>
              <w:rPr>
                <w:sz w:val="18"/>
                <w:szCs w:val="18"/>
              </w:rPr>
              <w:t xml:space="preserve">Northfield roastery</w:t>
            </w:r>
          </w:p>
        </w:tc>
        <w:tc>
          <w:tcPr>
            <w:tcW w:w="1400" w:type="dxa"/>
            <w:vAlign w:val="center"/>
          </w:tcPr>
          <w:p>
            <w:pPr>
              <w:spacing w:before="0" w:after="0"/>
              <w:jc w:val="left"/>
            </w:pPr>
            <w:r>
              <w:rPr>
                <w:sz w:val="18"/>
                <w:szCs w:val="18"/>
              </w:rPr>
              <w:t xml:space="preserve">Roasting and training</w:t>
            </w:r>
          </w:p>
        </w:tc>
        <w:tc>
          <w:tcPr>
            <w:tcW w:w="1300" w:type="dxa"/>
            <w:vAlign w:val="center"/>
          </w:tcPr>
          <w:p>
            <w:pPr>
              <w:spacing w:before="0" w:after="0"/>
              <w:jc w:val="right"/>
            </w:pPr>
            <w:r>
              <w:rPr>
                <w:sz w:val="18"/>
                <w:szCs w:val="18"/>
              </w:rPr>
              <w:t xml:space="preserve">3,554</w:t>
            </w:r>
          </w:p>
        </w:tc>
        <w:tc>
          <w:tcPr>
            <w:tcW w:w="1300" w:type="dxa"/>
            <w:vAlign w:val="center"/>
          </w:tcPr>
          <w:p>
            <w:pPr>
              <w:spacing w:before="0" w:after="0"/>
              <w:jc w:val="right"/>
            </w:pPr>
            <w:r>
              <w:rPr>
                <w:sz w:val="18"/>
                <w:szCs w:val="18"/>
              </w:rPr>
              <w:t xml:space="preserve">5,140</w:t>
            </w:r>
          </w:p>
        </w:tc>
        <w:tc>
          <w:tcPr>
            <w:tcW w:w="1500" w:type="dxa"/>
            <w:vAlign w:val="center"/>
          </w:tcPr>
          <w:p>
            <w:pPr>
              <w:spacing w:before="0" w:after="0"/>
              <w:jc w:val="right"/>
            </w:pPr>
            <w:r>
              <w:rPr>
                <w:sz w:val="18"/>
                <w:szCs w:val="18"/>
              </w:rPr>
              <w:t xml:space="preserve">6,655</w:t>
            </w:r>
          </w:p>
        </w:tc>
        <w:tc>
          <w:tcPr>
            <w:tcW w:w="1300" w:type="dxa"/>
            <w:vAlign w:val="center"/>
          </w:tcPr>
          <w:p>
            <w:pPr>
              <w:spacing w:before="0" w:after="0"/>
              <w:jc w:val="right"/>
            </w:pPr>
            <w:r>
              <w:rPr>
                <w:sz w:val="18"/>
                <w:szCs w:val="18"/>
              </w:rPr>
              <w:t xml:space="preserve">14,288</w:t>
            </w:r>
          </w:p>
        </w:tc>
      </w:tr>
      <w:tr>
        <w:tc>
          <w:tcPr>
            <w:tcW w:w="2272" w:type="dxa"/>
            <w:vAlign w:val="center"/>
          </w:tcPr>
          <w:p>
            <w:pPr>
              <w:spacing w:before="0" w:after="0"/>
              <w:jc w:val="left"/>
            </w:pPr>
            <w:r>
              <w:rPr>
                <w:sz w:val="18"/>
                <w:szCs w:val="18"/>
              </w:rPr>
              <w:t xml:space="preserve">Eastbay distribution center</w:t>
            </w:r>
          </w:p>
        </w:tc>
        <w:tc>
          <w:tcPr>
            <w:tcW w:w="1400" w:type="dxa"/>
            <w:vAlign w:val="center"/>
          </w:tcPr>
          <w:p>
            <w:pPr>
              <w:spacing w:before="0" w:after="0"/>
              <w:jc w:val="left"/>
            </w:pPr>
            <w:r>
              <w:rPr>
                <w:sz w:val="18"/>
                <w:szCs w:val="18"/>
              </w:rPr>
              <w:t xml:space="preserve">Warehouse</w:t>
            </w:r>
          </w:p>
        </w:tc>
        <w:tc>
          <w:tcPr>
            <w:tcW w:w="1300" w:type="dxa"/>
            <w:vAlign w:val="center"/>
          </w:tcPr>
          <w:p>
            <w:pPr>
              <w:spacing w:before="0" w:after="0"/>
              <w:jc w:val="right"/>
            </w:pPr>
            <w:r>
              <w:rPr>
                <w:sz w:val="18"/>
                <w:szCs w:val="18"/>
              </w:rPr>
              <w:t xml:space="preserve">3,946</w:t>
            </w:r>
          </w:p>
        </w:tc>
        <w:tc>
          <w:tcPr>
            <w:tcW w:w="1300" w:type="dxa"/>
            <w:vAlign w:val="center"/>
          </w:tcPr>
          <w:p>
            <w:pPr>
              <w:spacing w:before="0" w:after="0"/>
              <w:jc w:val="right"/>
            </w:pPr>
            <w:r>
              <w:rPr>
                <w:sz w:val="18"/>
                <w:szCs w:val="18"/>
              </w:rPr>
              <w:t xml:space="preserve">5,010</w:t>
            </w:r>
          </w:p>
        </w:tc>
        <w:tc>
          <w:tcPr>
            <w:tcW w:w="1500" w:type="dxa"/>
            <w:vAlign w:val="center"/>
          </w:tcPr>
          <w:p>
            <w:pPr>
              <w:spacing w:before="0" w:after="0"/>
              <w:jc w:val="right"/>
            </w:pPr>
            <w:r>
              <w:rPr>
                <w:sz w:val="18"/>
                <w:szCs w:val="18"/>
              </w:rPr>
              <w:t xml:space="preserve">5,964</w:t>
            </w:r>
          </w:p>
        </w:tc>
        <w:tc>
          <w:tcPr>
            <w:tcW w:w="1300" w:type="dxa"/>
            <w:vAlign w:val="center"/>
          </w:tcPr>
          <w:p>
            <w:pPr>
              <w:spacing w:before="0" w:after="0"/>
              <w:jc w:val="right"/>
            </w:pPr>
            <w:r>
              <w:rPr>
                <w:sz w:val="18"/>
                <w:szCs w:val="18"/>
              </w:rPr>
              <w:t xml:space="preserve">15,733</w:t>
            </w:r>
          </w:p>
        </w:tc>
      </w:tr>
      <w:tr>
        <w:tc>
          <w:tcPr>
            <w:tcW w:w="2272" w:type="dxa"/>
            <w:vAlign w:val="center"/>
          </w:tcPr>
          <w:p>
            <w:pPr>
              <w:spacing w:before="0" w:after="0"/>
              <w:jc w:val="left"/>
            </w:pPr>
            <w:r>
              <w:rPr>
                <w:sz w:val="18"/>
                <w:szCs w:val="18"/>
              </w:rPr>
              <w:t xml:space="preserve">Stores in Northfield (29 stores)</w:t>
            </w:r>
          </w:p>
        </w:tc>
        <w:tc>
          <w:tcPr>
            <w:tcW w:w="1400" w:type="dxa"/>
            <w:vAlign w:val="center"/>
          </w:tcPr>
          <w:p>
            <w:pPr>
              <w:spacing w:before="0" w:after="0"/>
              <w:jc w:val="left"/>
            </w:pPr>
            <w:r>
              <w:rPr>
                <w:sz w:val="18"/>
                <w:szCs w:val="18"/>
              </w:rPr>
              <w:t xml:space="preserve">Coffee shops</w:t>
            </w:r>
          </w:p>
        </w:tc>
        <w:tc>
          <w:tcPr>
            <w:tcW w:w="1300" w:type="dxa"/>
            <w:vAlign w:val="center"/>
          </w:tcPr>
          <w:p>
            <w:pPr>
              <w:spacing w:before="0" w:after="0"/>
              <w:jc w:val="right"/>
            </w:pPr>
            <w:r>
              <w:rPr>
                <w:sz w:val="18"/>
                <w:szCs w:val="18"/>
              </w:rPr>
              <w:t xml:space="preserve">4,025</w:t>
            </w:r>
          </w:p>
        </w:tc>
        <w:tc>
          <w:tcPr>
            <w:tcW w:w="1300" w:type="dxa"/>
            <w:vAlign w:val="center"/>
          </w:tcPr>
          <w:p>
            <w:pPr>
              <w:spacing w:before="0" w:after="0"/>
              <w:jc w:val="right"/>
            </w:pPr>
            <w:r>
              <w:rPr>
                <w:sz w:val="18"/>
                <w:szCs w:val="18"/>
              </w:rPr>
              <w:t xml:space="preserve">5,491</w:t>
            </w:r>
          </w:p>
        </w:tc>
        <w:tc>
          <w:tcPr>
            <w:tcW w:w="1500" w:type="dxa"/>
            <w:vAlign w:val="center"/>
          </w:tcPr>
          <w:p>
            <w:pPr>
              <w:spacing w:before="0" w:after="0"/>
              <w:jc w:val="right"/>
            </w:pPr>
            <w:r>
              <w:rPr>
                <w:sz w:val="18"/>
                <w:szCs w:val="18"/>
              </w:rPr>
              <w:t xml:space="preserve">6,324</w:t>
            </w:r>
          </w:p>
        </w:tc>
        <w:tc>
          <w:tcPr>
            <w:tcW w:w="1300" w:type="dxa"/>
            <w:vAlign w:val="center"/>
          </w:tcPr>
          <w:p>
            <w:pPr>
              <w:spacing w:before="0" w:after="0"/>
              <w:jc w:val="right"/>
            </w:pPr>
            <w:r>
              <w:rPr>
                <w:sz w:val="18"/>
                <w:szCs w:val="18"/>
              </w:rPr>
              <w:t xml:space="preserve">14,935</w:t>
            </w:r>
          </w:p>
        </w:tc>
      </w:tr>
      <w:tr>
        <w:tc>
          <w:tcPr>
            <w:tcW w:w="2272" w:type="dxa"/>
            <w:vAlign w:val="center"/>
          </w:tcPr>
          <w:p>
            <w:pPr>
              <w:spacing w:before="0" w:after="0"/>
              <w:jc w:val="left"/>
            </w:pPr>
            <w:r>
              <w:rPr>
                <w:sz w:val="18"/>
                <w:szCs w:val="18"/>
              </w:rPr>
              <w:t xml:space="preserve">Stores in Eastbay (16 stores)</w:t>
            </w:r>
          </w:p>
        </w:tc>
        <w:tc>
          <w:tcPr>
            <w:tcW w:w="1400" w:type="dxa"/>
            <w:vAlign w:val="center"/>
          </w:tcPr>
          <w:p>
            <w:pPr>
              <w:spacing w:before="0" w:after="0"/>
              <w:jc w:val="left"/>
            </w:pPr>
            <w:r>
              <w:rPr>
                <w:sz w:val="18"/>
                <w:szCs w:val="18"/>
              </w:rPr>
              <w:t xml:space="preserve">Coffee shops</w:t>
            </w:r>
          </w:p>
        </w:tc>
        <w:tc>
          <w:tcPr>
            <w:tcW w:w="1300" w:type="dxa"/>
            <w:vAlign w:val="center"/>
          </w:tcPr>
          <w:p>
            <w:pPr>
              <w:spacing w:before="0" w:after="0"/>
              <w:jc w:val="right"/>
            </w:pPr>
            <w:r>
              <w:rPr>
                <w:sz w:val="18"/>
                <w:szCs w:val="18"/>
              </w:rPr>
              <w:t xml:space="preserve">3,820</w:t>
            </w:r>
          </w:p>
        </w:tc>
        <w:tc>
          <w:tcPr>
            <w:tcW w:w="1300" w:type="dxa"/>
            <w:vAlign w:val="center"/>
          </w:tcPr>
          <w:p>
            <w:pPr>
              <w:spacing w:before="0" w:after="0"/>
              <w:jc w:val="right"/>
            </w:pPr>
            <w:r>
              <w:rPr>
                <w:sz w:val="18"/>
                <w:szCs w:val="18"/>
              </w:rPr>
              <w:t xml:space="preserve">5,602</w:t>
            </w:r>
          </w:p>
        </w:tc>
        <w:tc>
          <w:tcPr>
            <w:tcW w:w="1500" w:type="dxa"/>
            <w:vAlign w:val="center"/>
          </w:tcPr>
          <w:p>
            <w:pPr>
              <w:spacing w:before="0" w:after="0"/>
              <w:jc w:val="right"/>
            </w:pPr>
            <w:r>
              <w:rPr>
                <w:sz w:val="18"/>
                <w:szCs w:val="18"/>
              </w:rPr>
              <w:t xml:space="preserve">6,525</w:t>
            </w:r>
          </w:p>
        </w:tc>
        <w:tc>
          <w:tcPr>
            <w:tcW w:w="1300" w:type="dxa"/>
            <w:vAlign w:val="center"/>
          </w:tcPr>
          <w:p>
            <w:pPr>
              <w:spacing w:before="0" w:after="0"/>
              <w:jc w:val="right"/>
            </w:pPr>
            <w:r>
              <w:rPr>
                <w:sz w:val="18"/>
                <w:szCs w:val="18"/>
              </w:rPr>
              <w:t xml:space="preserve">14,719</w:t>
            </w:r>
          </w:p>
        </w:tc>
      </w:tr>
      <w:tr>
        <w:tc>
          <w:tcPr>
            <w:tcW w:w="2272" w:type="dxa"/>
            <w:vAlign w:val="center"/>
          </w:tcPr>
          <w:p>
            <w:pPr>
              <w:spacing w:before="0" w:after="0"/>
              <w:jc w:val="left"/>
            </w:pPr>
            <w:r>
              <w:rPr>
                <w:sz w:val="18"/>
                <w:szCs w:val="18"/>
              </w:rPr>
              <w:t xml:space="preserve">Stores in Southport (24 stores)</w:t>
            </w:r>
          </w:p>
        </w:tc>
        <w:tc>
          <w:tcPr>
            <w:tcW w:w="1400" w:type="dxa"/>
            <w:vAlign w:val="center"/>
          </w:tcPr>
          <w:p>
            <w:pPr>
              <w:spacing w:before="0" w:after="0"/>
              <w:jc w:val="left"/>
            </w:pPr>
            <w:r>
              <w:rPr>
                <w:sz w:val="18"/>
                <w:szCs w:val="18"/>
              </w:rPr>
              <w:t xml:space="preserve">Coffee shops</w:t>
            </w:r>
          </w:p>
        </w:tc>
        <w:tc>
          <w:tcPr>
            <w:tcW w:w="1300" w:type="dxa"/>
            <w:vAlign w:val="center"/>
          </w:tcPr>
          <w:p>
            <w:pPr>
              <w:spacing w:before="0" w:after="0"/>
              <w:jc w:val="right"/>
            </w:pPr>
            <w:r>
              <w:rPr>
                <w:sz w:val="18"/>
                <w:szCs w:val="18"/>
              </w:rPr>
              <w:t xml:space="preserve">3,940</w:t>
            </w:r>
          </w:p>
        </w:tc>
        <w:tc>
          <w:tcPr>
            <w:tcW w:w="1300" w:type="dxa"/>
            <w:vAlign w:val="center"/>
          </w:tcPr>
          <w:p>
            <w:pPr>
              <w:spacing w:before="0" w:after="0"/>
              <w:jc w:val="right"/>
            </w:pPr>
            <w:r>
              <w:rPr>
                <w:sz w:val="18"/>
                <w:szCs w:val="18"/>
              </w:rPr>
              <w:t xml:space="preserve">5,564</w:t>
            </w:r>
          </w:p>
        </w:tc>
        <w:tc>
          <w:tcPr>
            <w:tcW w:w="1500" w:type="dxa"/>
            <w:vAlign w:val="center"/>
          </w:tcPr>
          <w:p>
            <w:pPr>
              <w:spacing w:before="0" w:after="0"/>
              <w:jc w:val="right"/>
            </w:pPr>
            <w:r>
              <w:rPr>
                <w:sz w:val="18"/>
                <w:szCs w:val="18"/>
              </w:rPr>
              <w:t xml:space="preserve">6,746</w:t>
            </w:r>
          </w:p>
        </w:tc>
        <w:tc>
          <w:tcPr>
            <w:tcW w:w="1300" w:type="dxa"/>
            <w:vAlign w:val="center"/>
          </w:tcPr>
          <w:p>
            <w:pPr>
              <w:spacing w:before="0" w:after="0"/>
              <w:jc w:val="right"/>
            </w:pPr>
            <w:r>
              <w:rPr>
                <w:sz w:val="18"/>
                <w:szCs w:val="18"/>
              </w:rPr>
              <w:t xml:space="preserve">16,465</w:t>
            </w:r>
          </w:p>
        </w:tc>
      </w:tr>
      <w:tr>
        <w:tc>
          <w:tcPr>
            <w:tcW w:w="2272" w:type="dxa"/>
            <w:vAlign w:val="center"/>
          </w:tcPr>
          <w:p>
            <w:pPr>
              <w:spacing w:before="0" w:after="0"/>
              <w:jc w:val="left"/>
            </w:pPr>
            <w:r>
              <w:rPr>
                <w:sz w:val="18"/>
                <w:szCs w:val="18"/>
              </w:rPr>
              <w:t xml:space="preserve">Stores in Westridge (28 stores)</w:t>
            </w:r>
          </w:p>
        </w:tc>
        <w:tc>
          <w:tcPr>
            <w:tcW w:w="1400" w:type="dxa"/>
            <w:vAlign w:val="center"/>
          </w:tcPr>
          <w:p>
            <w:pPr>
              <w:spacing w:before="0" w:after="0"/>
              <w:jc w:val="left"/>
            </w:pPr>
            <w:r>
              <w:rPr>
                <w:sz w:val="18"/>
                <w:szCs w:val="18"/>
              </w:rPr>
              <w:t xml:space="preserve">Coffee shops</w:t>
            </w:r>
          </w:p>
        </w:tc>
        <w:tc>
          <w:tcPr>
            <w:tcW w:w="1300" w:type="dxa"/>
            <w:vAlign w:val="center"/>
          </w:tcPr>
          <w:p>
            <w:pPr>
              <w:spacing w:before="0" w:after="0"/>
              <w:jc w:val="right"/>
            </w:pPr>
            <w:r>
              <w:rPr>
                <w:sz w:val="18"/>
                <w:szCs w:val="18"/>
              </w:rPr>
              <w:t xml:space="preserve">3,752</w:t>
            </w:r>
          </w:p>
        </w:tc>
        <w:tc>
          <w:tcPr>
            <w:tcW w:w="1300" w:type="dxa"/>
            <w:vAlign w:val="center"/>
          </w:tcPr>
          <w:p>
            <w:pPr>
              <w:spacing w:before="0" w:after="0"/>
              <w:jc w:val="right"/>
            </w:pPr>
            <w:r>
              <w:rPr>
                <w:sz w:val="18"/>
                <w:szCs w:val="18"/>
              </w:rPr>
              <w:t xml:space="preserve">4,785</w:t>
            </w:r>
          </w:p>
        </w:tc>
        <w:tc>
          <w:tcPr>
            <w:tcW w:w="1500" w:type="dxa"/>
            <w:vAlign w:val="center"/>
          </w:tcPr>
          <w:p>
            <w:pPr>
              <w:spacing w:before="0" w:after="0"/>
              <w:jc w:val="right"/>
            </w:pPr>
            <w:r>
              <w:rPr>
                <w:sz w:val="18"/>
                <w:szCs w:val="18"/>
              </w:rPr>
              <w:t xml:space="preserve">6,739</w:t>
            </w:r>
          </w:p>
        </w:tc>
        <w:tc>
          <w:tcPr>
            <w:tcW w:w="1300" w:type="dxa"/>
            <w:vAlign w:val="center"/>
          </w:tcPr>
          <w:p>
            <w:pPr>
              <w:spacing w:before="0" w:after="0"/>
              <w:jc w:val="right"/>
            </w:pPr>
            <w:r>
              <w:rPr>
                <w:sz w:val="18"/>
                <w:szCs w:val="18"/>
              </w:rPr>
              <w:t xml:space="preserve">16,303</w:t>
            </w:r>
          </w:p>
        </w:tc>
      </w:tr>
      <w:tr>
        <w:tc>
          <w:tcPr>
            <w:tcW w:w="2272" w:type="dxa"/>
            <w:vAlign w:val="center"/>
          </w:tcPr>
          <w:p>
            <w:pPr>
              <w:spacing w:before="0" w:after="0"/>
              <w:jc w:val="left"/>
            </w:pPr>
            <w:r>
              <w:rPr>
                <w:sz w:val="18"/>
                <w:szCs w:val="18"/>
              </w:rPr>
              <w:t xml:space="preserve">Stores in Lakeside (16 stores)</w:t>
            </w:r>
          </w:p>
        </w:tc>
        <w:tc>
          <w:tcPr>
            <w:tcW w:w="1400" w:type="dxa"/>
            <w:vAlign w:val="center"/>
          </w:tcPr>
          <w:p>
            <w:pPr>
              <w:spacing w:before="0" w:after="0"/>
              <w:jc w:val="left"/>
            </w:pPr>
            <w:r>
              <w:rPr>
                <w:sz w:val="18"/>
                <w:szCs w:val="18"/>
              </w:rPr>
              <w:t xml:space="preserve">Coffee shops</w:t>
            </w:r>
          </w:p>
        </w:tc>
        <w:tc>
          <w:tcPr>
            <w:tcW w:w="1300" w:type="dxa"/>
            <w:vAlign w:val="center"/>
          </w:tcPr>
          <w:p>
            <w:pPr>
              <w:spacing w:before="0" w:after="0"/>
              <w:jc w:val="right"/>
            </w:pPr>
            <w:r>
              <w:rPr>
                <w:sz w:val="18"/>
                <w:szCs w:val="18"/>
              </w:rPr>
              <w:t xml:space="preserve">3,760</w:t>
            </w:r>
          </w:p>
        </w:tc>
        <w:tc>
          <w:tcPr>
            <w:tcW w:w="1300" w:type="dxa"/>
            <w:vAlign w:val="center"/>
          </w:tcPr>
          <w:p>
            <w:pPr>
              <w:spacing w:before="0" w:after="0"/>
              <w:jc w:val="right"/>
            </w:pPr>
            <w:r>
              <w:rPr>
                <w:sz w:val="18"/>
                <w:szCs w:val="18"/>
              </w:rPr>
              <w:t xml:space="preserve">5,119</w:t>
            </w:r>
          </w:p>
        </w:tc>
        <w:tc>
          <w:tcPr>
            <w:tcW w:w="1500" w:type="dxa"/>
            <w:vAlign w:val="center"/>
          </w:tcPr>
          <w:p>
            <w:pPr>
              <w:spacing w:before="0" w:after="0"/>
              <w:jc w:val="right"/>
            </w:pPr>
            <w:r>
              <w:rPr>
                <w:sz w:val="18"/>
                <w:szCs w:val="18"/>
              </w:rPr>
              <w:t xml:space="preserve">5,892</w:t>
            </w:r>
          </w:p>
        </w:tc>
        <w:tc>
          <w:tcPr>
            <w:tcW w:w="1300" w:type="dxa"/>
            <w:vAlign w:val="center"/>
          </w:tcPr>
          <w:p>
            <w:pPr>
              <w:spacing w:before="0" w:after="0"/>
              <w:jc w:val="right"/>
            </w:pPr>
            <w:r>
              <w:rPr>
                <w:sz w:val="18"/>
                <w:szCs w:val="18"/>
              </w:rPr>
              <w:t xml:space="preserve">15,785</w:t>
            </w:r>
          </w:p>
        </w:tc>
      </w:tr>
      <w:tr>
        <w:tc>
          <w:tcPr>
            <w:tcW w:w="2272" w:type="dxa"/>
            <w:vAlign w:val="center"/>
          </w:tcPr>
          <w:p>
            <w:pPr>
              <w:spacing w:before="0" w:after="0"/>
              <w:jc w:val="left"/>
            </w:pPr>
            <w:r>
              <w:rPr>
                <w:sz w:val="18"/>
                <w:szCs w:val="18"/>
              </w:rPr>
              <w:t xml:space="preserve">Stores in Hillcrest (23 stores)</w:t>
            </w:r>
          </w:p>
        </w:tc>
        <w:tc>
          <w:tcPr>
            <w:tcW w:w="1400" w:type="dxa"/>
            <w:vAlign w:val="center"/>
          </w:tcPr>
          <w:p>
            <w:pPr>
              <w:spacing w:before="0" w:after="0"/>
              <w:jc w:val="left"/>
            </w:pPr>
            <w:r>
              <w:rPr>
                <w:sz w:val="18"/>
                <w:szCs w:val="18"/>
              </w:rPr>
              <w:t xml:space="preserve">Coffee shops</w:t>
            </w:r>
          </w:p>
        </w:tc>
        <w:tc>
          <w:tcPr>
            <w:tcW w:w="1300" w:type="dxa"/>
            <w:vAlign w:val="center"/>
          </w:tcPr>
          <w:p>
            <w:pPr>
              <w:spacing w:before="0" w:after="0"/>
              <w:jc w:val="right"/>
            </w:pPr>
            <w:r>
              <w:rPr>
                <w:sz w:val="18"/>
                <w:szCs w:val="18"/>
              </w:rPr>
              <w:t xml:space="preserve">3,598</w:t>
            </w:r>
          </w:p>
        </w:tc>
        <w:tc>
          <w:tcPr>
            <w:tcW w:w="1300" w:type="dxa"/>
            <w:vAlign w:val="center"/>
          </w:tcPr>
          <w:p>
            <w:pPr>
              <w:spacing w:before="0" w:after="0"/>
              <w:jc w:val="right"/>
            </w:pPr>
            <w:r>
              <w:rPr>
                <w:sz w:val="18"/>
                <w:szCs w:val="18"/>
              </w:rPr>
              <w:t xml:space="preserve">5,003</w:t>
            </w:r>
          </w:p>
        </w:tc>
        <w:tc>
          <w:tcPr>
            <w:tcW w:w="1500" w:type="dxa"/>
            <w:vAlign w:val="center"/>
          </w:tcPr>
          <w:p>
            <w:pPr>
              <w:spacing w:before="0" w:after="0"/>
              <w:jc w:val="right"/>
            </w:pPr>
            <w:r>
              <w:rPr>
                <w:sz w:val="18"/>
                <w:szCs w:val="18"/>
              </w:rPr>
              <w:t xml:space="preserve">6,360</w:t>
            </w:r>
          </w:p>
        </w:tc>
        <w:tc>
          <w:tcPr>
            <w:tcW w:w="1300" w:type="dxa"/>
            <w:vAlign w:val="center"/>
          </w:tcPr>
          <w:p>
            <w:pPr>
              <w:spacing w:before="0" w:after="0"/>
              <w:jc w:val="right"/>
            </w:pPr>
            <w:r>
              <w:rPr>
                <w:sz w:val="18"/>
                <w:szCs w:val="18"/>
              </w:rPr>
              <w:t xml:space="preserve">15,512</w:t>
            </w:r>
          </w:p>
        </w:tc>
      </w:tr>
      <w:tr>
        <w:tc>
          <w:tcPr>
            <w:tcW w:w="2272" w:type="dxa"/>
            <w:vAlign w:val="center"/>
          </w:tcPr>
          <w:p>
            <w:pPr>
              <w:spacing w:before="0" w:after="0"/>
              <w:jc w:val="left"/>
            </w:pPr>
            <w:r>
              <w:rPr>
                <w:sz w:val="18"/>
                <w:szCs w:val="18"/>
              </w:rPr>
              <w:t xml:space="preserve">Stores in Riverside (12 stores)</w:t>
            </w:r>
          </w:p>
        </w:tc>
        <w:tc>
          <w:tcPr>
            <w:tcW w:w="1400" w:type="dxa"/>
            <w:vAlign w:val="center"/>
          </w:tcPr>
          <w:p>
            <w:pPr>
              <w:spacing w:before="0" w:after="0"/>
              <w:jc w:val="left"/>
            </w:pPr>
            <w:r>
              <w:rPr>
                <w:sz w:val="18"/>
                <w:szCs w:val="18"/>
              </w:rPr>
              <w:t xml:space="preserve">Coffee shops</w:t>
            </w:r>
          </w:p>
        </w:tc>
        <w:tc>
          <w:tcPr>
            <w:tcW w:w="1300" w:type="dxa"/>
            <w:vAlign w:val="center"/>
          </w:tcPr>
          <w:p>
            <w:pPr>
              <w:spacing w:before="0" w:after="0"/>
              <w:jc w:val="right"/>
            </w:pPr>
            <w:r>
              <w:rPr>
                <w:sz w:val="18"/>
                <w:szCs w:val="18"/>
              </w:rPr>
              <w:t xml:space="preserve">3,862</w:t>
            </w:r>
          </w:p>
        </w:tc>
        <w:tc>
          <w:tcPr>
            <w:tcW w:w="1300" w:type="dxa"/>
            <w:vAlign w:val="center"/>
          </w:tcPr>
          <w:p>
            <w:pPr>
              <w:spacing w:before="0" w:after="0"/>
              <w:jc w:val="right"/>
            </w:pPr>
            <w:r>
              <w:rPr>
                <w:sz w:val="18"/>
                <w:szCs w:val="18"/>
              </w:rPr>
              <w:t xml:space="preserve">5,121</w:t>
            </w:r>
          </w:p>
        </w:tc>
        <w:tc>
          <w:tcPr>
            <w:tcW w:w="1500" w:type="dxa"/>
            <w:vAlign w:val="center"/>
          </w:tcPr>
          <w:p>
            <w:pPr>
              <w:spacing w:before="0" w:after="0"/>
              <w:jc w:val="right"/>
            </w:pPr>
            <w:r>
              <w:rPr>
                <w:sz w:val="18"/>
                <w:szCs w:val="18"/>
              </w:rPr>
              <w:t xml:space="preserve">6,638</w:t>
            </w:r>
          </w:p>
        </w:tc>
        <w:tc>
          <w:tcPr>
            <w:tcW w:w="1300" w:type="dxa"/>
            <w:vAlign w:val="center"/>
          </w:tcPr>
          <w:p>
            <w:pPr>
              <w:spacing w:before="0" w:after="0"/>
              <w:jc w:val="right"/>
            </w:pPr>
            <w:r>
              <w:rPr>
                <w:sz w:val="18"/>
                <w:szCs w:val="18"/>
              </w:rPr>
              <w:t xml:space="preserve">16,061</w:t>
            </w:r>
          </w:p>
        </w:tc>
      </w:tr>
      <w:tr>
        <w:tc>
          <w:tcPr>
            <w:tcW w:w="2272" w:type="dxa"/>
            <w:vAlign w:val="center"/>
          </w:tcPr>
          <w:p>
            <w:pPr>
              <w:spacing w:before="0" w:after="0"/>
              <w:jc w:val="left"/>
            </w:pPr>
            <w:r>
              <w:rPr>
                <w:sz w:val="18"/>
                <w:szCs w:val="18"/>
              </w:rPr>
              <w:t xml:space="preserve">Stores in Harborview (21 stores)</w:t>
            </w:r>
          </w:p>
        </w:tc>
        <w:tc>
          <w:tcPr>
            <w:tcW w:w="1400" w:type="dxa"/>
            <w:vAlign w:val="center"/>
          </w:tcPr>
          <w:p>
            <w:pPr>
              <w:spacing w:before="0" w:after="0"/>
              <w:jc w:val="left"/>
            </w:pPr>
            <w:r>
              <w:rPr>
                <w:sz w:val="18"/>
                <w:szCs w:val="18"/>
              </w:rPr>
              <w:t xml:space="preserve">Coffee shops</w:t>
            </w:r>
          </w:p>
        </w:tc>
        <w:tc>
          <w:tcPr>
            <w:tcW w:w="1300" w:type="dxa"/>
            <w:vAlign w:val="center"/>
          </w:tcPr>
          <w:p>
            <w:pPr>
              <w:spacing w:before="0" w:after="0"/>
              <w:jc w:val="right"/>
            </w:pPr>
            <w:r>
              <w:rPr>
                <w:sz w:val="18"/>
                <w:szCs w:val="18"/>
              </w:rPr>
              <w:t xml:space="preserve">3,800</w:t>
            </w:r>
          </w:p>
        </w:tc>
        <w:tc>
          <w:tcPr>
            <w:tcW w:w="1300" w:type="dxa"/>
            <w:vAlign w:val="center"/>
          </w:tcPr>
          <w:p>
            <w:pPr>
              <w:spacing w:before="0" w:after="0"/>
              <w:jc w:val="right"/>
            </w:pPr>
            <w:r>
              <w:rPr>
                <w:sz w:val="18"/>
                <w:szCs w:val="18"/>
              </w:rPr>
              <w:t xml:space="preserve">4,904</w:t>
            </w:r>
          </w:p>
        </w:tc>
        <w:tc>
          <w:tcPr>
            <w:tcW w:w="1500" w:type="dxa"/>
            <w:vAlign w:val="center"/>
          </w:tcPr>
          <w:p>
            <w:pPr>
              <w:spacing w:before="0" w:after="0"/>
              <w:jc w:val="right"/>
            </w:pPr>
            <w:r>
              <w:rPr>
                <w:sz w:val="18"/>
                <w:szCs w:val="18"/>
              </w:rPr>
              <w:t xml:space="preserve">6,435</w:t>
            </w:r>
          </w:p>
        </w:tc>
        <w:tc>
          <w:tcPr>
            <w:tcW w:w="1300" w:type="dxa"/>
            <w:vAlign w:val="center"/>
          </w:tcPr>
          <w:p>
            <w:pPr>
              <w:spacing w:before="0" w:after="0"/>
              <w:jc w:val="right"/>
            </w:pPr>
            <w:r>
              <w:rPr>
                <w:sz w:val="18"/>
                <w:szCs w:val="18"/>
              </w:rPr>
              <w:t xml:space="preserve">15,171</w:t>
            </w:r>
          </w:p>
        </w:tc>
      </w:tr>
    </w:tbl>
    <w:p>
      <w:pPr/>
    </w:p>
    <w:tbl>
      <w:tblPr>
        <w:tblW w:w="907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72" w:type="dxa"/>
          <w:right w:w="72" w:type="dxa"/>
        </w:tblCellMar>
      </w:tblPr>
      <w:tblGrid>
        <w:gridCol w:w="2672"/>
        <w:gridCol w:w="1800"/>
        <w:gridCol w:w="1500"/>
        <w:gridCol w:w="1300"/>
        <w:gridCol w:w="1800"/>
      </w:tblGrid>
      <w:tr>
        <w:trPr>
          <w:tblHeader/>
        </w:trPr>
        <w:tc>
          <w:tcPr>
            <w:tcW w:w="2672" w:type="dxa"/>
            <w:shd w:val="clear" w:color="auto" w:fill="DDEBF7"/>
            <w:vAlign w:val="center"/>
          </w:tcPr>
          <w:p>
            <w:pPr>
              <w:spacing w:before="0" w:after="0"/>
              <w:jc w:val="center"/>
            </w:pPr>
            <w:r>
              <w:rPr>
                <w:b/>
                <w:sz w:val="18"/>
                <w:szCs w:val="18"/>
              </w:rPr>
              <w:t xml:space="preserve">Region</w:t>
            </w:r>
          </w:p>
        </w:tc>
        <w:tc>
          <w:tcPr>
            <w:tcW w:w="1800" w:type="dxa"/>
            <w:shd w:val="clear" w:color="auto" w:fill="DDEBF7"/>
            <w:vAlign w:val="center"/>
          </w:tcPr>
          <w:p>
            <w:pPr>
              <w:spacing w:before="0" w:after="0"/>
              <w:jc w:val="center"/>
            </w:pPr>
            <w:r>
              <w:rPr>
                <w:b/>
                <w:sz w:val="18"/>
                <w:szCs w:val="18"/>
              </w:rPr>
              <w:t xml:space="preserve">Stores at beginning of year</w:t>
            </w:r>
          </w:p>
        </w:tc>
        <w:tc>
          <w:tcPr>
            <w:tcW w:w="1500" w:type="dxa"/>
            <w:shd w:val="clear" w:color="auto" w:fill="DDEBF7"/>
            <w:vAlign w:val="center"/>
          </w:tcPr>
          <w:p>
            <w:pPr>
              <w:spacing w:before="0" w:after="0"/>
              <w:jc w:val="center"/>
            </w:pPr>
            <w:r>
              <w:rPr>
                <w:b/>
                <w:sz w:val="18"/>
                <w:szCs w:val="18"/>
              </w:rPr>
              <w:t xml:space="preserve">Opened</w:t>
            </w:r>
          </w:p>
        </w:tc>
        <w:tc>
          <w:tcPr>
            <w:tcW w:w="1300" w:type="dxa"/>
            <w:shd w:val="clear" w:color="auto" w:fill="DDEBF7"/>
            <w:vAlign w:val="center"/>
          </w:tcPr>
          <w:p>
            <w:pPr>
              <w:spacing w:before="0" w:after="0"/>
              <w:jc w:val="center"/>
            </w:pPr>
            <w:r>
              <w:rPr>
                <w:b/>
                <w:sz w:val="18"/>
                <w:szCs w:val="18"/>
              </w:rPr>
              <w:t xml:space="preserve">Closed</w:t>
            </w:r>
          </w:p>
        </w:tc>
        <w:tc>
          <w:tcPr>
            <w:tcW w:w="1800" w:type="dxa"/>
            <w:shd w:val="clear" w:color="auto" w:fill="DDEBF7"/>
            <w:vAlign w:val="center"/>
          </w:tcPr>
          <w:p>
            <w:pPr>
              <w:spacing w:before="0" w:after="0"/>
              <w:jc w:val="center"/>
            </w:pPr>
            <w:r>
              <w:rPr>
                <w:b/>
                <w:sz w:val="18"/>
                <w:szCs w:val="18"/>
              </w:rPr>
              <w:t xml:space="preserve">Stores at end of year</w:t>
            </w:r>
          </w:p>
        </w:tc>
      </w:tr>
      <w:tr>
        <w:tc>
          <w:tcPr>
            <w:tcW w:w="2672" w:type="dxa"/>
            <w:vAlign w:val="center"/>
          </w:tcPr>
          <w:p>
            <w:pPr>
              <w:spacing w:before="0" w:after="0"/>
              <w:jc w:val="left"/>
            </w:pPr>
            <w:r>
              <w:rPr>
                <w:sz w:val="18"/>
                <w:szCs w:val="18"/>
              </w:rPr>
              <w:t xml:space="preserve">Northfield</w:t>
            </w:r>
          </w:p>
        </w:tc>
        <w:tc>
          <w:tcPr>
            <w:tcW w:w="1800" w:type="dxa"/>
            <w:vAlign w:val="center"/>
          </w:tcPr>
          <w:p>
            <w:pPr>
              <w:spacing w:before="0" w:after="0"/>
              <w:jc w:val="right"/>
            </w:pPr>
            <w:r>
              <w:rPr>
                <w:sz w:val="18"/>
                <w:szCs w:val="18"/>
              </w:rPr>
              <w:t xml:space="preserve">13</w:t>
            </w:r>
          </w:p>
        </w:tc>
        <w:tc>
          <w:tcPr>
            <w:tcW w:w="1500" w:type="dxa"/>
            <w:vAlign w:val="center"/>
          </w:tcPr>
          <w:p>
            <w:pPr>
              <w:spacing w:before="0" w:after="0"/>
              <w:jc w:val="right"/>
            </w:pPr>
            <w:r>
              <w:rPr>
                <w:sz w:val="18"/>
                <w:szCs w:val="18"/>
              </w:rPr>
              <w:t xml:space="preserve">4</w:t>
            </w:r>
          </w:p>
        </w:tc>
        <w:tc>
          <w:tcPr>
            <w:tcW w:w="1300" w:type="dxa"/>
            <w:vAlign w:val="center"/>
          </w:tcPr>
          <w:p>
            <w:pPr>
              <w:spacing w:before="0" w:after="0"/>
              <w:jc w:val="right"/>
            </w:pPr>
            <w:r>
              <w:rPr>
                <w:sz w:val="18"/>
                <w:szCs w:val="18"/>
              </w:rPr>
              <w:t xml:space="preserve">0</w:t>
            </w:r>
          </w:p>
        </w:tc>
        <w:tc>
          <w:tcPr>
            <w:tcW w:w="1800" w:type="dxa"/>
            <w:vAlign w:val="center"/>
          </w:tcPr>
          <w:p>
            <w:pPr>
              <w:spacing w:before="0" w:after="0"/>
              <w:jc w:val="right"/>
            </w:pPr>
            <w:r>
              <w:rPr>
                <w:sz w:val="18"/>
                <w:szCs w:val="18"/>
              </w:rPr>
              <w:t xml:space="preserve">17</w:t>
            </w:r>
          </w:p>
        </w:tc>
      </w:tr>
      <w:tr>
        <w:tc>
          <w:tcPr>
            <w:tcW w:w="2672" w:type="dxa"/>
            <w:vAlign w:val="center"/>
          </w:tcPr>
          <w:p>
            <w:pPr>
              <w:spacing w:before="0" w:after="0"/>
              <w:jc w:val="left"/>
            </w:pPr>
            <w:r>
              <w:rPr>
                <w:sz w:val="18"/>
                <w:szCs w:val="18"/>
              </w:rPr>
              <w:t xml:space="preserve">Eastbay</w:t>
            </w:r>
          </w:p>
        </w:tc>
        <w:tc>
          <w:tcPr>
            <w:tcW w:w="1800" w:type="dxa"/>
            <w:vAlign w:val="center"/>
          </w:tcPr>
          <w:p>
            <w:pPr>
              <w:spacing w:before="0" w:after="0"/>
              <w:jc w:val="right"/>
            </w:pPr>
            <w:r>
              <w:rPr>
                <w:sz w:val="18"/>
                <w:szCs w:val="18"/>
              </w:rPr>
              <w:t xml:space="preserve">20</w:t>
            </w:r>
          </w:p>
        </w:tc>
        <w:tc>
          <w:tcPr>
            <w:tcW w:w="1500" w:type="dxa"/>
            <w:vAlign w:val="center"/>
          </w:tcPr>
          <w:p>
            <w:pPr>
              <w:spacing w:before="0" w:after="0"/>
              <w:jc w:val="right"/>
            </w:pPr>
            <w:r>
              <w:rPr>
                <w:sz w:val="18"/>
                <w:szCs w:val="18"/>
              </w:rPr>
              <w:t xml:space="preserve">3</w:t>
            </w:r>
          </w:p>
        </w:tc>
        <w:tc>
          <w:tcPr>
            <w:tcW w:w="1300" w:type="dxa"/>
            <w:vAlign w:val="center"/>
          </w:tcPr>
          <w:p>
            <w:pPr>
              <w:spacing w:before="0" w:after="0"/>
              <w:jc w:val="right"/>
            </w:pPr>
            <w:r>
              <w:rPr>
                <w:sz w:val="18"/>
                <w:szCs w:val="18"/>
              </w:rPr>
              <w:t xml:space="preserve">1</w:t>
            </w:r>
          </w:p>
        </w:tc>
        <w:tc>
          <w:tcPr>
            <w:tcW w:w="1800" w:type="dxa"/>
            <w:vAlign w:val="center"/>
          </w:tcPr>
          <w:p>
            <w:pPr>
              <w:spacing w:before="0" w:after="0"/>
              <w:jc w:val="right"/>
            </w:pPr>
            <w:r>
              <w:rPr>
                <w:sz w:val="18"/>
                <w:szCs w:val="18"/>
              </w:rPr>
              <w:t xml:space="preserve">22</w:t>
            </w:r>
          </w:p>
        </w:tc>
      </w:tr>
      <w:tr>
        <w:tc>
          <w:tcPr>
            <w:tcW w:w="2672" w:type="dxa"/>
            <w:vAlign w:val="center"/>
          </w:tcPr>
          <w:p>
            <w:pPr>
              <w:spacing w:before="0" w:after="0"/>
              <w:jc w:val="left"/>
            </w:pPr>
            <w:r>
              <w:rPr>
                <w:sz w:val="18"/>
                <w:szCs w:val="18"/>
              </w:rPr>
              <w:t xml:space="preserve">Southport</w:t>
            </w:r>
          </w:p>
        </w:tc>
        <w:tc>
          <w:tcPr>
            <w:tcW w:w="1800" w:type="dxa"/>
            <w:vAlign w:val="center"/>
          </w:tcPr>
          <w:p>
            <w:pPr>
              <w:spacing w:before="0" w:after="0"/>
              <w:jc w:val="right"/>
            </w:pPr>
            <w:r>
              <w:rPr>
                <w:sz w:val="18"/>
                <w:szCs w:val="18"/>
              </w:rPr>
              <w:t xml:space="preserve">27</w:t>
            </w:r>
          </w:p>
        </w:tc>
        <w:tc>
          <w:tcPr>
            <w:tcW w:w="1500" w:type="dxa"/>
            <w:vAlign w:val="center"/>
          </w:tcPr>
          <w:p>
            <w:pPr>
              <w:spacing w:before="0" w:after="0"/>
              <w:jc w:val="right"/>
            </w:pPr>
            <w:r>
              <w:rPr>
                <w:sz w:val="18"/>
                <w:szCs w:val="18"/>
              </w:rPr>
              <w:t xml:space="preserve">0</w:t>
            </w:r>
          </w:p>
        </w:tc>
        <w:tc>
          <w:tcPr>
            <w:tcW w:w="1300" w:type="dxa"/>
            <w:vAlign w:val="center"/>
          </w:tcPr>
          <w:p>
            <w:pPr>
              <w:spacing w:before="0" w:after="0"/>
              <w:jc w:val="right"/>
            </w:pPr>
            <w:r>
              <w:rPr>
                <w:sz w:val="18"/>
                <w:szCs w:val="18"/>
              </w:rPr>
              <w:t xml:space="preserve">0</w:t>
            </w:r>
          </w:p>
        </w:tc>
        <w:tc>
          <w:tcPr>
            <w:tcW w:w="1800" w:type="dxa"/>
            <w:vAlign w:val="center"/>
          </w:tcPr>
          <w:p>
            <w:pPr>
              <w:spacing w:before="0" w:after="0"/>
              <w:jc w:val="right"/>
            </w:pPr>
            <w:r>
              <w:rPr>
                <w:sz w:val="18"/>
                <w:szCs w:val="18"/>
              </w:rPr>
              <w:t xml:space="preserve">27</w:t>
            </w:r>
          </w:p>
        </w:tc>
      </w:tr>
      <w:tr>
        <w:tc>
          <w:tcPr>
            <w:tcW w:w="2672" w:type="dxa"/>
            <w:vAlign w:val="center"/>
          </w:tcPr>
          <w:p>
            <w:pPr>
              <w:spacing w:before="0" w:after="0"/>
              <w:jc w:val="left"/>
            </w:pPr>
            <w:r>
              <w:rPr>
                <w:sz w:val="18"/>
                <w:szCs w:val="18"/>
              </w:rPr>
              <w:t xml:space="preserve">Westridge</w:t>
            </w:r>
          </w:p>
        </w:tc>
        <w:tc>
          <w:tcPr>
            <w:tcW w:w="1800" w:type="dxa"/>
            <w:vAlign w:val="center"/>
          </w:tcPr>
          <w:p>
            <w:pPr>
              <w:spacing w:before="0" w:after="0"/>
              <w:jc w:val="right"/>
            </w:pPr>
            <w:r>
              <w:rPr>
                <w:sz w:val="18"/>
                <w:szCs w:val="18"/>
              </w:rPr>
              <w:t xml:space="preserve">28</w:t>
            </w:r>
          </w:p>
        </w:tc>
        <w:tc>
          <w:tcPr>
            <w:tcW w:w="1500" w:type="dxa"/>
            <w:vAlign w:val="center"/>
          </w:tcPr>
          <w:p>
            <w:pPr>
              <w:spacing w:before="0" w:after="0"/>
              <w:jc w:val="right"/>
            </w:pPr>
            <w:r>
              <w:rPr>
                <w:sz w:val="18"/>
                <w:szCs w:val="18"/>
              </w:rPr>
              <w:t xml:space="preserve">3</w:t>
            </w:r>
          </w:p>
        </w:tc>
        <w:tc>
          <w:tcPr>
            <w:tcW w:w="1300" w:type="dxa"/>
            <w:vAlign w:val="center"/>
          </w:tcPr>
          <w:p>
            <w:pPr>
              <w:spacing w:before="0" w:after="0"/>
              <w:jc w:val="right"/>
            </w:pPr>
            <w:r>
              <w:rPr>
                <w:sz w:val="18"/>
                <w:szCs w:val="18"/>
              </w:rPr>
              <w:t xml:space="preserve">1</w:t>
            </w:r>
          </w:p>
        </w:tc>
        <w:tc>
          <w:tcPr>
            <w:tcW w:w="1800" w:type="dxa"/>
            <w:vAlign w:val="center"/>
          </w:tcPr>
          <w:p>
            <w:pPr>
              <w:spacing w:before="0" w:after="0"/>
              <w:jc w:val="right"/>
            </w:pPr>
            <w:r>
              <w:rPr>
                <w:sz w:val="18"/>
                <w:szCs w:val="18"/>
              </w:rPr>
              <w:t xml:space="preserve">30</w:t>
            </w:r>
          </w:p>
        </w:tc>
      </w:tr>
      <w:tr>
        <w:tc>
          <w:tcPr>
            <w:tcW w:w="2672" w:type="dxa"/>
            <w:vAlign w:val="center"/>
          </w:tcPr>
          <w:p>
            <w:pPr>
              <w:spacing w:before="0" w:after="0"/>
              <w:jc w:val="left"/>
            </w:pPr>
            <w:r>
              <w:rPr>
                <w:sz w:val="18"/>
                <w:szCs w:val="18"/>
              </w:rPr>
              <w:t xml:space="preserve">Lakeside</w:t>
            </w:r>
          </w:p>
        </w:tc>
        <w:tc>
          <w:tcPr>
            <w:tcW w:w="1800" w:type="dxa"/>
            <w:vAlign w:val="center"/>
          </w:tcPr>
          <w:p>
            <w:pPr>
              <w:spacing w:before="0" w:after="0"/>
              <w:jc w:val="right"/>
            </w:pPr>
            <w:r>
              <w:rPr>
                <w:sz w:val="18"/>
                <w:szCs w:val="18"/>
              </w:rPr>
              <w:t xml:space="preserve">28</w:t>
            </w:r>
          </w:p>
        </w:tc>
        <w:tc>
          <w:tcPr>
            <w:tcW w:w="1500" w:type="dxa"/>
            <w:vAlign w:val="center"/>
          </w:tcPr>
          <w:p>
            <w:pPr>
              <w:spacing w:before="0" w:after="0"/>
              <w:jc w:val="right"/>
            </w:pPr>
            <w:r>
              <w:rPr>
                <w:sz w:val="18"/>
                <w:szCs w:val="18"/>
              </w:rPr>
              <w:t xml:space="preserve">0</w:t>
            </w:r>
          </w:p>
        </w:tc>
        <w:tc>
          <w:tcPr>
            <w:tcW w:w="1300" w:type="dxa"/>
            <w:vAlign w:val="center"/>
          </w:tcPr>
          <w:p>
            <w:pPr>
              <w:spacing w:before="0" w:after="0"/>
              <w:jc w:val="right"/>
            </w:pPr>
            <w:r>
              <w:rPr>
                <w:sz w:val="18"/>
                <w:szCs w:val="18"/>
              </w:rPr>
              <w:t xml:space="preserve">1</w:t>
            </w:r>
          </w:p>
        </w:tc>
        <w:tc>
          <w:tcPr>
            <w:tcW w:w="1800" w:type="dxa"/>
            <w:vAlign w:val="center"/>
          </w:tcPr>
          <w:p>
            <w:pPr>
              <w:spacing w:before="0" w:after="0"/>
              <w:jc w:val="right"/>
            </w:pPr>
            <w:r>
              <w:rPr>
                <w:sz w:val="18"/>
                <w:szCs w:val="18"/>
              </w:rPr>
              <w:t xml:space="preserve">27</w:t>
            </w:r>
          </w:p>
        </w:tc>
      </w:tr>
      <w:tr>
        <w:tc>
          <w:tcPr>
            <w:tcW w:w="2672" w:type="dxa"/>
            <w:vAlign w:val="center"/>
          </w:tcPr>
          <w:p>
            <w:pPr>
              <w:spacing w:before="0" w:after="0"/>
              <w:jc w:val="left"/>
            </w:pPr>
            <w:r>
              <w:rPr>
                <w:sz w:val="18"/>
                <w:szCs w:val="18"/>
              </w:rPr>
              <w:t xml:space="preserve">Hillcrest</w:t>
            </w:r>
          </w:p>
        </w:tc>
        <w:tc>
          <w:tcPr>
            <w:tcW w:w="1800" w:type="dxa"/>
            <w:vAlign w:val="center"/>
          </w:tcPr>
          <w:p>
            <w:pPr>
              <w:spacing w:before="0" w:after="0"/>
              <w:jc w:val="right"/>
            </w:pPr>
            <w:r>
              <w:rPr>
                <w:sz w:val="18"/>
                <w:szCs w:val="18"/>
              </w:rPr>
              <w:t xml:space="preserve">15</w:t>
            </w:r>
          </w:p>
        </w:tc>
        <w:tc>
          <w:tcPr>
            <w:tcW w:w="1500" w:type="dxa"/>
            <w:vAlign w:val="center"/>
          </w:tcPr>
          <w:p>
            <w:pPr>
              <w:spacing w:before="0" w:after="0"/>
              <w:jc w:val="right"/>
            </w:pPr>
            <w:r>
              <w:rPr>
                <w:sz w:val="18"/>
                <w:szCs w:val="18"/>
              </w:rPr>
              <w:t xml:space="preserve">2</w:t>
            </w:r>
          </w:p>
        </w:tc>
        <w:tc>
          <w:tcPr>
            <w:tcW w:w="1300" w:type="dxa"/>
            <w:vAlign w:val="center"/>
          </w:tcPr>
          <w:p>
            <w:pPr>
              <w:spacing w:before="0" w:after="0"/>
              <w:jc w:val="right"/>
            </w:pPr>
            <w:r>
              <w:rPr>
                <w:sz w:val="18"/>
                <w:szCs w:val="18"/>
              </w:rPr>
              <w:t xml:space="preserve">0</w:t>
            </w:r>
          </w:p>
        </w:tc>
        <w:tc>
          <w:tcPr>
            <w:tcW w:w="1800" w:type="dxa"/>
            <w:vAlign w:val="center"/>
          </w:tcPr>
          <w:p>
            <w:pPr>
              <w:spacing w:before="0" w:after="0"/>
              <w:jc w:val="right"/>
            </w:pPr>
            <w:r>
              <w:rPr>
                <w:sz w:val="18"/>
                <w:szCs w:val="18"/>
              </w:rPr>
              <w:t xml:space="preserve">17</w:t>
            </w:r>
          </w:p>
        </w:tc>
      </w:tr>
      <w:tr>
        <w:tc>
          <w:tcPr>
            <w:tcW w:w="2672" w:type="dxa"/>
            <w:vAlign w:val="center"/>
          </w:tcPr>
          <w:p>
            <w:pPr>
              <w:spacing w:before="0" w:after="0"/>
              <w:jc w:val="left"/>
            </w:pPr>
            <w:r>
              <w:rPr>
                <w:sz w:val="18"/>
                <w:szCs w:val="18"/>
              </w:rPr>
              <w:t xml:space="preserve">Riverside</w:t>
            </w:r>
          </w:p>
        </w:tc>
        <w:tc>
          <w:tcPr>
            <w:tcW w:w="1800" w:type="dxa"/>
            <w:vAlign w:val="center"/>
          </w:tcPr>
          <w:p>
            <w:pPr>
              <w:spacing w:before="0" w:after="0"/>
              <w:jc w:val="right"/>
            </w:pPr>
            <w:r>
              <w:rPr>
                <w:sz w:val="18"/>
                <w:szCs w:val="18"/>
              </w:rPr>
              <w:t xml:space="preserve">15</w:t>
            </w:r>
          </w:p>
        </w:tc>
        <w:tc>
          <w:tcPr>
            <w:tcW w:w="1500" w:type="dxa"/>
            <w:vAlign w:val="center"/>
          </w:tcPr>
          <w:p>
            <w:pPr>
              <w:spacing w:before="0" w:after="0"/>
              <w:jc w:val="right"/>
            </w:pPr>
            <w:r>
              <w:rPr>
                <w:sz w:val="18"/>
                <w:szCs w:val="18"/>
              </w:rPr>
              <w:t xml:space="preserve">2</w:t>
            </w:r>
          </w:p>
        </w:tc>
        <w:tc>
          <w:tcPr>
            <w:tcW w:w="1300" w:type="dxa"/>
            <w:vAlign w:val="center"/>
          </w:tcPr>
          <w:p>
            <w:pPr>
              <w:spacing w:before="0" w:after="0"/>
              <w:jc w:val="right"/>
            </w:pPr>
            <w:r>
              <w:rPr>
                <w:sz w:val="18"/>
                <w:szCs w:val="18"/>
              </w:rPr>
              <w:t xml:space="preserve">1</w:t>
            </w:r>
          </w:p>
        </w:tc>
        <w:tc>
          <w:tcPr>
            <w:tcW w:w="1800" w:type="dxa"/>
            <w:vAlign w:val="center"/>
          </w:tcPr>
          <w:p>
            <w:pPr>
              <w:spacing w:before="0" w:after="0"/>
              <w:jc w:val="right"/>
            </w:pPr>
            <w:r>
              <w:rPr>
                <w:sz w:val="18"/>
                <w:szCs w:val="18"/>
              </w:rPr>
              <w:t xml:space="preserve">16</w:t>
            </w:r>
          </w:p>
        </w:tc>
      </w:tr>
      <w:tr>
        <w:tc>
          <w:tcPr>
            <w:tcW w:w="2672" w:type="dxa"/>
            <w:vAlign w:val="center"/>
          </w:tcPr>
          <w:p>
            <w:pPr>
              <w:spacing w:before="0" w:after="0"/>
              <w:jc w:val="left"/>
            </w:pPr>
            <w:r>
              <w:rPr>
                <w:sz w:val="18"/>
                <w:szCs w:val="18"/>
              </w:rPr>
              <w:t xml:space="preserve">Harborview</w:t>
            </w:r>
          </w:p>
        </w:tc>
        <w:tc>
          <w:tcPr>
            <w:tcW w:w="1800" w:type="dxa"/>
            <w:vAlign w:val="center"/>
          </w:tcPr>
          <w:p>
            <w:pPr>
              <w:spacing w:before="0" w:after="0"/>
              <w:jc w:val="right"/>
            </w:pPr>
            <w:r>
              <w:rPr>
                <w:sz w:val="18"/>
                <w:szCs w:val="18"/>
              </w:rPr>
              <w:t xml:space="preserve">29</w:t>
            </w:r>
          </w:p>
        </w:tc>
        <w:tc>
          <w:tcPr>
            <w:tcW w:w="1500" w:type="dxa"/>
            <w:vAlign w:val="center"/>
          </w:tcPr>
          <w:p>
            <w:pPr>
              <w:spacing w:before="0" w:after="0"/>
              <w:jc w:val="right"/>
            </w:pPr>
            <w:r>
              <w:rPr>
                <w:sz w:val="18"/>
                <w:szCs w:val="18"/>
              </w:rPr>
              <w:t xml:space="preserve">3</w:t>
            </w:r>
          </w:p>
        </w:tc>
        <w:tc>
          <w:tcPr>
            <w:tcW w:w="1300" w:type="dxa"/>
            <w:vAlign w:val="center"/>
          </w:tcPr>
          <w:p>
            <w:pPr>
              <w:spacing w:before="0" w:after="0"/>
              <w:jc w:val="right"/>
            </w:pPr>
            <w:r>
              <w:rPr>
                <w:sz w:val="18"/>
                <w:szCs w:val="18"/>
              </w:rPr>
              <w:t xml:space="preserve">1</w:t>
            </w:r>
          </w:p>
        </w:tc>
        <w:tc>
          <w:tcPr>
            <w:tcW w:w="1800" w:type="dxa"/>
            <w:vAlign w:val="center"/>
          </w:tcPr>
          <w:p>
            <w:pPr>
              <w:spacing w:before="0" w:after="0"/>
              <w:jc w:val="right"/>
            </w:pPr>
            <w:r>
              <w:rPr>
                <w:sz w:val="18"/>
                <w:szCs w:val="18"/>
              </w:rPr>
              <w:t xml:space="preserve">31</w:t>
            </w:r>
          </w:p>
        </w:tc>
      </w:tr>
    </w:tbl>
    <w:p>
      <w:pPr/>
    </w:p>
    <w:p>
      <w:pPr>
        <w:pStyle w:val="Heading3"/>
        <w:keepNext/>
      </w:pPr>
      <w:r>
        <w:t xml:space="preserve">2. Principal Properties</w:t>
      </w:r>
    </w:p>
    <w:p>
      <w:pPr>
        <w:ind w:left="0" w:firstLine="360"/>
      </w:pPr>
      <w:r>
        <w:t xml:space="preserve">Inventories consist of green coffee, roasted coffee, packaging, food and merchandise, and are stated at the lower of cost and net realizable value. The Company depends on a small number of dairy and bakery suppliers in each region, and an interruption in their deliveries could affect sales at the stores they serve. Occupancy costs increased to $12,977 thousand, reflecting rent for new stores and scheduled rent increases at existing locations. The price of green coffee is volatile, and a sustained increase could reduce gross margin if the Company is unable to pass the cost on to customers through menu prices. Occupancy costs increased to $15,717 thousand, reflecting rent for new stores and scheduled rent increases at existing locations.</w:t>
      </w:r>
    </w:p>
    <w:p>
      <w:pPr>
        <w:ind w:left="0" w:firstLine="360"/>
      </w:pPr>
      <w:r>
        <w:t xml:space="preserve">Revenue from the Beans category increased 15.2% compared with the prior year, while its share of total revenue was little changed. These forward-looking statements are based on information available as of the date of this statement, and actual results may differ materially because of many factors. Nimbus Coffee intends to pay dividends out of retained earnings while keeping sufficient funds to finance the opening of new stores. Net cash provided by operating activities was $110,234 thousand, mainly reflecting net income and depreciation and amortization.</w:t>
      </w:r>
    </w:p>
    <w:p>
      <w:pPr>
        <w:ind w:left="0" w:firstLine="360"/>
      </w:pPr>
      <w:r>
        <w:t xml:space="preserve">New stores generally reach the sales level of a mature store within eighteen to twenty-four months of opening. Nimbus Coffee depends on a small number of dairy and bakery suppliers in each region, and an interruption in their deliveries could affect sales at the stores they serve. Labor costs are affected by minimum wage laws in the regions where the stores are located, and further increases could reduce store margins. Comparable store sales increased 5.9%, driven by a 1.3% increase in average ticket and a 0.6% increase in transactions. Baristas complete a four-week training course before working on the floor, and store managers complete a further course at the Northfield training center. The Group intends to pay dividends out of retained earnings while keeping sufficient funds to finance the opening of new stores.</w:t>
      </w:r>
    </w:p>
    <w:tbl>
      <w:tblPr>
        <w:tblW w:w="907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72" w:type="dxa"/>
          <w:right w:w="72" w:type="dxa"/>
        </w:tblCellMar>
      </w:tblPr>
      <w:tblGrid>
        <w:gridCol w:w="2272"/>
        <w:gridCol w:w="1400"/>
        <w:gridCol w:w="1300"/>
        <w:gridCol w:w="1300"/>
        <w:gridCol w:w="1500"/>
        <w:gridCol w:w="1300"/>
      </w:tblGrid>
      <w:tr>
        <w:trPr>
          <w:tblHeader/>
        </w:trPr>
        <w:tc>
          <w:tcPr>
            <w:tcW w:w="2272" w:type="dxa"/>
            <w:shd w:val="clear" w:color="auto" w:fill="DDEBF7"/>
            <w:vAlign w:val="center"/>
          </w:tcPr>
          <w:p>
            <w:pPr>
              <w:spacing w:before="0" w:after="0"/>
              <w:jc w:val="center"/>
            </w:pPr>
            <w:r>
              <w:rPr>
                <w:b/>
                <w:sz w:val="18"/>
                <w:szCs w:val="18"/>
              </w:rPr>
              <w:t xml:space="preserve">Location</w:t>
            </w:r>
          </w:p>
        </w:tc>
        <w:tc>
          <w:tcPr>
            <w:tcW w:w="1400" w:type="dxa"/>
            <w:shd w:val="clear" w:color="auto" w:fill="DDEBF7"/>
            <w:vAlign w:val="center"/>
          </w:tcPr>
          <w:p>
            <w:pPr>
              <w:spacing w:before="0" w:after="0"/>
              <w:jc w:val="center"/>
            </w:pPr>
            <w:r>
              <w:rPr>
                <w:b/>
                <w:sz w:val="18"/>
                <w:szCs w:val="18"/>
              </w:rPr>
              <w:t xml:space="preserve">Use</w:t>
            </w:r>
          </w:p>
        </w:tc>
        <w:tc>
          <w:tcPr>
            <w:tcW w:w="1300" w:type="dxa"/>
            <w:shd w:val="clear" w:color="auto" w:fill="DDEBF7"/>
            <w:vAlign w:val="center"/>
          </w:tcPr>
          <w:p>
            <w:pPr>
              <w:spacing w:before="0" w:after="0"/>
              <w:jc w:val="center"/>
            </w:pPr>
            <w:r>
              <w:rPr>
                <w:b/>
                <w:sz w:val="18"/>
                <w:szCs w:val="18"/>
              </w:rPr>
              <w:t xml:space="preserve">Buildings (USD thousands)</w:t>
            </w:r>
          </w:p>
        </w:tc>
        <w:tc>
          <w:tcPr>
            <w:tcW w:w="1300" w:type="dxa"/>
            <w:shd w:val="clear" w:color="auto" w:fill="DDEBF7"/>
            <w:vAlign w:val="center"/>
          </w:tcPr>
          <w:p>
            <w:pPr>
              <w:spacing w:before="0" w:after="0"/>
              <w:jc w:val="center"/>
            </w:pPr>
            <w:r>
              <w:rPr>
                <w:b/>
                <w:sz w:val="18"/>
                <w:szCs w:val="18"/>
              </w:rPr>
              <w:t xml:space="preserve">Equipment (USD thousands)</w:t>
            </w:r>
          </w:p>
        </w:tc>
        <w:tc>
          <w:tcPr>
            <w:tcW w:w="1500" w:type="dxa"/>
            <w:shd w:val="clear" w:color="auto" w:fill="DDEBF7"/>
            <w:vAlign w:val="center"/>
          </w:tcPr>
          <w:p>
            <w:pPr>
              <w:spacing w:before="0" w:after="0"/>
              <w:jc w:val="center"/>
            </w:pPr>
            <w:r>
              <w:rPr>
                <w:b/>
                <w:sz w:val="18"/>
                <w:szCs w:val="18"/>
              </w:rPr>
              <w:t xml:space="preserve">Leasehold improvements (USD thousands)</w:t>
            </w:r>
          </w:p>
        </w:tc>
        <w:tc>
          <w:tcPr>
            <w:tcW w:w="1300" w:type="dxa"/>
            <w:shd w:val="clear" w:color="auto" w:fill="DDEBF7"/>
            <w:vAlign w:val="center"/>
          </w:tcPr>
          <w:p>
            <w:pPr>
              <w:spacing w:before="0" w:after="0"/>
              <w:jc w:val="center"/>
            </w:pPr>
            <w:r>
              <w:rPr>
                <w:b/>
                <w:sz w:val="18"/>
                <w:szCs w:val="18"/>
              </w:rPr>
              <w:t xml:space="preserve">Total (USD thousands)</w:t>
            </w:r>
          </w:p>
        </w:tc>
      </w:tr>
      <w:tr>
        <w:tc>
          <w:tcPr>
            <w:tcW w:w="2272" w:type="dxa"/>
            <w:vAlign w:val="center"/>
          </w:tcPr>
          <w:p>
            <w:pPr>
              <w:spacing w:before="0" w:after="0"/>
              <w:jc w:val="left"/>
            </w:pPr>
            <w:r>
              <w:rPr>
                <w:sz w:val="18"/>
                <w:szCs w:val="18"/>
              </w:rPr>
              <w:t xml:space="preserve">Headquarters (Northfield)</w:t>
            </w:r>
          </w:p>
        </w:tc>
        <w:tc>
          <w:tcPr>
            <w:tcW w:w="1400" w:type="dxa"/>
            <w:vAlign w:val="center"/>
          </w:tcPr>
          <w:p>
            <w:pPr>
              <w:spacing w:before="0" w:after="0"/>
              <w:jc w:val="left"/>
            </w:pPr>
            <w:r>
              <w:rPr>
                <w:sz w:val="18"/>
                <w:szCs w:val="18"/>
              </w:rPr>
              <w:t xml:space="preserve">Offices</w:t>
            </w:r>
          </w:p>
        </w:tc>
        <w:tc>
          <w:tcPr>
            <w:tcW w:w="1300" w:type="dxa"/>
            <w:vAlign w:val="center"/>
          </w:tcPr>
          <w:p>
            <w:pPr>
              <w:spacing w:before="0" w:after="0"/>
              <w:jc w:val="right"/>
            </w:pPr>
            <w:r>
              <w:rPr>
                <w:sz w:val="18"/>
                <w:szCs w:val="18"/>
              </w:rPr>
              <w:t xml:space="preserve">3,766</w:t>
            </w:r>
          </w:p>
        </w:tc>
        <w:tc>
          <w:tcPr>
            <w:tcW w:w="1300" w:type="dxa"/>
            <w:vAlign w:val="center"/>
          </w:tcPr>
          <w:p>
            <w:pPr>
              <w:spacing w:before="0" w:after="0"/>
              <w:jc w:val="right"/>
            </w:pPr>
            <w:r>
              <w:rPr>
                <w:sz w:val="18"/>
                <w:szCs w:val="18"/>
              </w:rPr>
              <w:t xml:space="preserve">4,914</w:t>
            </w:r>
          </w:p>
        </w:tc>
        <w:tc>
          <w:tcPr>
            <w:tcW w:w="1500" w:type="dxa"/>
            <w:vAlign w:val="center"/>
          </w:tcPr>
          <w:p>
            <w:pPr>
              <w:spacing w:before="0" w:after="0"/>
              <w:jc w:val="right"/>
            </w:pPr>
            <w:r>
              <w:rPr>
                <w:sz w:val="18"/>
                <w:szCs w:val="18"/>
              </w:rPr>
              <w:t xml:space="preserve">6,583</w:t>
            </w:r>
          </w:p>
        </w:tc>
        <w:tc>
          <w:tcPr>
            <w:tcW w:w="1300" w:type="dxa"/>
            <w:vAlign w:val="center"/>
          </w:tcPr>
          <w:p>
            <w:pPr>
              <w:spacing w:before="0" w:after="0"/>
              <w:jc w:val="right"/>
            </w:pPr>
            <w:r>
              <w:rPr>
                <w:sz w:val="18"/>
                <w:szCs w:val="18"/>
              </w:rPr>
              <w:t xml:space="preserve">15,886</w:t>
            </w:r>
          </w:p>
        </w:tc>
      </w:tr>
      <w:tr>
        <w:tc>
          <w:tcPr>
            <w:tcW w:w="2272" w:type="dxa"/>
            <w:vAlign w:val="center"/>
          </w:tcPr>
          <w:p>
            <w:pPr>
              <w:spacing w:before="0" w:after="0"/>
              <w:jc w:val="left"/>
            </w:pPr>
            <w:r>
              <w:rPr>
                <w:sz w:val="18"/>
                <w:szCs w:val="18"/>
              </w:rPr>
              <w:t xml:space="preserve">Northfield roastery</w:t>
            </w:r>
          </w:p>
        </w:tc>
        <w:tc>
          <w:tcPr>
            <w:tcW w:w="1400" w:type="dxa"/>
            <w:vAlign w:val="center"/>
          </w:tcPr>
          <w:p>
            <w:pPr>
              <w:spacing w:before="0" w:after="0"/>
              <w:jc w:val="left"/>
            </w:pPr>
            <w:r>
              <w:rPr>
                <w:sz w:val="18"/>
                <w:szCs w:val="18"/>
              </w:rPr>
              <w:t xml:space="preserve">Roasting and training</w:t>
            </w:r>
          </w:p>
        </w:tc>
        <w:tc>
          <w:tcPr>
            <w:tcW w:w="1300" w:type="dxa"/>
            <w:vAlign w:val="center"/>
          </w:tcPr>
          <w:p>
            <w:pPr>
              <w:spacing w:before="0" w:after="0"/>
              <w:jc w:val="right"/>
            </w:pPr>
            <w:r>
              <w:rPr>
                <w:sz w:val="18"/>
                <w:szCs w:val="18"/>
              </w:rPr>
              <w:t xml:space="preserve">3,607</w:t>
            </w:r>
          </w:p>
        </w:tc>
        <w:tc>
          <w:tcPr>
            <w:tcW w:w="1300" w:type="dxa"/>
            <w:vAlign w:val="center"/>
          </w:tcPr>
          <w:p>
            <w:pPr>
              <w:spacing w:before="0" w:after="0"/>
              <w:jc w:val="right"/>
            </w:pPr>
            <w:r>
              <w:rPr>
                <w:sz w:val="18"/>
                <w:szCs w:val="18"/>
              </w:rPr>
              <w:t xml:space="preserve">5,616</w:t>
            </w:r>
          </w:p>
        </w:tc>
        <w:tc>
          <w:tcPr>
            <w:tcW w:w="1500" w:type="dxa"/>
            <w:vAlign w:val="center"/>
          </w:tcPr>
          <w:p>
            <w:pPr>
              <w:spacing w:before="0" w:after="0"/>
              <w:jc w:val="right"/>
            </w:pPr>
            <w:r>
              <w:rPr>
                <w:sz w:val="18"/>
                <w:szCs w:val="18"/>
              </w:rPr>
              <w:t xml:space="preserve">6,309</w:t>
            </w:r>
          </w:p>
        </w:tc>
        <w:tc>
          <w:tcPr>
            <w:tcW w:w="1300" w:type="dxa"/>
            <w:vAlign w:val="center"/>
          </w:tcPr>
          <w:p>
            <w:pPr>
              <w:spacing w:before="0" w:after="0"/>
              <w:jc w:val="right"/>
            </w:pPr>
            <w:r>
              <w:rPr>
                <w:sz w:val="18"/>
                <w:szCs w:val="18"/>
              </w:rPr>
              <w:t xml:space="preserve">14,378</w:t>
            </w:r>
          </w:p>
        </w:tc>
      </w:tr>
      <w:tr>
        <w:tc>
          <w:tcPr>
            <w:tcW w:w="2272" w:type="dxa"/>
            <w:vAlign w:val="center"/>
          </w:tcPr>
          <w:p>
            <w:pPr>
              <w:spacing w:before="0" w:after="0"/>
              <w:jc w:val="left"/>
            </w:pPr>
            <w:r>
              <w:rPr>
                <w:sz w:val="18"/>
                <w:szCs w:val="18"/>
              </w:rPr>
              <w:t xml:space="preserve">Eastbay distribution center</w:t>
            </w:r>
          </w:p>
        </w:tc>
        <w:tc>
          <w:tcPr>
            <w:tcW w:w="1400" w:type="dxa"/>
            <w:vAlign w:val="center"/>
          </w:tcPr>
          <w:p>
            <w:pPr>
              <w:spacing w:before="0" w:after="0"/>
              <w:jc w:val="left"/>
            </w:pPr>
            <w:r>
              <w:rPr>
                <w:sz w:val="18"/>
                <w:szCs w:val="18"/>
              </w:rPr>
              <w:t xml:space="preserve">Warehouse</w:t>
            </w:r>
          </w:p>
        </w:tc>
        <w:tc>
          <w:tcPr>
            <w:tcW w:w="1300" w:type="dxa"/>
            <w:vAlign w:val="center"/>
          </w:tcPr>
          <w:p>
            <w:pPr>
              <w:spacing w:before="0" w:after="0"/>
              <w:jc w:val="right"/>
            </w:pPr>
            <w:r>
              <w:rPr>
                <w:sz w:val="18"/>
                <w:szCs w:val="18"/>
              </w:rPr>
              <w:t xml:space="preserve">3,943</w:t>
            </w:r>
          </w:p>
        </w:tc>
        <w:tc>
          <w:tcPr>
            <w:tcW w:w="1300" w:type="dxa"/>
            <w:vAlign w:val="center"/>
          </w:tcPr>
          <w:p>
            <w:pPr>
              <w:spacing w:before="0" w:after="0"/>
              <w:jc w:val="right"/>
            </w:pPr>
            <w:r>
              <w:rPr>
                <w:sz w:val="18"/>
                <w:szCs w:val="18"/>
              </w:rPr>
              <w:t xml:space="preserve">5,186</w:t>
            </w:r>
          </w:p>
        </w:tc>
        <w:tc>
          <w:tcPr>
            <w:tcW w:w="1500" w:type="dxa"/>
            <w:vAlign w:val="center"/>
          </w:tcPr>
          <w:p>
            <w:pPr>
              <w:spacing w:before="0" w:after="0"/>
              <w:jc w:val="right"/>
            </w:pPr>
            <w:r>
              <w:rPr>
                <w:sz w:val="18"/>
                <w:szCs w:val="18"/>
              </w:rPr>
              <w:t xml:space="preserve">6,517</w:t>
            </w:r>
          </w:p>
        </w:tc>
        <w:tc>
          <w:tcPr>
            <w:tcW w:w="1300" w:type="dxa"/>
            <w:vAlign w:val="center"/>
          </w:tcPr>
          <w:p>
            <w:pPr>
              <w:spacing w:before="0" w:after="0"/>
              <w:jc w:val="right"/>
            </w:pPr>
            <w:r>
              <w:rPr>
                <w:sz w:val="18"/>
                <w:szCs w:val="18"/>
              </w:rPr>
              <w:t xml:space="preserve">15,169</w:t>
            </w:r>
          </w:p>
        </w:tc>
      </w:tr>
      <w:tr>
        <w:tc>
          <w:tcPr>
            <w:tcW w:w="2272" w:type="dxa"/>
            <w:vAlign w:val="center"/>
          </w:tcPr>
          <w:p>
            <w:pPr>
              <w:spacing w:before="0" w:after="0"/>
              <w:jc w:val="left"/>
            </w:pPr>
            <w:r>
              <w:rPr>
                <w:sz w:val="18"/>
                <w:szCs w:val="18"/>
              </w:rPr>
              <w:t xml:space="preserve">Stores in Northfield (13 stores)</w:t>
            </w:r>
          </w:p>
        </w:tc>
        <w:tc>
          <w:tcPr>
            <w:tcW w:w="1400" w:type="dxa"/>
            <w:vAlign w:val="center"/>
          </w:tcPr>
          <w:p>
            <w:pPr>
              <w:spacing w:before="0" w:after="0"/>
              <w:jc w:val="left"/>
            </w:pPr>
            <w:r>
              <w:rPr>
                <w:sz w:val="18"/>
                <w:szCs w:val="18"/>
              </w:rPr>
              <w:t xml:space="preserve">Coffee shops</w:t>
            </w:r>
          </w:p>
        </w:tc>
        <w:tc>
          <w:tcPr>
            <w:tcW w:w="1300" w:type="dxa"/>
            <w:vAlign w:val="center"/>
          </w:tcPr>
          <w:p>
            <w:pPr>
              <w:spacing w:before="0" w:after="0"/>
              <w:jc w:val="right"/>
            </w:pPr>
            <w:r>
              <w:rPr>
                <w:sz w:val="18"/>
                <w:szCs w:val="18"/>
              </w:rPr>
              <w:t xml:space="preserve">3,649</w:t>
            </w:r>
          </w:p>
        </w:tc>
        <w:tc>
          <w:tcPr>
            <w:tcW w:w="1300" w:type="dxa"/>
            <w:vAlign w:val="center"/>
          </w:tcPr>
          <w:p>
            <w:pPr>
              <w:spacing w:before="0" w:after="0"/>
              <w:jc w:val="right"/>
            </w:pPr>
            <w:r>
              <w:rPr>
                <w:sz w:val="18"/>
                <w:szCs w:val="18"/>
              </w:rPr>
              <w:t xml:space="preserve">5,081</w:t>
            </w:r>
          </w:p>
        </w:tc>
        <w:tc>
          <w:tcPr>
            <w:tcW w:w="1500" w:type="dxa"/>
            <w:vAlign w:val="center"/>
          </w:tcPr>
          <w:p>
            <w:pPr>
              <w:spacing w:before="0" w:after="0"/>
              <w:jc w:val="right"/>
            </w:pPr>
            <w:r>
              <w:rPr>
                <w:sz w:val="18"/>
                <w:szCs w:val="18"/>
              </w:rPr>
              <w:t xml:space="preserve">6,371</w:t>
            </w:r>
          </w:p>
        </w:tc>
        <w:tc>
          <w:tcPr>
            <w:tcW w:w="1300" w:type="dxa"/>
            <w:vAlign w:val="center"/>
          </w:tcPr>
          <w:p>
            <w:pPr>
              <w:spacing w:before="0" w:after="0"/>
              <w:jc w:val="right"/>
            </w:pPr>
            <w:r>
              <w:rPr>
                <w:sz w:val="18"/>
                <w:szCs w:val="18"/>
              </w:rPr>
              <w:t xml:space="preserve">16,032</w:t>
            </w:r>
          </w:p>
        </w:tc>
      </w:tr>
      <w:tr>
        <w:tc>
          <w:tcPr>
            <w:tcW w:w="2272" w:type="dxa"/>
            <w:vAlign w:val="center"/>
          </w:tcPr>
          <w:p>
            <w:pPr>
              <w:spacing w:before="0" w:after="0"/>
              <w:jc w:val="left"/>
            </w:pPr>
            <w:r>
              <w:rPr>
                <w:sz w:val="18"/>
                <w:szCs w:val="18"/>
              </w:rPr>
              <w:t xml:space="preserve">Stores in Eastbay (22 stores)</w:t>
            </w:r>
          </w:p>
        </w:tc>
        <w:tc>
          <w:tcPr>
            <w:tcW w:w="1400" w:type="dxa"/>
            <w:vAlign w:val="center"/>
          </w:tcPr>
          <w:p>
            <w:pPr>
              <w:spacing w:before="0" w:after="0"/>
              <w:jc w:val="left"/>
            </w:pPr>
            <w:r>
              <w:rPr>
                <w:sz w:val="18"/>
                <w:szCs w:val="18"/>
              </w:rPr>
              <w:t xml:space="preserve">Coffee shops</w:t>
            </w:r>
          </w:p>
        </w:tc>
        <w:tc>
          <w:tcPr>
            <w:tcW w:w="1300" w:type="dxa"/>
            <w:vAlign w:val="center"/>
          </w:tcPr>
          <w:p>
            <w:pPr>
              <w:spacing w:before="0" w:after="0"/>
              <w:jc w:val="right"/>
            </w:pPr>
            <w:r>
              <w:rPr>
                <w:sz w:val="18"/>
                <w:szCs w:val="18"/>
              </w:rPr>
              <w:t xml:space="preserve">3,626</w:t>
            </w:r>
          </w:p>
        </w:tc>
        <w:tc>
          <w:tcPr>
            <w:tcW w:w="1300" w:type="dxa"/>
            <w:vAlign w:val="center"/>
          </w:tcPr>
          <w:p>
            <w:pPr>
              <w:spacing w:before="0" w:after="0"/>
              <w:jc w:val="right"/>
            </w:pPr>
            <w:r>
              <w:rPr>
                <w:sz w:val="18"/>
                <w:szCs w:val="18"/>
              </w:rPr>
              <w:t xml:space="preserve">5,042</w:t>
            </w:r>
          </w:p>
        </w:tc>
        <w:tc>
          <w:tcPr>
            <w:tcW w:w="1500" w:type="dxa"/>
            <w:vAlign w:val="center"/>
          </w:tcPr>
          <w:p>
            <w:pPr>
              <w:spacing w:before="0" w:after="0"/>
              <w:jc w:val="right"/>
            </w:pPr>
            <w:r>
              <w:rPr>
                <w:sz w:val="18"/>
                <w:szCs w:val="18"/>
              </w:rPr>
              <w:t xml:space="preserve">6,162</w:t>
            </w:r>
          </w:p>
        </w:tc>
        <w:tc>
          <w:tcPr>
            <w:tcW w:w="1300" w:type="dxa"/>
            <w:vAlign w:val="center"/>
          </w:tcPr>
          <w:p>
            <w:pPr>
              <w:spacing w:before="0" w:after="0"/>
              <w:jc w:val="right"/>
            </w:pPr>
            <w:r>
              <w:rPr>
                <w:sz w:val="18"/>
                <w:szCs w:val="18"/>
              </w:rPr>
              <w:t xml:space="preserve">15,168</w:t>
            </w:r>
          </w:p>
        </w:tc>
      </w:tr>
      <w:tr>
        <w:tc>
          <w:tcPr>
            <w:tcW w:w="2272" w:type="dxa"/>
            <w:vAlign w:val="center"/>
          </w:tcPr>
          <w:p>
            <w:pPr>
              <w:spacing w:before="0" w:after="0"/>
              <w:jc w:val="left"/>
            </w:pPr>
            <w:r>
              <w:rPr>
                <w:sz w:val="18"/>
                <w:szCs w:val="18"/>
              </w:rPr>
              <w:t xml:space="preserve">Stores in Southport (28 stores)</w:t>
            </w:r>
          </w:p>
        </w:tc>
        <w:tc>
          <w:tcPr>
            <w:tcW w:w="1400" w:type="dxa"/>
            <w:vAlign w:val="center"/>
          </w:tcPr>
          <w:p>
            <w:pPr>
              <w:spacing w:before="0" w:after="0"/>
              <w:jc w:val="left"/>
            </w:pPr>
            <w:r>
              <w:rPr>
                <w:sz w:val="18"/>
                <w:szCs w:val="18"/>
              </w:rPr>
              <w:t xml:space="preserve">Coffee shops</w:t>
            </w:r>
          </w:p>
        </w:tc>
        <w:tc>
          <w:tcPr>
            <w:tcW w:w="1300" w:type="dxa"/>
            <w:vAlign w:val="center"/>
          </w:tcPr>
          <w:p>
            <w:pPr>
              <w:spacing w:before="0" w:after="0"/>
              <w:jc w:val="right"/>
            </w:pPr>
            <w:r>
              <w:rPr>
                <w:sz w:val="18"/>
                <w:szCs w:val="18"/>
              </w:rPr>
              <w:t xml:space="preserve">3,616</w:t>
            </w:r>
          </w:p>
        </w:tc>
        <w:tc>
          <w:tcPr>
            <w:tcW w:w="1300" w:type="dxa"/>
            <w:vAlign w:val="center"/>
          </w:tcPr>
          <w:p>
            <w:pPr>
              <w:spacing w:before="0" w:after="0"/>
              <w:jc w:val="right"/>
            </w:pPr>
            <w:r>
              <w:rPr>
                <w:sz w:val="18"/>
                <w:szCs w:val="18"/>
              </w:rPr>
              <w:t xml:space="preserve">5,163</w:t>
            </w:r>
          </w:p>
        </w:tc>
        <w:tc>
          <w:tcPr>
            <w:tcW w:w="1500" w:type="dxa"/>
            <w:vAlign w:val="center"/>
          </w:tcPr>
          <w:p>
            <w:pPr>
              <w:spacing w:before="0" w:after="0"/>
              <w:jc w:val="right"/>
            </w:pPr>
            <w:r>
              <w:rPr>
                <w:sz w:val="18"/>
                <w:szCs w:val="18"/>
              </w:rPr>
              <w:t xml:space="preserve">6,590</w:t>
            </w:r>
          </w:p>
        </w:tc>
        <w:tc>
          <w:tcPr>
            <w:tcW w:w="1300" w:type="dxa"/>
            <w:vAlign w:val="center"/>
          </w:tcPr>
          <w:p>
            <w:pPr>
              <w:spacing w:before="0" w:after="0"/>
              <w:jc w:val="right"/>
            </w:pPr>
            <w:r>
              <w:rPr>
                <w:sz w:val="18"/>
                <w:szCs w:val="18"/>
              </w:rPr>
              <w:t xml:space="preserve">15,236</w:t>
            </w:r>
          </w:p>
        </w:tc>
      </w:tr>
      <w:tr>
        <w:tc>
          <w:tcPr>
            <w:tcW w:w="2272" w:type="dxa"/>
            <w:vAlign w:val="center"/>
          </w:tcPr>
          <w:p>
            <w:pPr>
              <w:spacing w:before="0" w:after="0"/>
              <w:jc w:val="left"/>
            </w:pPr>
            <w:r>
              <w:rPr>
                <w:sz w:val="18"/>
                <w:szCs w:val="18"/>
              </w:rPr>
              <w:t xml:space="preserve">Stores in Westridge (24 stores)</w:t>
            </w:r>
          </w:p>
        </w:tc>
        <w:tc>
          <w:tcPr>
            <w:tcW w:w="1400" w:type="dxa"/>
            <w:vAlign w:val="center"/>
          </w:tcPr>
          <w:p>
            <w:pPr>
              <w:spacing w:before="0" w:after="0"/>
              <w:jc w:val="left"/>
            </w:pPr>
            <w:r>
              <w:rPr>
                <w:sz w:val="18"/>
                <w:szCs w:val="18"/>
              </w:rPr>
              <w:t xml:space="preserve">Coffee shops</w:t>
            </w:r>
          </w:p>
        </w:tc>
        <w:tc>
          <w:tcPr>
            <w:tcW w:w="1300" w:type="dxa"/>
            <w:vAlign w:val="center"/>
          </w:tcPr>
          <w:p>
            <w:pPr>
              <w:spacing w:before="0" w:after="0"/>
              <w:jc w:val="right"/>
            </w:pPr>
            <w:r>
              <w:rPr>
                <w:sz w:val="18"/>
                <w:szCs w:val="18"/>
              </w:rPr>
              <w:t xml:space="preserve">3,736</w:t>
            </w:r>
          </w:p>
        </w:tc>
        <w:tc>
          <w:tcPr>
            <w:tcW w:w="1300" w:type="dxa"/>
            <w:vAlign w:val="center"/>
          </w:tcPr>
          <w:p>
            <w:pPr>
              <w:spacing w:before="0" w:after="0"/>
              <w:jc w:val="right"/>
            </w:pPr>
            <w:r>
              <w:rPr>
                <w:sz w:val="18"/>
                <w:szCs w:val="18"/>
              </w:rPr>
              <w:t xml:space="preserve">5,232</w:t>
            </w:r>
          </w:p>
        </w:tc>
        <w:tc>
          <w:tcPr>
            <w:tcW w:w="1500" w:type="dxa"/>
            <w:vAlign w:val="center"/>
          </w:tcPr>
          <w:p>
            <w:pPr>
              <w:spacing w:before="0" w:after="0"/>
              <w:jc w:val="right"/>
            </w:pPr>
            <w:r>
              <w:rPr>
                <w:sz w:val="18"/>
                <w:szCs w:val="18"/>
              </w:rPr>
              <w:t xml:space="preserve">6,077</w:t>
            </w:r>
          </w:p>
        </w:tc>
        <w:tc>
          <w:tcPr>
            <w:tcW w:w="1300" w:type="dxa"/>
            <w:vAlign w:val="center"/>
          </w:tcPr>
          <w:p>
            <w:pPr>
              <w:spacing w:before="0" w:after="0"/>
              <w:jc w:val="right"/>
            </w:pPr>
            <w:r>
              <w:rPr>
                <w:sz w:val="18"/>
                <w:szCs w:val="18"/>
              </w:rPr>
              <w:t xml:space="preserve">16,612</w:t>
            </w:r>
          </w:p>
        </w:tc>
      </w:tr>
      <w:tr>
        <w:tc>
          <w:tcPr>
            <w:tcW w:w="2272" w:type="dxa"/>
            <w:vAlign w:val="center"/>
          </w:tcPr>
          <w:p>
            <w:pPr>
              <w:spacing w:before="0" w:after="0"/>
              <w:jc w:val="left"/>
            </w:pPr>
            <w:r>
              <w:rPr>
                <w:sz w:val="18"/>
                <w:szCs w:val="18"/>
              </w:rPr>
              <w:t xml:space="preserve">Stores in Lakeside (17 stores)</w:t>
            </w:r>
          </w:p>
        </w:tc>
        <w:tc>
          <w:tcPr>
            <w:tcW w:w="1400" w:type="dxa"/>
            <w:vAlign w:val="center"/>
          </w:tcPr>
          <w:p>
            <w:pPr>
              <w:spacing w:before="0" w:after="0"/>
              <w:jc w:val="left"/>
            </w:pPr>
            <w:r>
              <w:rPr>
                <w:sz w:val="18"/>
                <w:szCs w:val="18"/>
              </w:rPr>
              <w:t xml:space="preserve">Coffee shops</w:t>
            </w:r>
          </w:p>
        </w:tc>
        <w:tc>
          <w:tcPr>
            <w:tcW w:w="1300" w:type="dxa"/>
            <w:vAlign w:val="center"/>
          </w:tcPr>
          <w:p>
            <w:pPr>
              <w:spacing w:before="0" w:after="0"/>
              <w:jc w:val="right"/>
            </w:pPr>
            <w:r>
              <w:rPr>
                <w:sz w:val="18"/>
                <w:szCs w:val="18"/>
              </w:rPr>
              <w:t xml:space="preserve">3,805</w:t>
            </w:r>
          </w:p>
        </w:tc>
        <w:tc>
          <w:tcPr>
            <w:tcW w:w="1300" w:type="dxa"/>
            <w:vAlign w:val="center"/>
          </w:tcPr>
          <w:p>
            <w:pPr>
              <w:spacing w:before="0" w:after="0"/>
              <w:jc w:val="right"/>
            </w:pPr>
            <w:r>
              <w:rPr>
                <w:sz w:val="18"/>
                <w:szCs w:val="18"/>
              </w:rPr>
              <w:t xml:space="preserve">4,976</w:t>
            </w:r>
          </w:p>
        </w:tc>
        <w:tc>
          <w:tcPr>
            <w:tcW w:w="1500" w:type="dxa"/>
            <w:vAlign w:val="center"/>
          </w:tcPr>
          <w:p>
            <w:pPr>
              <w:spacing w:before="0" w:after="0"/>
              <w:jc w:val="right"/>
            </w:pPr>
            <w:r>
              <w:rPr>
                <w:sz w:val="18"/>
                <w:szCs w:val="18"/>
              </w:rPr>
              <w:t xml:space="preserve">6,662</w:t>
            </w:r>
          </w:p>
        </w:tc>
        <w:tc>
          <w:tcPr>
            <w:tcW w:w="1300" w:type="dxa"/>
            <w:vAlign w:val="center"/>
          </w:tcPr>
          <w:p>
            <w:pPr>
              <w:spacing w:before="0" w:after="0"/>
              <w:jc w:val="right"/>
            </w:pPr>
            <w:r>
              <w:rPr>
                <w:sz w:val="18"/>
                <w:szCs w:val="18"/>
              </w:rPr>
              <w:t xml:space="preserve">14,673</w:t>
            </w:r>
          </w:p>
        </w:tc>
      </w:tr>
      <w:tr>
        <w:tc>
          <w:tcPr>
            <w:tcW w:w="2272" w:type="dxa"/>
            <w:vAlign w:val="center"/>
          </w:tcPr>
          <w:p>
            <w:pPr>
              <w:spacing w:before="0" w:after="0"/>
              <w:jc w:val="left"/>
            </w:pPr>
            <w:r>
              <w:rPr>
                <w:sz w:val="18"/>
                <w:szCs w:val="18"/>
              </w:rPr>
              <w:t xml:space="preserve">Stores in Hillcrest (19 stores)</w:t>
            </w:r>
          </w:p>
        </w:tc>
        <w:tc>
          <w:tcPr>
            <w:tcW w:w="1400" w:type="dxa"/>
            <w:vAlign w:val="center"/>
          </w:tcPr>
          <w:p>
            <w:pPr>
              <w:spacing w:before="0" w:after="0"/>
              <w:jc w:val="left"/>
            </w:pPr>
            <w:r>
              <w:rPr>
                <w:sz w:val="18"/>
                <w:szCs w:val="18"/>
              </w:rPr>
              <w:t xml:space="preserve">Coffee shops</w:t>
            </w:r>
          </w:p>
        </w:tc>
        <w:tc>
          <w:tcPr>
            <w:tcW w:w="1300" w:type="dxa"/>
            <w:vAlign w:val="center"/>
          </w:tcPr>
          <w:p>
            <w:pPr>
              <w:spacing w:before="0" w:after="0"/>
              <w:jc w:val="right"/>
            </w:pPr>
            <w:r>
              <w:rPr>
                <w:sz w:val="18"/>
                <w:szCs w:val="18"/>
              </w:rPr>
              <w:t xml:space="preserve">3,924</w:t>
            </w:r>
          </w:p>
        </w:tc>
        <w:tc>
          <w:tcPr>
            <w:tcW w:w="1300" w:type="dxa"/>
            <w:vAlign w:val="center"/>
          </w:tcPr>
          <w:p>
            <w:pPr>
              <w:spacing w:before="0" w:after="0"/>
              <w:jc w:val="right"/>
            </w:pPr>
            <w:r>
              <w:rPr>
                <w:sz w:val="18"/>
                <w:szCs w:val="18"/>
              </w:rPr>
              <w:t xml:space="preserve">5,251</w:t>
            </w:r>
          </w:p>
        </w:tc>
        <w:tc>
          <w:tcPr>
            <w:tcW w:w="1500" w:type="dxa"/>
            <w:vAlign w:val="center"/>
          </w:tcPr>
          <w:p>
            <w:pPr>
              <w:spacing w:before="0" w:after="0"/>
              <w:jc w:val="right"/>
            </w:pPr>
            <w:r>
              <w:rPr>
                <w:sz w:val="18"/>
                <w:szCs w:val="18"/>
              </w:rPr>
              <w:t xml:space="preserve">6,468</w:t>
            </w:r>
          </w:p>
        </w:tc>
        <w:tc>
          <w:tcPr>
            <w:tcW w:w="1300" w:type="dxa"/>
            <w:vAlign w:val="center"/>
          </w:tcPr>
          <w:p>
            <w:pPr>
              <w:spacing w:before="0" w:after="0"/>
              <w:jc w:val="right"/>
            </w:pPr>
            <w:r>
              <w:rPr>
                <w:sz w:val="18"/>
                <w:szCs w:val="18"/>
              </w:rPr>
              <w:t xml:space="preserve">16,593</w:t>
            </w:r>
          </w:p>
        </w:tc>
      </w:tr>
      <w:tr>
        <w:tc>
          <w:tcPr>
            <w:tcW w:w="2272" w:type="dxa"/>
            <w:vAlign w:val="center"/>
          </w:tcPr>
          <w:p>
            <w:pPr>
              <w:spacing w:before="0" w:after="0"/>
              <w:jc w:val="left"/>
            </w:pPr>
            <w:r>
              <w:rPr>
                <w:sz w:val="18"/>
                <w:szCs w:val="18"/>
              </w:rPr>
              <w:t xml:space="preserve">Stores in Riverside (34 stores)</w:t>
            </w:r>
          </w:p>
        </w:tc>
        <w:tc>
          <w:tcPr>
            <w:tcW w:w="1400" w:type="dxa"/>
            <w:vAlign w:val="center"/>
          </w:tcPr>
          <w:p>
            <w:pPr>
              <w:spacing w:before="0" w:after="0"/>
              <w:jc w:val="left"/>
            </w:pPr>
            <w:r>
              <w:rPr>
                <w:sz w:val="18"/>
                <w:szCs w:val="18"/>
              </w:rPr>
              <w:t xml:space="preserve">Coffee shops</w:t>
            </w:r>
          </w:p>
        </w:tc>
        <w:tc>
          <w:tcPr>
            <w:tcW w:w="1300" w:type="dxa"/>
            <w:vAlign w:val="center"/>
          </w:tcPr>
          <w:p>
            <w:pPr>
              <w:spacing w:before="0" w:after="0"/>
              <w:jc w:val="right"/>
            </w:pPr>
            <w:r>
              <w:rPr>
                <w:sz w:val="18"/>
                <w:szCs w:val="18"/>
              </w:rPr>
              <w:t xml:space="preserve">4,080</w:t>
            </w:r>
          </w:p>
        </w:tc>
        <w:tc>
          <w:tcPr>
            <w:tcW w:w="1300" w:type="dxa"/>
            <w:vAlign w:val="center"/>
          </w:tcPr>
          <w:p>
            <w:pPr>
              <w:spacing w:before="0" w:after="0"/>
              <w:jc w:val="right"/>
            </w:pPr>
            <w:r>
              <w:rPr>
                <w:sz w:val="18"/>
                <w:szCs w:val="18"/>
              </w:rPr>
              <w:t xml:space="preserve">5,587</w:t>
            </w:r>
          </w:p>
        </w:tc>
        <w:tc>
          <w:tcPr>
            <w:tcW w:w="1500" w:type="dxa"/>
            <w:vAlign w:val="center"/>
          </w:tcPr>
          <w:p>
            <w:pPr>
              <w:spacing w:before="0" w:after="0"/>
              <w:jc w:val="right"/>
            </w:pPr>
            <w:r>
              <w:rPr>
                <w:sz w:val="18"/>
                <w:szCs w:val="18"/>
              </w:rPr>
              <w:t xml:space="preserve">6,874</w:t>
            </w:r>
          </w:p>
        </w:tc>
        <w:tc>
          <w:tcPr>
            <w:tcW w:w="1300" w:type="dxa"/>
            <w:vAlign w:val="center"/>
          </w:tcPr>
          <w:p>
            <w:pPr>
              <w:spacing w:before="0" w:after="0"/>
              <w:jc w:val="right"/>
            </w:pPr>
            <w:r>
              <w:rPr>
                <w:sz w:val="18"/>
                <w:szCs w:val="18"/>
              </w:rPr>
              <w:t xml:space="preserve">14,301</w:t>
            </w:r>
          </w:p>
        </w:tc>
      </w:tr>
      <w:tr>
        <w:tc>
          <w:tcPr>
            <w:tcW w:w="2272" w:type="dxa"/>
            <w:vAlign w:val="center"/>
          </w:tcPr>
          <w:p>
            <w:pPr>
              <w:spacing w:before="0" w:after="0"/>
              <w:jc w:val="left"/>
            </w:pPr>
            <w:r>
              <w:rPr>
                <w:sz w:val="18"/>
                <w:szCs w:val="18"/>
              </w:rPr>
              <w:t xml:space="preserve">Stores in Harborview (19 stores)</w:t>
            </w:r>
          </w:p>
        </w:tc>
        <w:tc>
          <w:tcPr>
            <w:tcW w:w="1400" w:type="dxa"/>
            <w:vAlign w:val="center"/>
          </w:tcPr>
          <w:p>
            <w:pPr>
              <w:spacing w:before="0" w:after="0"/>
              <w:jc w:val="left"/>
            </w:pPr>
            <w:r>
              <w:rPr>
                <w:sz w:val="18"/>
                <w:szCs w:val="18"/>
              </w:rPr>
              <w:t xml:space="preserve">Coffee shops</w:t>
            </w:r>
          </w:p>
        </w:tc>
        <w:tc>
          <w:tcPr>
            <w:tcW w:w="1300" w:type="dxa"/>
            <w:vAlign w:val="center"/>
          </w:tcPr>
          <w:p>
            <w:pPr>
              <w:spacing w:before="0" w:after="0"/>
              <w:jc w:val="right"/>
            </w:pPr>
            <w:r>
              <w:rPr>
                <w:sz w:val="18"/>
                <w:szCs w:val="18"/>
              </w:rPr>
              <w:t xml:space="preserve">3,961</w:t>
            </w:r>
          </w:p>
        </w:tc>
        <w:tc>
          <w:tcPr>
            <w:tcW w:w="1300" w:type="dxa"/>
            <w:vAlign w:val="center"/>
          </w:tcPr>
          <w:p>
            <w:pPr>
              <w:spacing w:before="0" w:after="0"/>
              <w:jc w:val="right"/>
            </w:pPr>
            <w:r>
              <w:rPr>
                <w:sz w:val="18"/>
                <w:szCs w:val="18"/>
              </w:rPr>
              <w:t xml:space="preserve">4,977</w:t>
            </w:r>
          </w:p>
        </w:tc>
        <w:tc>
          <w:tcPr>
            <w:tcW w:w="1500" w:type="dxa"/>
            <w:vAlign w:val="center"/>
          </w:tcPr>
          <w:p>
            <w:pPr>
              <w:spacing w:before="0" w:after="0"/>
              <w:jc w:val="right"/>
            </w:pPr>
            <w:r>
              <w:rPr>
                <w:sz w:val="18"/>
                <w:szCs w:val="18"/>
              </w:rPr>
              <w:t xml:space="preserve">6,648</w:t>
            </w:r>
          </w:p>
        </w:tc>
        <w:tc>
          <w:tcPr>
            <w:tcW w:w="1300" w:type="dxa"/>
            <w:vAlign w:val="center"/>
          </w:tcPr>
          <w:p>
            <w:pPr>
              <w:spacing w:before="0" w:after="0"/>
              <w:jc w:val="right"/>
            </w:pPr>
            <w:r>
              <w:rPr>
                <w:sz w:val="18"/>
                <w:szCs w:val="18"/>
              </w:rPr>
              <w:t xml:space="preserve">14,675</w:t>
            </w:r>
          </w:p>
        </w:tc>
      </w:tr>
    </w:tbl>
    <w:p>
      <w:pPr/>
    </w:p>
    <w:tbl>
      <w:tblPr>
        <w:tblW w:w="907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72" w:type="dxa"/>
          <w:right w:w="72" w:type="dxa"/>
        </w:tblCellMar>
      </w:tblPr>
      <w:tblGrid>
        <w:gridCol w:w="2672"/>
        <w:gridCol w:w="1800"/>
        <w:gridCol w:w="1500"/>
        <w:gridCol w:w="1300"/>
        <w:gridCol w:w="1800"/>
      </w:tblGrid>
      <w:tr>
        <w:trPr>
          <w:tblHeader/>
        </w:trPr>
        <w:tc>
          <w:tcPr>
            <w:tcW w:w="2672" w:type="dxa"/>
            <w:shd w:val="clear" w:color="auto" w:fill="DDEBF7"/>
            <w:vAlign w:val="center"/>
          </w:tcPr>
          <w:p>
            <w:pPr>
              <w:spacing w:before="0" w:after="0"/>
              <w:jc w:val="center"/>
            </w:pPr>
            <w:r>
              <w:rPr>
                <w:b/>
                <w:sz w:val="18"/>
                <w:szCs w:val="18"/>
              </w:rPr>
              <w:t xml:space="preserve">Region</w:t>
            </w:r>
          </w:p>
        </w:tc>
        <w:tc>
          <w:tcPr>
            <w:tcW w:w="1800" w:type="dxa"/>
            <w:shd w:val="clear" w:color="auto" w:fill="DDEBF7"/>
            <w:vAlign w:val="center"/>
          </w:tcPr>
          <w:p>
            <w:pPr>
              <w:spacing w:before="0" w:after="0"/>
              <w:jc w:val="center"/>
            </w:pPr>
            <w:r>
              <w:rPr>
                <w:b/>
                <w:sz w:val="18"/>
                <w:szCs w:val="18"/>
              </w:rPr>
              <w:t xml:space="preserve">Stores at beginning of year</w:t>
            </w:r>
          </w:p>
        </w:tc>
        <w:tc>
          <w:tcPr>
            <w:tcW w:w="1500" w:type="dxa"/>
            <w:shd w:val="clear" w:color="auto" w:fill="DDEBF7"/>
            <w:vAlign w:val="center"/>
          </w:tcPr>
          <w:p>
            <w:pPr>
              <w:spacing w:before="0" w:after="0"/>
              <w:jc w:val="center"/>
            </w:pPr>
            <w:r>
              <w:rPr>
                <w:b/>
                <w:sz w:val="18"/>
                <w:szCs w:val="18"/>
              </w:rPr>
              <w:t xml:space="preserve">Opened</w:t>
            </w:r>
          </w:p>
        </w:tc>
        <w:tc>
          <w:tcPr>
            <w:tcW w:w="1300" w:type="dxa"/>
            <w:shd w:val="clear" w:color="auto" w:fill="DDEBF7"/>
            <w:vAlign w:val="center"/>
          </w:tcPr>
          <w:p>
            <w:pPr>
              <w:spacing w:before="0" w:after="0"/>
              <w:jc w:val="center"/>
            </w:pPr>
            <w:r>
              <w:rPr>
                <w:b/>
                <w:sz w:val="18"/>
                <w:szCs w:val="18"/>
              </w:rPr>
              <w:t xml:space="preserve">Closed</w:t>
            </w:r>
          </w:p>
        </w:tc>
        <w:tc>
          <w:tcPr>
            <w:tcW w:w="1800" w:type="dxa"/>
            <w:shd w:val="clear" w:color="auto" w:fill="DDEBF7"/>
            <w:vAlign w:val="center"/>
          </w:tcPr>
          <w:p>
            <w:pPr>
              <w:spacing w:before="0" w:after="0"/>
              <w:jc w:val="center"/>
            </w:pPr>
            <w:r>
              <w:rPr>
                <w:b/>
                <w:sz w:val="18"/>
                <w:szCs w:val="18"/>
              </w:rPr>
              <w:t xml:space="preserve">Stores at end of year</w:t>
            </w:r>
          </w:p>
        </w:tc>
      </w:tr>
      <w:tr>
        <w:tc>
          <w:tcPr>
            <w:tcW w:w="2672" w:type="dxa"/>
            <w:vAlign w:val="center"/>
          </w:tcPr>
          <w:p>
            <w:pPr>
              <w:spacing w:before="0" w:after="0"/>
              <w:jc w:val="left"/>
            </w:pPr>
            <w:r>
              <w:rPr>
                <w:sz w:val="18"/>
                <w:szCs w:val="18"/>
              </w:rPr>
              <w:t xml:space="preserve">Northfield</w:t>
            </w:r>
          </w:p>
        </w:tc>
        <w:tc>
          <w:tcPr>
            <w:tcW w:w="1800" w:type="dxa"/>
            <w:vAlign w:val="center"/>
          </w:tcPr>
          <w:p>
            <w:pPr>
              <w:spacing w:before="0" w:after="0"/>
              <w:jc w:val="right"/>
            </w:pPr>
            <w:r>
              <w:rPr>
                <w:sz w:val="18"/>
                <w:szCs w:val="18"/>
              </w:rPr>
              <w:t xml:space="preserve">26</w:t>
            </w:r>
          </w:p>
        </w:tc>
        <w:tc>
          <w:tcPr>
            <w:tcW w:w="1500" w:type="dxa"/>
            <w:vAlign w:val="center"/>
          </w:tcPr>
          <w:p>
            <w:pPr>
              <w:spacing w:before="0" w:after="0"/>
              <w:jc w:val="right"/>
            </w:pPr>
            <w:r>
              <w:rPr>
                <w:sz w:val="18"/>
                <w:szCs w:val="18"/>
              </w:rPr>
              <w:t xml:space="preserve">0</w:t>
            </w:r>
          </w:p>
        </w:tc>
        <w:tc>
          <w:tcPr>
            <w:tcW w:w="1300" w:type="dxa"/>
            <w:vAlign w:val="center"/>
          </w:tcPr>
          <w:p>
            <w:pPr>
              <w:spacing w:before="0" w:after="0"/>
              <w:jc w:val="right"/>
            </w:pPr>
            <w:r>
              <w:rPr>
                <w:sz w:val="18"/>
                <w:szCs w:val="18"/>
              </w:rPr>
              <w:t xml:space="preserve">0</w:t>
            </w:r>
          </w:p>
        </w:tc>
        <w:tc>
          <w:tcPr>
            <w:tcW w:w="1800" w:type="dxa"/>
            <w:vAlign w:val="center"/>
          </w:tcPr>
          <w:p>
            <w:pPr>
              <w:spacing w:before="0" w:after="0"/>
              <w:jc w:val="right"/>
            </w:pPr>
            <w:r>
              <w:rPr>
                <w:sz w:val="18"/>
                <w:szCs w:val="18"/>
              </w:rPr>
              <w:t xml:space="preserve">26</w:t>
            </w:r>
          </w:p>
        </w:tc>
      </w:tr>
      <w:tr>
        <w:tc>
          <w:tcPr>
            <w:tcW w:w="2672" w:type="dxa"/>
            <w:vAlign w:val="center"/>
          </w:tcPr>
          <w:p>
            <w:pPr>
              <w:spacing w:before="0" w:after="0"/>
              <w:jc w:val="left"/>
            </w:pPr>
            <w:r>
              <w:rPr>
                <w:sz w:val="18"/>
                <w:szCs w:val="18"/>
              </w:rPr>
              <w:t xml:space="preserve">Eastbay</w:t>
            </w:r>
          </w:p>
        </w:tc>
        <w:tc>
          <w:tcPr>
            <w:tcW w:w="1800" w:type="dxa"/>
            <w:vAlign w:val="center"/>
          </w:tcPr>
          <w:p>
            <w:pPr>
              <w:spacing w:before="0" w:after="0"/>
              <w:jc w:val="right"/>
            </w:pPr>
            <w:r>
              <w:rPr>
                <w:sz w:val="18"/>
                <w:szCs w:val="18"/>
              </w:rPr>
              <w:t xml:space="preserve">15</w:t>
            </w:r>
          </w:p>
        </w:tc>
        <w:tc>
          <w:tcPr>
            <w:tcW w:w="1500" w:type="dxa"/>
            <w:vAlign w:val="center"/>
          </w:tcPr>
          <w:p>
            <w:pPr>
              <w:spacing w:before="0" w:after="0"/>
              <w:jc w:val="right"/>
            </w:pPr>
            <w:r>
              <w:rPr>
                <w:sz w:val="18"/>
                <w:szCs w:val="18"/>
              </w:rPr>
              <w:t xml:space="preserve">1</w:t>
            </w:r>
          </w:p>
        </w:tc>
        <w:tc>
          <w:tcPr>
            <w:tcW w:w="1300" w:type="dxa"/>
            <w:vAlign w:val="center"/>
          </w:tcPr>
          <w:p>
            <w:pPr>
              <w:spacing w:before="0" w:after="0"/>
              <w:jc w:val="right"/>
            </w:pPr>
            <w:r>
              <w:rPr>
                <w:sz w:val="18"/>
                <w:szCs w:val="18"/>
              </w:rPr>
              <w:t xml:space="preserve">1</w:t>
            </w:r>
          </w:p>
        </w:tc>
        <w:tc>
          <w:tcPr>
            <w:tcW w:w="1800" w:type="dxa"/>
            <w:vAlign w:val="center"/>
          </w:tcPr>
          <w:p>
            <w:pPr>
              <w:spacing w:before="0" w:after="0"/>
              <w:jc w:val="right"/>
            </w:pPr>
            <w:r>
              <w:rPr>
                <w:sz w:val="18"/>
                <w:szCs w:val="18"/>
              </w:rPr>
              <w:t xml:space="preserve">15</w:t>
            </w:r>
          </w:p>
        </w:tc>
      </w:tr>
      <w:tr>
        <w:tc>
          <w:tcPr>
            <w:tcW w:w="2672" w:type="dxa"/>
            <w:vAlign w:val="center"/>
          </w:tcPr>
          <w:p>
            <w:pPr>
              <w:spacing w:before="0" w:after="0"/>
              <w:jc w:val="left"/>
            </w:pPr>
            <w:r>
              <w:rPr>
                <w:sz w:val="18"/>
                <w:szCs w:val="18"/>
              </w:rPr>
              <w:t xml:space="preserve">Southport</w:t>
            </w:r>
          </w:p>
        </w:tc>
        <w:tc>
          <w:tcPr>
            <w:tcW w:w="1800" w:type="dxa"/>
            <w:vAlign w:val="center"/>
          </w:tcPr>
          <w:p>
            <w:pPr>
              <w:spacing w:before="0" w:after="0"/>
              <w:jc w:val="right"/>
            </w:pPr>
            <w:r>
              <w:rPr>
                <w:sz w:val="18"/>
                <w:szCs w:val="18"/>
              </w:rPr>
              <w:t xml:space="preserve">15</w:t>
            </w:r>
          </w:p>
        </w:tc>
        <w:tc>
          <w:tcPr>
            <w:tcW w:w="1500" w:type="dxa"/>
            <w:vAlign w:val="center"/>
          </w:tcPr>
          <w:p>
            <w:pPr>
              <w:spacing w:before="0" w:after="0"/>
              <w:jc w:val="right"/>
            </w:pPr>
            <w:r>
              <w:rPr>
                <w:sz w:val="18"/>
                <w:szCs w:val="18"/>
              </w:rPr>
              <w:t xml:space="preserve">2</w:t>
            </w:r>
          </w:p>
        </w:tc>
        <w:tc>
          <w:tcPr>
            <w:tcW w:w="1300" w:type="dxa"/>
            <w:vAlign w:val="center"/>
          </w:tcPr>
          <w:p>
            <w:pPr>
              <w:spacing w:before="0" w:after="0"/>
              <w:jc w:val="right"/>
            </w:pPr>
            <w:r>
              <w:rPr>
                <w:sz w:val="18"/>
                <w:szCs w:val="18"/>
              </w:rPr>
              <w:t xml:space="preserve">1</w:t>
            </w:r>
          </w:p>
        </w:tc>
        <w:tc>
          <w:tcPr>
            <w:tcW w:w="1800" w:type="dxa"/>
            <w:vAlign w:val="center"/>
          </w:tcPr>
          <w:p>
            <w:pPr>
              <w:spacing w:before="0" w:after="0"/>
              <w:jc w:val="right"/>
            </w:pPr>
            <w:r>
              <w:rPr>
                <w:sz w:val="18"/>
                <w:szCs w:val="18"/>
              </w:rPr>
              <w:t xml:space="preserve">16</w:t>
            </w:r>
          </w:p>
        </w:tc>
      </w:tr>
      <w:tr>
        <w:tc>
          <w:tcPr>
            <w:tcW w:w="2672" w:type="dxa"/>
            <w:vAlign w:val="center"/>
          </w:tcPr>
          <w:p>
            <w:pPr>
              <w:spacing w:before="0" w:after="0"/>
              <w:jc w:val="left"/>
            </w:pPr>
            <w:r>
              <w:rPr>
                <w:sz w:val="18"/>
                <w:szCs w:val="18"/>
              </w:rPr>
              <w:t xml:space="preserve">Westridge</w:t>
            </w:r>
          </w:p>
        </w:tc>
        <w:tc>
          <w:tcPr>
            <w:tcW w:w="1800" w:type="dxa"/>
            <w:vAlign w:val="center"/>
          </w:tcPr>
          <w:p>
            <w:pPr>
              <w:spacing w:before="0" w:after="0"/>
              <w:jc w:val="right"/>
            </w:pPr>
            <w:r>
              <w:rPr>
                <w:sz w:val="18"/>
                <w:szCs w:val="18"/>
              </w:rPr>
              <w:t xml:space="preserve">14</w:t>
            </w:r>
          </w:p>
        </w:tc>
        <w:tc>
          <w:tcPr>
            <w:tcW w:w="1500" w:type="dxa"/>
            <w:vAlign w:val="center"/>
          </w:tcPr>
          <w:p>
            <w:pPr>
              <w:spacing w:before="0" w:after="0"/>
              <w:jc w:val="right"/>
            </w:pPr>
            <w:r>
              <w:rPr>
                <w:sz w:val="18"/>
                <w:szCs w:val="18"/>
              </w:rPr>
              <w:t xml:space="preserve">4</w:t>
            </w:r>
          </w:p>
        </w:tc>
        <w:tc>
          <w:tcPr>
            <w:tcW w:w="1300" w:type="dxa"/>
            <w:vAlign w:val="center"/>
          </w:tcPr>
          <w:p>
            <w:pPr>
              <w:spacing w:before="0" w:after="0"/>
              <w:jc w:val="right"/>
            </w:pPr>
            <w:r>
              <w:rPr>
                <w:sz w:val="18"/>
                <w:szCs w:val="18"/>
              </w:rPr>
              <w:t xml:space="preserve">1</w:t>
            </w:r>
          </w:p>
        </w:tc>
        <w:tc>
          <w:tcPr>
            <w:tcW w:w="1800" w:type="dxa"/>
            <w:vAlign w:val="center"/>
          </w:tcPr>
          <w:p>
            <w:pPr>
              <w:spacing w:before="0" w:after="0"/>
              <w:jc w:val="right"/>
            </w:pPr>
            <w:r>
              <w:rPr>
                <w:sz w:val="18"/>
                <w:szCs w:val="18"/>
              </w:rPr>
              <w:t xml:space="preserve">17</w:t>
            </w:r>
          </w:p>
        </w:tc>
      </w:tr>
      <w:tr>
        <w:tc>
          <w:tcPr>
            <w:tcW w:w="2672" w:type="dxa"/>
            <w:vAlign w:val="center"/>
          </w:tcPr>
          <w:p>
            <w:pPr>
              <w:spacing w:before="0" w:after="0"/>
              <w:jc w:val="left"/>
            </w:pPr>
            <w:r>
              <w:rPr>
                <w:sz w:val="18"/>
                <w:szCs w:val="18"/>
              </w:rPr>
              <w:t xml:space="preserve">Lakeside</w:t>
            </w:r>
          </w:p>
        </w:tc>
        <w:tc>
          <w:tcPr>
            <w:tcW w:w="1800" w:type="dxa"/>
            <w:vAlign w:val="center"/>
          </w:tcPr>
          <w:p>
            <w:pPr>
              <w:spacing w:before="0" w:after="0"/>
              <w:jc w:val="right"/>
            </w:pPr>
            <w:r>
              <w:rPr>
                <w:sz w:val="18"/>
                <w:szCs w:val="18"/>
              </w:rPr>
              <w:t xml:space="preserve">24</w:t>
            </w:r>
          </w:p>
        </w:tc>
        <w:tc>
          <w:tcPr>
            <w:tcW w:w="1500" w:type="dxa"/>
            <w:vAlign w:val="center"/>
          </w:tcPr>
          <w:p>
            <w:pPr>
              <w:spacing w:before="0" w:after="0"/>
              <w:jc w:val="right"/>
            </w:pPr>
            <w:r>
              <w:rPr>
                <w:sz w:val="18"/>
                <w:szCs w:val="18"/>
              </w:rPr>
              <w:t xml:space="preserve">1</w:t>
            </w:r>
          </w:p>
        </w:tc>
        <w:tc>
          <w:tcPr>
            <w:tcW w:w="1300" w:type="dxa"/>
            <w:vAlign w:val="center"/>
          </w:tcPr>
          <w:p>
            <w:pPr>
              <w:spacing w:before="0" w:after="0"/>
              <w:jc w:val="right"/>
            </w:pPr>
            <w:r>
              <w:rPr>
                <w:sz w:val="18"/>
                <w:szCs w:val="18"/>
              </w:rPr>
              <w:t xml:space="preserve">0</w:t>
            </w:r>
          </w:p>
        </w:tc>
        <w:tc>
          <w:tcPr>
            <w:tcW w:w="1800" w:type="dxa"/>
            <w:vAlign w:val="center"/>
          </w:tcPr>
          <w:p>
            <w:pPr>
              <w:spacing w:before="0" w:after="0"/>
              <w:jc w:val="right"/>
            </w:pPr>
            <w:r>
              <w:rPr>
                <w:sz w:val="18"/>
                <w:szCs w:val="18"/>
              </w:rPr>
              <w:t xml:space="preserve">25</w:t>
            </w:r>
          </w:p>
        </w:tc>
      </w:tr>
      <w:tr>
        <w:tc>
          <w:tcPr>
            <w:tcW w:w="2672" w:type="dxa"/>
            <w:vAlign w:val="center"/>
          </w:tcPr>
          <w:p>
            <w:pPr>
              <w:spacing w:before="0" w:after="0"/>
              <w:jc w:val="left"/>
            </w:pPr>
            <w:r>
              <w:rPr>
                <w:sz w:val="18"/>
                <w:szCs w:val="18"/>
              </w:rPr>
              <w:t xml:space="preserve">Hillcrest</w:t>
            </w:r>
          </w:p>
        </w:tc>
        <w:tc>
          <w:tcPr>
            <w:tcW w:w="1800" w:type="dxa"/>
            <w:vAlign w:val="center"/>
          </w:tcPr>
          <w:p>
            <w:pPr>
              <w:spacing w:before="0" w:after="0"/>
              <w:jc w:val="right"/>
            </w:pPr>
            <w:r>
              <w:rPr>
                <w:sz w:val="18"/>
                <w:szCs w:val="18"/>
              </w:rPr>
              <w:t xml:space="preserve">28</w:t>
            </w:r>
          </w:p>
        </w:tc>
        <w:tc>
          <w:tcPr>
            <w:tcW w:w="1500" w:type="dxa"/>
            <w:vAlign w:val="center"/>
          </w:tcPr>
          <w:p>
            <w:pPr>
              <w:spacing w:before="0" w:after="0"/>
              <w:jc w:val="right"/>
            </w:pPr>
            <w:r>
              <w:rPr>
                <w:sz w:val="18"/>
                <w:szCs w:val="18"/>
              </w:rPr>
              <w:t xml:space="preserve">2</w:t>
            </w:r>
          </w:p>
        </w:tc>
        <w:tc>
          <w:tcPr>
            <w:tcW w:w="1300" w:type="dxa"/>
            <w:vAlign w:val="center"/>
          </w:tcPr>
          <w:p>
            <w:pPr>
              <w:spacing w:before="0" w:after="0"/>
              <w:jc w:val="right"/>
            </w:pPr>
            <w:r>
              <w:rPr>
                <w:sz w:val="18"/>
                <w:szCs w:val="18"/>
              </w:rPr>
              <w:t xml:space="preserve">1</w:t>
            </w:r>
          </w:p>
        </w:tc>
        <w:tc>
          <w:tcPr>
            <w:tcW w:w="1800" w:type="dxa"/>
            <w:vAlign w:val="center"/>
          </w:tcPr>
          <w:p>
            <w:pPr>
              <w:spacing w:before="0" w:after="0"/>
              <w:jc w:val="right"/>
            </w:pPr>
            <w:r>
              <w:rPr>
                <w:sz w:val="18"/>
                <w:szCs w:val="18"/>
              </w:rPr>
              <w:t xml:space="preserve">29</w:t>
            </w:r>
          </w:p>
        </w:tc>
      </w:tr>
      <w:tr>
        <w:tc>
          <w:tcPr>
            <w:tcW w:w="2672" w:type="dxa"/>
            <w:vAlign w:val="center"/>
          </w:tcPr>
          <w:p>
            <w:pPr>
              <w:spacing w:before="0" w:after="0"/>
              <w:jc w:val="left"/>
            </w:pPr>
            <w:r>
              <w:rPr>
                <w:sz w:val="18"/>
                <w:szCs w:val="18"/>
              </w:rPr>
              <w:t xml:space="preserve">Riverside</w:t>
            </w:r>
          </w:p>
        </w:tc>
        <w:tc>
          <w:tcPr>
            <w:tcW w:w="1800" w:type="dxa"/>
            <w:vAlign w:val="center"/>
          </w:tcPr>
          <w:p>
            <w:pPr>
              <w:spacing w:before="0" w:after="0"/>
              <w:jc w:val="right"/>
            </w:pPr>
            <w:r>
              <w:rPr>
                <w:sz w:val="18"/>
                <w:szCs w:val="18"/>
              </w:rPr>
              <w:t xml:space="preserve">19</w:t>
            </w:r>
          </w:p>
        </w:tc>
        <w:tc>
          <w:tcPr>
            <w:tcW w:w="1500" w:type="dxa"/>
            <w:vAlign w:val="center"/>
          </w:tcPr>
          <w:p>
            <w:pPr>
              <w:spacing w:before="0" w:after="0"/>
              <w:jc w:val="right"/>
            </w:pPr>
            <w:r>
              <w:rPr>
                <w:sz w:val="18"/>
                <w:szCs w:val="18"/>
              </w:rPr>
              <w:t xml:space="preserve">0</w:t>
            </w:r>
          </w:p>
        </w:tc>
        <w:tc>
          <w:tcPr>
            <w:tcW w:w="1300" w:type="dxa"/>
            <w:vAlign w:val="center"/>
          </w:tcPr>
          <w:p>
            <w:pPr>
              <w:spacing w:before="0" w:after="0"/>
              <w:jc w:val="right"/>
            </w:pPr>
            <w:r>
              <w:rPr>
                <w:sz w:val="18"/>
                <w:szCs w:val="18"/>
              </w:rPr>
              <w:t xml:space="preserve">0</w:t>
            </w:r>
          </w:p>
        </w:tc>
        <w:tc>
          <w:tcPr>
            <w:tcW w:w="1800" w:type="dxa"/>
            <w:vAlign w:val="center"/>
          </w:tcPr>
          <w:p>
            <w:pPr>
              <w:spacing w:before="0" w:after="0"/>
              <w:jc w:val="right"/>
            </w:pPr>
            <w:r>
              <w:rPr>
                <w:sz w:val="18"/>
                <w:szCs w:val="18"/>
              </w:rPr>
              <w:t xml:space="preserve">19</w:t>
            </w:r>
          </w:p>
        </w:tc>
      </w:tr>
      <w:tr>
        <w:tc>
          <w:tcPr>
            <w:tcW w:w="2672" w:type="dxa"/>
            <w:vAlign w:val="center"/>
          </w:tcPr>
          <w:p>
            <w:pPr>
              <w:spacing w:before="0" w:after="0"/>
              <w:jc w:val="left"/>
            </w:pPr>
            <w:r>
              <w:rPr>
                <w:sz w:val="18"/>
                <w:szCs w:val="18"/>
              </w:rPr>
              <w:t xml:space="preserve">Harborview</w:t>
            </w:r>
          </w:p>
        </w:tc>
        <w:tc>
          <w:tcPr>
            <w:tcW w:w="1800" w:type="dxa"/>
            <w:vAlign w:val="center"/>
          </w:tcPr>
          <w:p>
            <w:pPr>
              <w:spacing w:before="0" w:after="0"/>
              <w:jc w:val="right"/>
            </w:pPr>
            <w:r>
              <w:rPr>
                <w:sz w:val="18"/>
                <w:szCs w:val="18"/>
              </w:rPr>
              <w:t xml:space="preserve">15</w:t>
            </w:r>
          </w:p>
        </w:tc>
        <w:tc>
          <w:tcPr>
            <w:tcW w:w="1500" w:type="dxa"/>
            <w:vAlign w:val="center"/>
          </w:tcPr>
          <w:p>
            <w:pPr>
              <w:spacing w:before="0" w:after="0"/>
              <w:jc w:val="right"/>
            </w:pPr>
            <w:r>
              <w:rPr>
                <w:sz w:val="18"/>
                <w:szCs w:val="18"/>
              </w:rPr>
              <w:t xml:space="preserve">1</w:t>
            </w:r>
          </w:p>
        </w:tc>
        <w:tc>
          <w:tcPr>
            <w:tcW w:w="1300" w:type="dxa"/>
            <w:vAlign w:val="center"/>
          </w:tcPr>
          <w:p>
            <w:pPr>
              <w:spacing w:before="0" w:after="0"/>
              <w:jc w:val="right"/>
            </w:pPr>
            <w:r>
              <w:rPr>
                <w:sz w:val="18"/>
                <w:szCs w:val="18"/>
              </w:rPr>
              <w:t xml:space="preserve">1</w:t>
            </w:r>
          </w:p>
        </w:tc>
        <w:tc>
          <w:tcPr>
            <w:tcW w:w="1800" w:type="dxa"/>
            <w:vAlign w:val="center"/>
          </w:tcPr>
          <w:p>
            <w:pPr>
              <w:spacing w:before="0" w:after="0"/>
              <w:jc w:val="right"/>
            </w:pPr>
            <w:r>
              <w:rPr>
                <w:sz w:val="18"/>
                <w:szCs w:val="18"/>
              </w:rPr>
              <w:t xml:space="preserve">15</w:t>
            </w:r>
          </w:p>
        </w:tc>
      </w:tr>
    </w:tbl>
    <w:p>
      <w:pPr/>
    </w:p>
    <w:p>
      <w:pPr>
        <w:pStyle w:val="Heading3"/>
        <w:keepNext/>
      </w:pPr>
      <w:r>
        <w:t xml:space="preserve">3. Plans for New Facilities and Disposals</w:t>
      </w:r>
    </w:p>
    <w:p>
      <w:pPr>
        <w:ind w:left="0" w:firstLine="360"/>
      </w:pPr>
      <w:r>
        <w:t xml:space="preserve">Nimbus Coffee leases all of its store premises under operating leases with initial terms of ten years, most of which include options to renew. During the fiscal year, the Company opened 12 new stores and closed 1 stores whose leases expired. Energy use per store decreased 13.3% compared with the prior year, as older espresso machines and refrigerators were replaced with more efficient models. Energy use per store decreased 5.7% compared with the prior year, as older espresso machines and refrigerators were replaced with more efficient models. Orders placed through the online store, including orders for pickup in store and home delivery of whole beans, accounted for 38.9% of revenue in the Beverages and Beans categories. Net cash provided by operating activities was $228,744 thousand, mainly reflecting net income and depreciation and amortization.</w:t>
      </w:r>
    </w:p>
    <w:p>
      <w:pPr>
        <w:ind w:left="0" w:firstLine="360"/>
      </w:pPr>
      <w:r>
        <w:t xml:space="preserve">Net cash used in financing activities was $23,222 thousand, reflecting repayments of the term loan and dividends paid. The ability of the Company to open new stores depends on finding suitable sites on acceptable lease terms and on hiring and training store managers. The loyalty program had 225 thousand active members at the end of the fiscal year, and purchases by members accounted for 20.2% of store revenue. Net cash provided by operating activities was $185,908 thousand, mainly reflecting net income and depreciation and amortization. These forward-looking statements are based on information available as of the date of this statement, and actual results may differ materially because of many factors. Wholesale revenue comes from sales of roasted beans to restaurants, hotels and grocery stores in the regions where Nimbus Coffee operates.</w:t>
      </w:r>
    </w:p>
    <w:p>
      <w:pPr>
        <w:ind w:left="0" w:firstLine="360"/>
      </w:pPr>
      <w:r>
        <w:t xml:space="preserve">Orders placed through the online store, including orders for pickup in store and home delivery of whole beans, accounted for 4.0% of revenue in the Beverages and Beans categories. Capital expenditures totaled $13,406 thousand and consisted mainly of the build-out of new stores, the remodeling of existing stores and a second roasting line at the Northfield roastery. Revenue from loyalty rewards is deferred until the reward is redeemed or expires.</w:t>
      </w:r>
    </w:p>
    <w:tbl>
      <w:tblPr>
        <w:tblW w:w="907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72" w:type="dxa"/>
          <w:right w:w="72" w:type="dxa"/>
        </w:tblCellMar>
      </w:tblPr>
      <w:tblGrid>
        <w:gridCol w:w="2272"/>
        <w:gridCol w:w="1400"/>
        <w:gridCol w:w="1300"/>
        <w:gridCol w:w="1300"/>
        <w:gridCol w:w="1500"/>
        <w:gridCol w:w="1300"/>
      </w:tblGrid>
      <w:tr>
        <w:trPr>
          <w:tblHeader/>
        </w:trPr>
        <w:tc>
          <w:tcPr>
            <w:tcW w:w="2272" w:type="dxa"/>
            <w:shd w:val="clear" w:color="auto" w:fill="DDEBF7"/>
            <w:vAlign w:val="center"/>
          </w:tcPr>
          <w:p>
            <w:pPr>
              <w:spacing w:before="0" w:after="0"/>
              <w:jc w:val="center"/>
            </w:pPr>
            <w:r>
              <w:rPr>
                <w:b/>
                <w:sz w:val="18"/>
                <w:szCs w:val="18"/>
              </w:rPr>
              <w:t xml:space="preserve">Location</w:t>
            </w:r>
          </w:p>
        </w:tc>
        <w:tc>
          <w:tcPr>
            <w:tcW w:w="1400" w:type="dxa"/>
            <w:shd w:val="clear" w:color="auto" w:fill="DDEBF7"/>
            <w:vAlign w:val="center"/>
          </w:tcPr>
          <w:p>
            <w:pPr>
              <w:spacing w:before="0" w:after="0"/>
              <w:jc w:val="center"/>
            </w:pPr>
            <w:r>
              <w:rPr>
                <w:b/>
                <w:sz w:val="18"/>
                <w:szCs w:val="18"/>
              </w:rPr>
              <w:t xml:space="preserve">Use</w:t>
            </w:r>
          </w:p>
        </w:tc>
        <w:tc>
          <w:tcPr>
            <w:tcW w:w="1300" w:type="dxa"/>
            <w:shd w:val="clear" w:color="auto" w:fill="DDEBF7"/>
            <w:vAlign w:val="center"/>
          </w:tcPr>
          <w:p>
            <w:pPr>
              <w:spacing w:before="0" w:after="0"/>
              <w:jc w:val="center"/>
            </w:pPr>
            <w:r>
              <w:rPr>
                <w:b/>
                <w:sz w:val="18"/>
                <w:szCs w:val="18"/>
              </w:rPr>
              <w:t xml:space="preserve">Buildings (USD thousands)</w:t>
            </w:r>
          </w:p>
        </w:tc>
        <w:tc>
          <w:tcPr>
            <w:tcW w:w="1300" w:type="dxa"/>
            <w:shd w:val="clear" w:color="auto" w:fill="DDEBF7"/>
            <w:vAlign w:val="center"/>
          </w:tcPr>
          <w:p>
            <w:pPr>
              <w:spacing w:before="0" w:after="0"/>
              <w:jc w:val="center"/>
            </w:pPr>
            <w:r>
              <w:rPr>
                <w:b/>
                <w:sz w:val="18"/>
                <w:szCs w:val="18"/>
              </w:rPr>
              <w:t xml:space="preserve">Equipment (USD thousands)</w:t>
            </w:r>
          </w:p>
        </w:tc>
        <w:tc>
          <w:tcPr>
            <w:tcW w:w="1500" w:type="dxa"/>
            <w:shd w:val="clear" w:color="auto" w:fill="DDEBF7"/>
            <w:vAlign w:val="center"/>
          </w:tcPr>
          <w:p>
            <w:pPr>
              <w:spacing w:before="0" w:after="0"/>
              <w:jc w:val="center"/>
            </w:pPr>
            <w:r>
              <w:rPr>
                <w:b/>
                <w:sz w:val="18"/>
                <w:szCs w:val="18"/>
              </w:rPr>
              <w:t xml:space="preserve">Leasehold improvements (USD thousands)</w:t>
            </w:r>
          </w:p>
        </w:tc>
        <w:tc>
          <w:tcPr>
            <w:tcW w:w="1300" w:type="dxa"/>
            <w:shd w:val="clear" w:color="auto" w:fill="DDEBF7"/>
            <w:vAlign w:val="center"/>
          </w:tcPr>
          <w:p>
            <w:pPr>
              <w:spacing w:before="0" w:after="0"/>
              <w:jc w:val="center"/>
            </w:pPr>
            <w:r>
              <w:rPr>
                <w:b/>
                <w:sz w:val="18"/>
                <w:szCs w:val="18"/>
              </w:rPr>
              <w:t xml:space="preserve">Total (USD thousands)</w:t>
            </w:r>
          </w:p>
        </w:tc>
      </w:tr>
      <w:tr>
        <w:tc>
          <w:tcPr>
            <w:tcW w:w="2272" w:type="dxa"/>
            <w:vAlign w:val="center"/>
          </w:tcPr>
          <w:p>
            <w:pPr>
              <w:spacing w:before="0" w:after="0"/>
              <w:jc w:val="left"/>
            </w:pPr>
            <w:r>
              <w:rPr>
                <w:sz w:val="18"/>
                <w:szCs w:val="18"/>
              </w:rPr>
              <w:t xml:space="preserve">Headquarters (Northfield)</w:t>
            </w:r>
          </w:p>
        </w:tc>
        <w:tc>
          <w:tcPr>
            <w:tcW w:w="1400" w:type="dxa"/>
            <w:vAlign w:val="center"/>
          </w:tcPr>
          <w:p>
            <w:pPr>
              <w:spacing w:before="0" w:after="0"/>
              <w:jc w:val="left"/>
            </w:pPr>
            <w:r>
              <w:rPr>
                <w:sz w:val="18"/>
                <w:szCs w:val="18"/>
              </w:rPr>
              <w:t xml:space="preserve">Offices</w:t>
            </w:r>
          </w:p>
        </w:tc>
        <w:tc>
          <w:tcPr>
            <w:tcW w:w="1300" w:type="dxa"/>
            <w:vAlign w:val="center"/>
          </w:tcPr>
          <w:p>
            <w:pPr>
              <w:spacing w:before="0" w:after="0"/>
              <w:jc w:val="right"/>
            </w:pPr>
            <w:r>
              <w:rPr>
                <w:sz w:val="18"/>
                <w:szCs w:val="18"/>
              </w:rPr>
              <w:t xml:space="preserve">3,789</w:t>
            </w:r>
          </w:p>
        </w:tc>
        <w:tc>
          <w:tcPr>
            <w:tcW w:w="1300" w:type="dxa"/>
            <w:vAlign w:val="center"/>
          </w:tcPr>
          <w:p>
            <w:pPr>
              <w:spacing w:before="0" w:after="0"/>
              <w:jc w:val="right"/>
            </w:pPr>
            <w:r>
              <w:rPr>
                <w:sz w:val="18"/>
                <w:szCs w:val="18"/>
              </w:rPr>
              <w:t xml:space="preserve">5,132</w:t>
            </w:r>
          </w:p>
        </w:tc>
        <w:tc>
          <w:tcPr>
            <w:tcW w:w="1500" w:type="dxa"/>
            <w:vAlign w:val="center"/>
          </w:tcPr>
          <w:p>
            <w:pPr>
              <w:spacing w:before="0" w:after="0"/>
              <w:jc w:val="right"/>
            </w:pPr>
            <w:r>
              <w:rPr>
                <w:sz w:val="18"/>
                <w:szCs w:val="18"/>
              </w:rPr>
              <w:t xml:space="preserve">6,208</w:t>
            </w:r>
          </w:p>
        </w:tc>
        <w:tc>
          <w:tcPr>
            <w:tcW w:w="1300" w:type="dxa"/>
            <w:vAlign w:val="center"/>
          </w:tcPr>
          <w:p>
            <w:pPr>
              <w:spacing w:before="0" w:after="0"/>
              <w:jc w:val="right"/>
            </w:pPr>
            <w:r>
              <w:rPr>
                <w:sz w:val="18"/>
                <w:szCs w:val="18"/>
              </w:rPr>
              <w:t xml:space="preserve">15,062</w:t>
            </w:r>
          </w:p>
        </w:tc>
      </w:tr>
      <w:tr>
        <w:tc>
          <w:tcPr>
            <w:tcW w:w="2272" w:type="dxa"/>
            <w:vAlign w:val="center"/>
          </w:tcPr>
          <w:p>
            <w:pPr>
              <w:spacing w:before="0" w:after="0"/>
              <w:jc w:val="left"/>
            </w:pPr>
            <w:r>
              <w:rPr>
                <w:sz w:val="18"/>
                <w:szCs w:val="18"/>
              </w:rPr>
              <w:t xml:space="preserve">Northfield roastery</w:t>
            </w:r>
          </w:p>
        </w:tc>
        <w:tc>
          <w:tcPr>
            <w:tcW w:w="1400" w:type="dxa"/>
            <w:vAlign w:val="center"/>
          </w:tcPr>
          <w:p>
            <w:pPr>
              <w:spacing w:before="0" w:after="0"/>
              <w:jc w:val="left"/>
            </w:pPr>
            <w:r>
              <w:rPr>
                <w:sz w:val="18"/>
                <w:szCs w:val="18"/>
              </w:rPr>
              <w:t xml:space="preserve">Roasting and training</w:t>
            </w:r>
          </w:p>
        </w:tc>
        <w:tc>
          <w:tcPr>
            <w:tcW w:w="1300" w:type="dxa"/>
            <w:vAlign w:val="center"/>
          </w:tcPr>
          <w:p>
            <w:pPr>
              <w:spacing w:before="0" w:after="0"/>
              <w:jc w:val="right"/>
            </w:pPr>
            <w:r>
              <w:rPr>
                <w:sz w:val="18"/>
                <w:szCs w:val="18"/>
              </w:rPr>
              <w:t xml:space="preserve">3,846</w:t>
            </w:r>
          </w:p>
        </w:tc>
        <w:tc>
          <w:tcPr>
            <w:tcW w:w="1300" w:type="dxa"/>
            <w:vAlign w:val="center"/>
          </w:tcPr>
          <w:p>
            <w:pPr>
              <w:spacing w:before="0" w:after="0"/>
              <w:jc w:val="right"/>
            </w:pPr>
            <w:r>
              <w:rPr>
                <w:sz w:val="18"/>
                <w:szCs w:val="18"/>
              </w:rPr>
              <w:t xml:space="preserve">5,402</w:t>
            </w:r>
          </w:p>
        </w:tc>
        <w:tc>
          <w:tcPr>
            <w:tcW w:w="1500" w:type="dxa"/>
            <w:vAlign w:val="center"/>
          </w:tcPr>
          <w:p>
            <w:pPr>
              <w:spacing w:before="0" w:after="0"/>
              <w:jc w:val="right"/>
            </w:pPr>
            <w:r>
              <w:rPr>
                <w:sz w:val="18"/>
                <w:szCs w:val="18"/>
              </w:rPr>
              <w:t xml:space="preserve">6,586</w:t>
            </w:r>
          </w:p>
        </w:tc>
        <w:tc>
          <w:tcPr>
            <w:tcW w:w="1300" w:type="dxa"/>
            <w:vAlign w:val="center"/>
          </w:tcPr>
          <w:p>
            <w:pPr>
              <w:spacing w:before="0" w:after="0"/>
              <w:jc w:val="right"/>
            </w:pPr>
            <w:r>
              <w:rPr>
                <w:sz w:val="18"/>
                <w:szCs w:val="18"/>
              </w:rPr>
              <w:t xml:space="preserve">15,824</w:t>
            </w:r>
          </w:p>
        </w:tc>
      </w:tr>
      <w:tr>
        <w:tc>
          <w:tcPr>
            <w:tcW w:w="2272" w:type="dxa"/>
            <w:vAlign w:val="center"/>
          </w:tcPr>
          <w:p>
            <w:pPr>
              <w:spacing w:before="0" w:after="0"/>
              <w:jc w:val="left"/>
            </w:pPr>
            <w:r>
              <w:rPr>
                <w:sz w:val="18"/>
                <w:szCs w:val="18"/>
              </w:rPr>
              <w:t xml:space="preserve">Eastbay distribution center</w:t>
            </w:r>
          </w:p>
        </w:tc>
        <w:tc>
          <w:tcPr>
            <w:tcW w:w="1400" w:type="dxa"/>
            <w:vAlign w:val="center"/>
          </w:tcPr>
          <w:p>
            <w:pPr>
              <w:spacing w:before="0" w:after="0"/>
              <w:jc w:val="left"/>
            </w:pPr>
            <w:r>
              <w:rPr>
                <w:sz w:val="18"/>
                <w:szCs w:val="18"/>
              </w:rPr>
              <w:t xml:space="preserve">Warehouse</w:t>
            </w:r>
          </w:p>
        </w:tc>
        <w:tc>
          <w:tcPr>
            <w:tcW w:w="1300" w:type="dxa"/>
            <w:vAlign w:val="center"/>
          </w:tcPr>
          <w:p>
            <w:pPr>
              <w:spacing w:before="0" w:after="0"/>
              <w:jc w:val="right"/>
            </w:pPr>
            <w:r>
              <w:rPr>
                <w:sz w:val="18"/>
                <w:szCs w:val="18"/>
              </w:rPr>
              <w:t xml:space="preserve">3,526</w:t>
            </w:r>
          </w:p>
        </w:tc>
        <w:tc>
          <w:tcPr>
            <w:tcW w:w="1300" w:type="dxa"/>
            <w:vAlign w:val="center"/>
          </w:tcPr>
          <w:p>
            <w:pPr>
              <w:spacing w:before="0" w:after="0"/>
              <w:jc w:val="right"/>
            </w:pPr>
            <w:r>
              <w:rPr>
                <w:sz w:val="18"/>
                <w:szCs w:val="18"/>
              </w:rPr>
              <w:t xml:space="preserve">5,284</w:t>
            </w:r>
          </w:p>
        </w:tc>
        <w:tc>
          <w:tcPr>
            <w:tcW w:w="1500" w:type="dxa"/>
            <w:vAlign w:val="center"/>
          </w:tcPr>
          <w:p>
            <w:pPr>
              <w:spacing w:before="0" w:after="0"/>
              <w:jc w:val="right"/>
            </w:pPr>
            <w:r>
              <w:rPr>
                <w:sz w:val="18"/>
                <w:szCs w:val="18"/>
              </w:rPr>
              <w:t xml:space="preserve">6,628</w:t>
            </w:r>
          </w:p>
        </w:tc>
        <w:tc>
          <w:tcPr>
            <w:tcW w:w="1300" w:type="dxa"/>
            <w:vAlign w:val="center"/>
          </w:tcPr>
          <w:p>
            <w:pPr>
              <w:spacing w:before="0" w:after="0"/>
              <w:jc w:val="right"/>
            </w:pPr>
            <w:r>
              <w:rPr>
                <w:sz w:val="18"/>
                <w:szCs w:val="18"/>
              </w:rPr>
              <w:t xml:space="preserve">14,255</w:t>
            </w:r>
          </w:p>
        </w:tc>
      </w:tr>
      <w:tr>
        <w:tc>
          <w:tcPr>
            <w:tcW w:w="2272" w:type="dxa"/>
            <w:vAlign w:val="center"/>
          </w:tcPr>
          <w:p>
            <w:pPr>
              <w:spacing w:before="0" w:after="0"/>
              <w:jc w:val="left"/>
            </w:pPr>
            <w:r>
              <w:rPr>
                <w:sz w:val="18"/>
                <w:szCs w:val="18"/>
              </w:rPr>
              <w:t xml:space="preserve">Stores in Northfield (19 stores)</w:t>
            </w:r>
          </w:p>
        </w:tc>
        <w:tc>
          <w:tcPr>
            <w:tcW w:w="1400" w:type="dxa"/>
            <w:vAlign w:val="center"/>
          </w:tcPr>
          <w:p>
            <w:pPr>
              <w:spacing w:before="0" w:after="0"/>
              <w:jc w:val="left"/>
            </w:pPr>
            <w:r>
              <w:rPr>
                <w:sz w:val="18"/>
                <w:szCs w:val="18"/>
              </w:rPr>
              <w:t xml:space="preserve">Coffee shops</w:t>
            </w:r>
          </w:p>
        </w:tc>
        <w:tc>
          <w:tcPr>
            <w:tcW w:w="1300" w:type="dxa"/>
            <w:vAlign w:val="center"/>
          </w:tcPr>
          <w:p>
            <w:pPr>
              <w:spacing w:before="0" w:after="0"/>
              <w:jc w:val="right"/>
            </w:pPr>
            <w:r>
              <w:rPr>
                <w:sz w:val="18"/>
                <w:szCs w:val="18"/>
              </w:rPr>
              <w:t xml:space="preserve">3,643</w:t>
            </w:r>
          </w:p>
        </w:tc>
        <w:tc>
          <w:tcPr>
            <w:tcW w:w="1300" w:type="dxa"/>
            <w:vAlign w:val="center"/>
          </w:tcPr>
          <w:p>
            <w:pPr>
              <w:spacing w:before="0" w:after="0"/>
              <w:jc w:val="right"/>
            </w:pPr>
            <w:r>
              <w:rPr>
                <w:sz w:val="18"/>
                <w:szCs w:val="18"/>
              </w:rPr>
              <w:t xml:space="preserve">5,251</w:t>
            </w:r>
          </w:p>
        </w:tc>
        <w:tc>
          <w:tcPr>
            <w:tcW w:w="1500" w:type="dxa"/>
            <w:vAlign w:val="center"/>
          </w:tcPr>
          <w:p>
            <w:pPr>
              <w:spacing w:before="0" w:after="0"/>
              <w:jc w:val="right"/>
            </w:pPr>
            <w:r>
              <w:rPr>
                <w:sz w:val="18"/>
                <w:szCs w:val="18"/>
              </w:rPr>
              <w:t xml:space="preserve">6,627</w:t>
            </w:r>
          </w:p>
        </w:tc>
        <w:tc>
          <w:tcPr>
            <w:tcW w:w="1300" w:type="dxa"/>
            <w:vAlign w:val="center"/>
          </w:tcPr>
          <w:p>
            <w:pPr>
              <w:spacing w:before="0" w:after="0"/>
              <w:jc w:val="right"/>
            </w:pPr>
            <w:r>
              <w:rPr>
                <w:sz w:val="18"/>
                <w:szCs w:val="18"/>
              </w:rPr>
              <w:t xml:space="preserve">16,019</w:t>
            </w:r>
          </w:p>
        </w:tc>
      </w:tr>
      <w:tr>
        <w:tc>
          <w:tcPr>
            <w:tcW w:w="2272" w:type="dxa"/>
            <w:vAlign w:val="center"/>
          </w:tcPr>
          <w:p>
            <w:pPr>
              <w:spacing w:before="0" w:after="0"/>
              <w:jc w:val="left"/>
            </w:pPr>
            <w:r>
              <w:rPr>
                <w:sz w:val="18"/>
                <w:szCs w:val="18"/>
              </w:rPr>
              <w:t xml:space="preserve">Stores in Eastbay (23 stores)</w:t>
            </w:r>
          </w:p>
        </w:tc>
        <w:tc>
          <w:tcPr>
            <w:tcW w:w="1400" w:type="dxa"/>
            <w:vAlign w:val="center"/>
          </w:tcPr>
          <w:p>
            <w:pPr>
              <w:spacing w:before="0" w:after="0"/>
              <w:jc w:val="left"/>
            </w:pPr>
            <w:r>
              <w:rPr>
                <w:sz w:val="18"/>
                <w:szCs w:val="18"/>
              </w:rPr>
              <w:t xml:space="preserve">Coffee shops</w:t>
            </w:r>
          </w:p>
        </w:tc>
        <w:tc>
          <w:tcPr>
            <w:tcW w:w="1300" w:type="dxa"/>
            <w:vAlign w:val="center"/>
          </w:tcPr>
          <w:p>
            <w:pPr>
              <w:spacing w:before="0" w:after="0"/>
              <w:jc w:val="right"/>
            </w:pPr>
            <w:r>
              <w:rPr>
                <w:sz w:val="18"/>
                <w:szCs w:val="18"/>
              </w:rPr>
              <w:t xml:space="preserve">3,769</w:t>
            </w:r>
          </w:p>
        </w:tc>
        <w:tc>
          <w:tcPr>
            <w:tcW w:w="1300" w:type="dxa"/>
            <w:vAlign w:val="center"/>
          </w:tcPr>
          <w:p>
            <w:pPr>
              <w:spacing w:before="0" w:after="0"/>
              <w:jc w:val="right"/>
            </w:pPr>
            <w:r>
              <w:rPr>
                <w:sz w:val="18"/>
                <w:szCs w:val="18"/>
              </w:rPr>
              <w:t xml:space="preserve">5,100</w:t>
            </w:r>
          </w:p>
        </w:tc>
        <w:tc>
          <w:tcPr>
            <w:tcW w:w="1500" w:type="dxa"/>
            <w:vAlign w:val="center"/>
          </w:tcPr>
          <w:p>
            <w:pPr>
              <w:spacing w:before="0" w:after="0"/>
              <w:jc w:val="right"/>
            </w:pPr>
            <w:r>
              <w:rPr>
                <w:sz w:val="18"/>
                <w:szCs w:val="18"/>
              </w:rPr>
              <w:t xml:space="preserve">6,587</w:t>
            </w:r>
          </w:p>
        </w:tc>
        <w:tc>
          <w:tcPr>
            <w:tcW w:w="1300" w:type="dxa"/>
            <w:vAlign w:val="center"/>
          </w:tcPr>
          <w:p>
            <w:pPr>
              <w:spacing w:before="0" w:after="0"/>
              <w:jc w:val="right"/>
            </w:pPr>
            <w:r>
              <w:rPr>
                <w:sz w:val="18"/>
                <w:szCs w:val="18"/>
              </w:rPr>
              <w:t xml:space="preserve">14,972</w:t>
            </w:r>
          </w:p>
        </w:tc>
      </w:tr>
      <w:tr>
        <w:tc>
          <w:tcPr>
            <w:tcW w:w="2272" w:type="dxa"/>
            <w:vAlign w:val="center"/>
          </w:tcPr>
          <w:p>
            <w:pPr>
              <w:spacing w:before="0" w:after="0"/>
              <w:jc w:val="left"/>
            </w:pPr>
            <w:r>
              <w:rPr>
                <w:sz w:val="18"/>
                <w:szCs w:val="18"/>
              </w:rPr>
              <w:t xml:space="preserve">Stores in Southport (33 stores)</w:t>
            </w:r>
          </w:p>
        </w:tc>
        <w:tc>
          <w:tcPr>
            <w:tcW w:w="1400" w:type="dxa"/>
            <w:vAlign w:val="center"/>
          </w:tcPr>
          <w:p>
            <w:pPr>
              <w:spacing w:before="0" w:after="0"/>
              <w:jc w:val="left"/>
            </w:pPr>
            <w:r>
              <w:rPr>
                <w:sz w:val="18"/>
                <w:szCs w:val="18"/>
              </w:rPr>
              <w:t xml:space="preserve">Coffee shops</w:t>
            </w:r>
          </w:p>
        </w:tc>
        <w:tc>
          <w:tcPr>
            <w:tcW w:w="1300" w:type="dxa"/>
            <w:vAlign w:val="center"/>
          </w:tcPr>
          <w:p>
            <w:pPr>
              <w:spacing w:before="0" w:after="0"/>
              <w:jc w:val="right"/>
            </w:pPr>
            <w:r>
              <w:rPr>
                <w:sz w:val="18"/>
                <w:szCs w:val="18"/>
              </w:rPr>
              <w:t xml:space="preserve">3,961</w:t>
            </w:r>
          </w:p>
        </w:tc>
        <w:tc>
          <w:tcPr>
            <w:tcW w:w="1300" w:type="dxa"/>
            <w:vAlign w:val="center"/>
          </w:tcPr>
          <w:p>
            <w:pPr>
              <w:spacing w:before="0" w:after="0"/>
              <w:jc w:val="right"/>
            </w:pPr>
            <w:r>
              <w:rPr>
                <w:sz w:val="18"/>
                <w:szCs w:val="18"/>
              </w:rPr>
              <w:t xml:space="preserve">5,271</w:t>
            </w:r>
          </w:p>
        </w:tc>
        <w:tc>
          <w:tcPr>
            <w:tcW w:w="1500" w:type="dxa"/>
            <w:vAlign w:val="center"/>
          </w:tcPr>
          <w:p>
            <w:pPr>
              <w:spacing w:before="0" w:after="0"/>
              <w:jc w:val="right"/>
            </w:pPr>
            <w:r>
              <w:rPr>
                <w:sz w:val="18"/>
                <w:szCs w:val="18"/>
              </w:rPr>
              <w:t xml:space="preserve">6,148</w:t>
            </w:r>
          </w:p>
        </w:tc>
        <w:tc>
          <w:tcPr>
            <w:tcW w:w="1300" w:type="dxa"/>
            <w:vAlign w:val="center"/>
          </w:tcPr>
          <w:p>
            <w:pPr>
              <w:spacing w:before="0" w:after="0"/>
              <w:jc w:val="right"/>
            </w:pPr>
            <w:r>
              <w:rPr>
                <w:sz w:val="18"/>
                <w:szCs w:val="18"/>
              </w:rPr>
              <w:t xml:space="preserve">14,211</w:t>
            </w:r>
          </w:p>
        </w:tc>
      </w:tr>
      <w:tr>
        <w:tc>
          <w:tcPr>
            <w:tcW w:w="2272" w:type="dxa"/>
            <w:vAlign w:val="center"/>
          </w:tcPr>
          <w:p>
            <w:pPr>
              <w:spacing w:before="0" w:after="0"/>
              <w:jc w:val="left"/>
            </w:pPr>
            <w:r>
              <w:rPr>
                <w:sz w:val="18"/>
                <w:szCs w:val="18"/>
              </w:rPr>
              <w:t xml:space="preserve">Stores in Westridge (12 stores)</w:t>
            </w:r>
          </w:p>
        </w:tc>
        <w:tc>
          <w:tcPr>
            <w:tcW w:w="1400" w:type="dxa"/>
            <w:vAlign w:val="center"/>
          </w:tcPr>
          <w:p>
            <w:pPr>
              <w:spacing w:before="0" w:after="0"/>
              <w:jc w:val="left"/>
            </w:pPr>
            <w:r>
              <w:rPr>
                <w:sz w:val="18"/>
                <w:szCs w:val="18"/>
              </w:rPr>
              <w:t xml:space="preserve">Coffee shops</w:t>
            </w:r>
          </w:p>
        </w:tc>
        <w:tc>
          <w:tcPr>
            <w:tcW w:w="1300" w:type="dxa"/>
            <w:vAlign w:val="center"/>
          </w:tcPr>
          <w:p>
            <w:pPr>
              <w:spacing w:before="0" w:after="0"/>
              <w:jc w:val="right"/>
            </w:pPr>
            <w:r>
              <w:rPr>
                <w:sz w:val="18"/>
                <w:szCs w:val="18"/>
              </w:rPr>
              <w:t xml:space="preserve">3,748</w:t>
            </w:r>
          </w:p>
        </w:tc>
        <w:tc>
          <w:tcPr>
            <w:tcW w:w="1300" w:type="dxa"/>
            <w:vAlign w:val="center"/>
          </w:tcPr>
          <w:p>
            <w:pPr>
              <w:spacing w:before="0" w:after="0"/>
              <w:jc w:val="right"/>
            </w:pPr>
            <w:r>
              <w:rPr>
                <w:sz w:val="18"/>
                <w:szCs w:val="18"/>
              </w:rPr>
              <w:t xml:space="preserve">4,989</w:t>
            </w:r>
          </w:p>
        </w:tc>
        <w:tc>
          <w:tcPr>
            <w:tcW w:w="1500" w:type="dxa"/>
            <w:vAlign w:val="center"/>
          </w:tcPr>
          <w:p>
            <w:pPr>
              <w:spacing w:before="0" w:after="0"/>
              <w:jc w:val="right"/>
            </w:pPr>
            <w:r>
              <w:rPr>
                <w:sz w:val="18"/>
                <w:szCs w:val="18"/>
              </w:rPr>
              <w:t xml:space="preserve">6,581</w:t>
            </w:r>
          </w:p>
        </w:tc>
        <w:tc>
          <w:tcPr>
            <w:tcW w:w="1300" w:type="dxa"/>
            <w:vAlign w:val="center"/>
          </w:tcPr>
          <w:p>
            <w:pPr>
              <w:spacing w:before="0" w:after="0"/>
              <w:jc w:val="right"/>
            </w:pPr>
            <w:r>
              <w:rPr>
                <w:sz w:val="18"/>
                <w:szCs w:val="18"/>
              </w:rPr>
              <w:t xml:space="preserve">15,046</w:t>
            </w:r>
          </w:p>
        </w:tc>
      </w:tr>
      <w:tr>
        <w:tc>
          <w:tcPr>
            <w:tcW w:w="2272" w:type="dxa"/>
            <w:vAlign w:val="center"/>
          </w:tcPr>
          <w:p>
            <w:pPr>
              <w:spacing w:before="0" w:after="0"/>
              <w:jc w:val="left"/>
            </w:pPr>
            <w:r>
              <w:rPr>
                <w:sz w:val="18"/>
                <w:szCs w:val="18"/>
              </w:rPr>
              <w:t xml:space="preserve">Stores in Lakeside (15 stores)</w:t>
            </w:r>
          </w:p>
        </w:tc>
        <w:tc>
          <w:tcPr>
            <w:tcW w:w="1400" w:type="dxa"/>
            <w:vAlign w:val="center"/>
          </w:tcPr>
          <w:p>
            <w:pPr>
              <w:spacing w:before="0" w:after="0"/>
              <w:jc w:val="left"/>
            </w:pPr>
            <w:r>
              <w:rPr>
                <w:sz w:val="18"/>
                <w:szCs w:val="18"/>
              </w:rPr>
              <w:t xml:space="preserve">Coffee shops</w:t>
            </w:r>
          </w:p>
        </w:tc>
        <w:tc>
          <w:tcPr>
            <w:tcW w:w="1300" w:type="dxa"/>
            <w:vAlign w:val="center"/>
          </w:tcPr>
          <w:p>
            <w:pPr>
              <w:spacing w:before="0" w:after="0"/>
              <w:jc w:val="right"/>
            </w:pPr>
            <w:r>
              <w:rPr>
                <w:sz w:val="18"/>
                <w:szCs w:val="18"/>
              </w:rPr>
              <w:t xml:space="preserve">3,719</w:t>
            </w:r>
          </w:p>
        </w:tc>
        <w:tc>
          <w:tcPr>
            <w:tcW w:w="1300" w:type="dxa"/>
            <w:vAlign w:val="center"/>
          </w:tcPr>
          <w:p>
            <w:pPr>
              <w:spacing w:before="0" w:after="0"/>
              <w:jc w:val="right"/>
            </w:pPr>
            <w:r>
              <w:rPr>
                <w:sz w:val="18"/>
                <w:szCs w:val="18"/>
              </w:rPr>
              <w:t xml:space="preserve">4,940</w:t>
            </w:r>
          </w:p>
        </w:tc>
        <w:tc>
          <w:tcPr>
            <w:tcW w:w="1500" w:type="dxa"/>
            <w:vAlign w:val="center"/>
          </w:tcPr>
          <w:p>
            <w:pPr>
              <w:spacing w:before="0" w:after="0"/>
              <w:jc w:val="right"/>
            </w:pPr>
            <w:r>
              <w:rPr>
                <w:sz w:val="18"/>
                <w:szCs w:val="18"/>
              </w:rPr>
              <w:t xml:space="preserve">6,522</w:t>
            </w:r>
          </w:p>
        </w:tc>
        <w:tc>
          <w:tcPr>
            <w:tcW w:w="1300" w:type="dxa"/>
            <w:vAlign w:val="center"/>
          </w:tcPr>
          <w:p>
            <w:pPr>
              <w:spacing w:before="0" w:after="0"/>
              <w:jc w:val="right"/>
            </w:pPr>
            <w:r>
              <w:rPr>
                <w:sz w:val="18"/>
                <w:szCs w:val="18"/>
              </w:rPr>
              <w:t xml:space="preserve">15,745</w:t>
            </w:r>
          </w:p>
        </w:tc>
      </w:tr>
      <w:tr>
        <w:tc>
          <w:tcPr>
            <w:tcW w:w="2272" w:type="dxa"/>
            <w:vAlign w:val="center"/>
          </w:tcPr>
          <w:p>
            <w:pPr>
              <w:spacing w:before="0" w:after="0"/>
              <w:jc w:val="left"/>
            </w:pPr>
            <w:r>
              <w:rPr>
                <w:sz w:val="18"/>
                <w:szCs w:val="18"/>
              </w:rPr>
              <w:t xml:space="preserve">Stores in Hillcrest (16 stores)</w:t>
            </w:r>
          </w:p>
        </w:tc>
        <w:tc>
          <w:tcPr>
            <w:tcW w:w="1400" w:type="dxa"/>
            <w:vAlign w:val="center"/>
          </w:tcPr>
          <w:p>
            <w:pPr>
              <w:spacing w:before="0" w:after="0"/>
              <w:jc w:val="left"/>
            </w:pPr>
            <w:r>
              <w:rPr>
                <w:sz w:val="18"/>
                <w:szCs w:val="18"/>
              </w:rPr>
              <w:t xml:space="preserve">Coffee shops</w:t>
            </w:r>
          </w:p>
        </w:tc>
        <w:tc>
          <w:tcPr>
            <w:tcW w:w="1300" w:type="dxa"/>
            <w:vAlign w:val="center"/>
          </w:tcPr>
          <w:p>
            <w:pPr>
              <w:spacing w:before="0" w:after="0"/>
              <w:jc w:val="right"/>
            </w:pPr>
            <w:r>
              <w:rPr>
                <w:sz w:val="18"/>
                <w:szCs w:val="18"/>
              </w:rPr>
              <w:t xml:space="preserve">4,051</w:t>
            </w:r>
          </w:p>
        </w:tc>
        <w:tc>
          <w:tcPr>
            <w:tcW w:w="1300" w:type="dxa"/>
            <w:vAlign w:val="center"/>
          </w:tcPr>
          <w:p>
            <w:pPr>
              <w:spacing w:before="0" w:after="0"/>
              <w:jc w:val="right"/>
            </w:pPr>
            <w:r>
              <w:rPr>
                <w:sz w:val="18"/>
                <w:szCs w:val="18"/>
              </w:rPr>
              <w:t xml:space="preserve">5,375</w:t>
            </w:r>
          </w:p>
        </w:tc>
        <w:tc>
          <w:tcPr>
            <w:tcW w:w="1500" w:type="dxa"/>
            <w:vAlign w:val="center"/>
          </w:tcPr>
          <w:p>
            <w:pPr>
              <w:spacing w:before="0" w:after="0"/>
              <w:jc w:val="right"/>
            </w:pPr>
            <w:r>
              <w:rPr>
                <w:sz w:val="18"/>
                <w:szCs w:val="18"/>
              </w:rPr>
              <w:t xml:space="preserve">6,381</w:t>
            </w:r>
          </w:p>
        </w:tc>
        <w:tc>
          <w:tcPr>
            <w:tcW w:w="1300" w:type="dxa"/>
            <w:vAlign w:val="center"/>
          </w:tcPr>
          <w:p>
            <w:pPr>
              <w:spacing w:before="0" w:after="0"/>
              <w:jc w:val="right"/>
            </w:pPr>
            <w:r>
              <w:rPr>
                <w:sz w:val="18"/>
                <w:szCs w:val="18"/>
              </w:rPr>
              <w:t xml:space="preserve">15,037</w:t>
            </w:r>
          </w:p>
        </w:tc>
      </w:tr>
      <w:tr>
        <w:tc>
          <w:tcPr>
            <w:tcW w:w="2272" w:type="dxa"/>
            <w:vAlign w:val="center"/>
          </w:tcPr>
          <w:p>
            <w:pPr>
              <w:spacing w:before="0" w:after="0"/>
              <w:jc w:val="left"/>
            </w:pPr>
            <w:r>
              <w:rPr>
                <w:sz w:val="18"/>
                <w:szCs w:val="18"/>
              </w:rPr>
              <w:t xml:space="preserve">Stores in Riverside (27 stores)</w:t>
            </w:r>
          </w:p>
        </w:tc>
        <w:tc>
          <w:tcPr>
            <w:tcW w:w="1400" w:type="dxa"/>
            <w:vAlign w:val="center"/>
          </w:tcPr>
          <w:p>
            <w:pPr>
              <w:spacing w:before="0" w:after="0"/>
              <w:jc w:val="left"/>
            </w:pPr>
            <w:r>
              <w:rPr>
                <w:sz w:val="18"/>
                <w:szCs w:val="18"/>
              </w:rPr>
              <w:t xml:space="preserve">Coffee shops</w:t>
            </w:r>
          </w:p>
        </w:tc>
        <w:tc>
          <w:tcPr>
            <w:tcW w:w="1300" w:type="dxa"/>
            <w:vAlign w:val="center"/>
          </w:tcPr>
          <w:p>
            <w:pPr>
              <w:spacing w:before="0" w:after="0"/>
              <w:jc w:val="right"/>
            </w:pPr>
            <w:r>
              <w:rPr>
                <w:sz w:val="18"/>
                <w:szCs w:val="18"/>
              </w:rPr>
              <w:t xml:space="preserve">4,083</w:t>
            </w:r>
          </w:p>
        </w:tc>
        <w:tc>
          <w:tcPr>
            <w:tcW w:w="1300" w:type="dxa"/>
            <w:vAlign w:val="center"/>
          </w:tcPr>
          <w:p>
            <w:pPr>
              <w:spacing w:before="0" w:after="0"/>
              <w:jc w:val="right"/>
            </w:pPr>
            <w:r>
              <w:rPr>
                <w:sz w:val="18"/>
                <w:szCs w:val="18"/>
              </w:rPr>
              <w:t xml:space="preserve">5,599</w:t>
            </w:r>
          </w:p>
        </w:tc>
        <w:tc>
          <w:tcPr>
            <w:tcW w:w="1500" w:type="dxa"/>
            <w:vAlign w:val="center"/>
          </w:tcPr>
          <w:p>
            <w:pPr>
              <w:spacing w:before="0" w:after="0"/>
              <w:jc w:val="right"/>
            </w:pPr>
            <w:r>
              <w:rPr>
                <w:sz w:val="18"/>
                <w:szCs w:val="18"/>
              </w:rPr>
              <w:t xml:space="preserve">6,611</w:t>
            </w:r>
          </w:p>
        </w:tc>
        <w:tc>
          <w:tcPr>
            <w:tcW w:w="1300" w:type="dxa"/>
            <w:vAlign w:val="center"/>
          </w:tcPr>
          <w:p>
            <w:pPr>
              <w:spacing w:before="0" w:after="0"/>
              <w:jc w:val="right"/>
            </w:pPr>
            <w:r>
              <w:rPr>
                <w:sz w:val="18"/>
                <w:szCs w:val="18"/>
              </w:rPr>
              <w:t xml:space="preserve">16,384</w:t>
            </w:r>
          </w:p>
        </w:tc>
      </w:tr>
      <w:tr>
        <w:tc>
          <w:tcPr>
            <w:tcW w:w="2272" w:type="dxa"/>
            <w:vAlign w:val="center"/>
          </w:tcPr>
          <w:p>
            <w:pPr>
              <w:spacing w:before="0" w:after="0"/>
              <w:jc w:val="left"/>
            </w:pPr>
            <w:r>
              <w:rPr>
                <w:sz w:val="18"/>
                <w:szCs w:val="18"/>
              </w:rPr>
              <w:t xml:space="preserve">Stores in Harborview (16 stores)</w:t>
            </w:r>
          </w:p>
        </w:tc>
        <w:tc>
          <w:tcPr>
            <w:tcW w:w="1400" w:type="dxa"/>
            <w:vAlign w:val="center"/>
          </w:tcPr>
          <w:p>
            <w:pPr>
              <w:spacing w:before="0" w:after="0"/>
              <w:jc w:val="left"/>
            </w:pPr>
            <w:r>
              <w:rPr>
                <w:sz w:val="18"/>
                <w:szCs w:val="18"/>
              </w:rPr>
              <w:t xml:space="preserve">Coffee shops</w:t>
            </w:r>
          </w:p>
        </w:tc>
        <w:tc>
          <w:tcPr>
            <w:tcW w:w="1300" w:type="dxa"/>
            <w:vAlign w:val="center"/>
          </w:tcPr>
          <w:p>
            <w:pPr>
              <w:spacing w:before="0" w:after="0"/>
              <w:jc w:val="right"/>
            </w:pPr>
            <w:r>
              <w:rPr>
                <w:sz w:val="18"/>
                <w:szCs w:val="18"/>
              </w:rPr>
              <w:t xml:space="preserve">4,095</w:t>
            </w:r>
          </w:p>
        </w:tc>
        <w:tc>
          <w:tcPr>
            <w:tcW w:w="1300" w:type="dxa"/>
            <w:vAlign w:val="center"/>
          </w:tcPr>
          <w:p>
            <w:pPr>
              <w:spacing w:before="0" w:after="0"/>
              <w:jc w:val="right"/>
            </w:pPr>
            <w:r>
              <w:rPr>
                <w:sz w:val="18"/>
                <w:szCs w:val="18"/>
              </w:rPr>
              <w:t xml:space="preserve">5,370</w:t>
            </w:r>
          </w:p>
        </w:tc>
        <w:tc>
          <w:tcPr>
            <w:tcW w:w="1500" w:type="dxa"/>
            <w:vAlign w:val="center"/>
          </w:tcPr>
          <w:p>
            <w:pPr>
              <w:spacing w:before="0" w:after="0"/>
              <w:jc w:val="right"/>
            </w:pPr>
            <w:r>
              <w:rPr>
                <w:sz w:val="18"/>
                <w:szCs w:val="18"/>
              </w:rPr>
              <w:t xml:space="preserve">6,512</w:t>
            </w:r>
          </w:p>
        </w:tc>
        <w:tc>
          <w:tcPr>
            <w:tcW w:w="1300" w:type="dxa"/>
            <w:vAlign w:val="center"/>
          </w:tcPr>
          <w:p>
            <w:pPr>
              <w:spacing w:before="0" w:after="0"/>
              <w:jc w:val="right"/>
            </w:pPr>
            <w:r>
              <w:rPr>
                <w:sz w:val="18"/>
                <w:szCs w:val="18"/>
              </w:rPr>
              <w:t xml:space="preserve">14,827</w:t>
            </w:r>
          </w:p>
        </w:tc>
      </w:tr>
    </w:tbl>
    <w:p>
      <w:pPr/>
    </w:p>
    <w:tbl>
      <w:tblPr>
        <w:tblW w:w="907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72" w:type="dxa"/>
          <w:right w:w="72" w:type="dxa"/>
        </w:tblCellMar>
      </w:tblPr>
      <w:tblGrid>
        <w:gridCol w:w="2672"/>
        <w:gridCol w:w="1800"/>
        <w:gridCol w:w="1500"/>
        <w:gridCol w:w="1300"/>
        <w:gridCol w:w="1800"/>
      </w:tblGrid>
      <w:tr>
        <w:trPr>
          <w:tblHeader/>
        </w:trPr>
        <w:tc>
          <w:tcPr>
            <w:tcW w:w="2672" w:type="dxa"/>
            <w:shd w:val="clear" w:color="auto" w:fill="DDEBF7"/>
            <w:vAlign w:val="center"/>
          </w:tcPr>
          <w:p>
            <w:pPr>
              <w:spacing w:before="0" w:after="0"/>
              <w:jc w:val="center"/>
            </w:pPr>
            <w:r>
              <w:rPr>
                <w:b/>
                <w:sz w:val="18"/>
                <w:szCs w:val="18"/>
              </w:rPr>
              <w:t xml:space="preserve">Region</w:t>
            </w:r>
          </w:p>
        </w:tc>
        <w:tc>
          <w:tcPr>
            <w:tcW w:w="1800" w:type="dxa"/>
            <w:shd w:val="clear" w:color="auto" w:fill="DDEBF7"/>
            <w:vAlign w:val="center"/>
          </w:tcPr>
          <w:p>
            <w:pPr>
              <w:spacing w:before="0" w:after="0"/>
              <w:jc w:val="center"/>
            </w:pPr>
            <w:r>
              <w:rPr>
                <w:b/>
                <w:sz w:val="18"/>
                <w:szCs w:val="18"/>
              </w:rPr>
              <w:t xml:space="preserve">Stores at beginning of year</w:t>
            </w:r>
          </w:p>
        </w:tc>
        <w:tc>
          <w:tcPr>
            <w:tcW w:w="1500" w:type="dxa"/>
            <w:shd w:val="clear" w:color="auto" w:fill="DDEBF7"/>
            <w:vAlign w:val="center"/>
          </w:tcPr>
          <w:p>
            <w:pPr>
              <w:spacing w:before="0" w:after="0"/>
              <w:jc w:val="center"/>
            </w:pPr>
            <w:r>
              <w:rPr>
                <w:b/>
                <w:sz w:val="18"/>
                <w:szCs w:val="18"/>
              </w:rPr>
              <w:t xml:space="preserve">Opened</w:t>
            </w:r>
          </w:p>
        </w:tc>
        <w:tc>
          <w:tcPr>
            <w:tcW w:w="1300" w:type="dxa"/>
            <w:shd w:val="clear" w:color="auto" w:fill="DDEBF7"/>
            <w:vAlign w:val="center"/>
          </w:tcPr>
          <w:p>
            <w:pPr>
              <w:spacing w:before="0" w:after="0"/>
              <w:jc w:val="center"/>
            </w:pPr>
            <w:r>
              <w:rPr>
                <w:b/>
                <w:sz w:val="18"/>
                <w:szCs w:val="18"/>
              </w:rPr>
              <w:t xml:space="preserve">Closed</w:t>
            </w:r>
          </w:p>
        </w:tc>
        <w:tc>
          <w:tcPr>
            <w:tcW w:w="1800" w:type="dxa"/>
            <w:shd w:val="clear" w:color="auto" w:fill="DDEBF7"/>
            <w:vAlign w:val="center"/>
          </w:tcPr>
          <w:p>
            <w:pPr>
              <w:spacing w:before="0" w:after="0"/>
              <w:jc w:val="center"/>
            </w:pPr>
            <w:r>
              <w:rPr>
                <w:b/>
                <w:sz w:val="18"/>
                <w:szCs w:val="18"/>
              </w:rPr>
              <w:t xml:space="preserve">Stores at end of year</w:t>
            </w:r>
          </w:p>
        </w:tc>
      </w:tr>
      <w:tr>
        <w:tc>
          <w:tcPr>
            <w:tcW w:w="2672" w:type="dxa"/>
            <w:vAlign w:val="center"/>
          </w:tcPr>
          <w:p>
            <w:pPr>
              <w:spacing w:before="0" w:after="0"/>
              <w:jc w:val="left"/>
            </w:pPr>
            <w:r>
              <w:rPr>
                <w:sz w:val="18"/>
                <w:szCs w:val="18"/>
              </w:rPr>
              <w:t xml:space="preserve">Northfield</w:t>
            </w:r>
          </w:p>
        </w:tc>
        <w:tc>
          <w:tcPr>
            <w:tcW w:w="1800" w:type="dxa"/>
            <w:vAlign w:val="center"/>
          </w:tcPr>
          <w:p>
            <w:pPr>
              <w:spacing w:before="0" w:after="0"/>
              <w:jc w:val="right"/>
            </w:pPr>
            <w:r>
              <w:rPr>
                <w:sz w:val="18"/>
                <w:szCs w:val="18"/>
              </w:rPr>
              <w:t xml:space="preserve">22</w:t>
            </w:r>
          </w:p>
        </w:tc>
        <w:tc>
          <w:tcPr>
            <w:tcW w:w="1500" w:type="dxa"/>
            <w:vAlign w:val="center"/>
          </w:tcPr>
          <w:p>
            <w:pPr>
              <w:spacing w:before="0" w:after="0"/>
              <w:jc w:val="right"/>
            </w:pPr>
            <w:r>
              <w:rPr>
                <w:sz w:val="18"/>
                <w:szCs w:val="18"/>
              </w:rPr>
              <w:t xml:space="preserve">2</w:t>
            </w:r>
          </w:p>
        </w:tc>
        <w:tc>
          <w:tcPr>
            <w:tcW w:w="1300" w:type="dxa"/>
            <w:vAlign w:val="center"/>
          </w:tcPr>
          <w:p>
            <w:pPr>
              <w:spacing w:before="0" w:after="0"/>
              <w:jc w:val="right"/>
            </w:pPr>
            <w:r>
              <w:rPr>
                <w:sz w:val="18"/>
                <w:szCs w:val="18"/>
              </w:rPr>
              <w:t xml:space="preserve">1</w:t>
            </w:r>
          </w:p>
        </w:tc>
        <w:tc>
          <w:tcPr>
            <w:tcW w:w="1800" w:type="dxa"/>
            <w:vAlign w:val="center"/>
          </w:tcPr>
          <w:p>
            <w:pPr>
              <w:spacing w:before="0" w:after="0"/>
              <w:jc w:val="right"/>
            </w:pPr>
            <w:r>
              <w:rPr>
                <w:sz w:val="18"/>
                <w:szCs w:val="18"/>
              </w:rPr>
              <w:t xml:space="preserve">23</w:t>
            </w:r>
          </w:p>
        </w:tc>
      </w:tr>
      <w:tr>
        <w:tc>
          <w:tcPr>
            <w:tcW w:w="2672" w:type="dxa"/>
            <w:vAlign w:val="center"/>
          </w:tcPr>
          <w:p>
            <w:pPr>
              <w:spacing w:before="0" w:after="0"/>
              <w:jc w:val="left"/>
            </w:pPr>
            <w:r>
              <w:rPr>
                <w:sz w:val="18"/>
                <w:szCs w:val="18"/>
              </w:rPr>
              <w:t xml:space="preserve">Eastbay</w:t>
            </w:r>
          </w:p>
        </w:tc>
        <w:tc>
          <w:tcPr>
            <w:tcW w:w="1800" w:type="dxa"/>
            <w:vAlign w:val="center"/>
          </w:tcPr>
          <w:p>
            <w:pPr>
              <w:spacing w:before="0" w:after="0"/>
              <w:jc w:val="right"/>
            </w:pPr>
            <w:r>
              <w:rPr>
                <w:sz w:val="18"/>
                <w:szCs w:val="18"/>
              </w:rPr>
              <w:t xml:space="preserve">14</w:t>
            </w:r>
          </w:p>
        </w:tc>
        <w:tc>
          <w:tcPr>
            <w:tcW w:w="1500" w:type="dxa"/>
            <w:vAlign w:val="center"/>
          </w:tcPr>
          <w:p>
            <w:pPr>
              <w:spacing w:before="0" w:after="0"/>
              <w:jc w:val="right"/>
            </w:pPr>
            <w:r>
              <w:rPr>
                <w:sz w:val="18"/>
                <w:szCs w:val="18"/>
              </w:rPr>
              <w:t xml:space="preserve">3</w:t>
            </w:r>
          </w:p>
        </w:tc>
        <w:tc>
          <w:tcPr>
            <w:tcW w:w="1300" w:type="dxa"/>
            <w:vAlign w:val="center"/>
          </w:tcPr>
          <w:p>
            <w:pPr>
              <w:spacing w:before="0" w:after="0"/>
              <w:jc w:val="right"/>
            </w:pPr>
            <w:r>
              <w:rPr>
                <w:sz w:val="18"/>
                <w:szCs w:val="18"/>
              </w:rPr>
              <w:t xml:space="preserve">1</w:t>
            </w:r>
          </w:p>
        </w:tc>
        <w:tc>
          <w:tcPr>
            <w:tcW w:w="1800" w:type="dxa"/>
            <w:vAlign w:val="center"/>
          </w:tcPr>
          <w:p>
            <w:pPr>
              <w:spacing w:before="0" w:after="0"/>
              <w:jc w:val="right"/>
            </w:pPr>
            <w:r>
              <w:rPr>
                <w:sz w:val="18"/>
                <w:szCs w:val="18"/>
              </w:rPr>
              <w:t xml:space="preserve">16</w:t>
            </w:r>
          </w:p>
        </w:tc>
      </w:tr>
      <w:tr>
        <w:tc>
          <w:tcPr>
            <w:tcW w:w="2672" w:type="dxa"/>
            <w:vAlign w:val="center"/>
          </w:tcPr>
          <w:p>
            <w:pPr>
              <w:spacing w:before="0" w:after="0"/>
              <w:jc w:val="left"/>
            </w:pPr>
            <w:r>
              <w:rPr>
                <w:sz w:val="18"/>
                <w:szCs w:val="18"/>
              </w:rPr>
              <w:t xml:space="preserve">Southport</w:t>
            </w:r>
          </w:p>
        </w:tc>
        <w:tc>
          <w:tcPr>
            <w:tcW w:w="1800" w:type="dxa"/>
            <w:vAlign w:val="center"/>
          </w:tcPr>
          <w:p>
            <w:pPr>
              <w:spacing w:before="0" w:after="0"/>
              <w:jc w:val="right"/>
            </w:pPr>
            <w:r>
              <w:rPr>
                <w:sz w:val="18"/>
                <w:szCs w:val="18"/>
              </w:rPr>
              <w:t xml:space="preserve">14</w:t>
            </w:r>
          </w:p>
        </w:tc>
        <w:tc>
          <w:tcPr>
            <w:tcW w:w="1500" w:type="dxa"/>
            <w:vAlign w:val="center"/>
          </w:tcPr>
          <w:p>
            <w:pPr>
              <w:spacing w:before="0" w:after="0"/>
              <w:jc w:val="right"/>
            </w:pPr>
            <w:r>
              <w:rPr>
                <w:sz w:val="18"/>
                <w:szCs w:val="18"/>
              </w:rPr>
              <w:t xml:space="preserve">4</w:t>
            </w:r>
          </w:p>
        </w:tc>
        <w:tc>
          <w:tcPr>
            <w:tcW w:w="1300" w:type="dxa"/>
            <w:vAlign w:val="center"/>
          </w:tcPr>
          <w:p>
            <w:pPr>
              <w:spacing w:before="0" w:after="0"/>
              <w:jc w:val="right"/>
            </w:pPr>
            <w:r>
              <w:rPr>
                <w:sz w:val="18"/>
                <w:szCs w:val="18"/>
              </w:rPr>
              <w:t xml:space="preserve">1</w:t>
            </w:r>
          </w:p>
        </w:tc>
        <w:tc>
          <w:tcPr>
            <w:tcW w:w="1800" w:type="dxa"/>
            <w:vAlign w:val="center"/>
          </w:tcPr>
          <w:p>
            <w:pPr>
              <w:spacing w:before="0" w:after="0"/>
              <w:jc w:val="right"/>
            </w:pPr>
            <w:r>
              <w:rPr>
                <w:sz w:val="18"/>
                <w:szCs w:val="18"/>
              </w:rPr>
              <w:t xml:space="preserve">17</w:t>
            </w:r>
          </w:p>
        </w:tc>
      </w:tr>
      <w:tr>
        <w:tc>
          <w:tcPr>
            <w:tcW w:w="2672" w:type="dxa"/>
            <w:vAlign w:val="center"/>
          </w:tcPr>
          <w:p>
            <w:pPr>
              <w:spacing w:before="0" w:after="0"/>
              <w:jc w:val="left"/>
            </w:pPr>
            <w:r>
              <w:rPr>
                <w:sz w:val="18"/>
                <w:szCs w:val="18"/>
              </w:rPr>
              <w:t xml:space="preserve">Westridge</w:t>
            </w:r>
          </w:p>
        </w:tc>
        <w:tc>
          <w:tcPr>
            <w:tcW w:w="1800" w:type="dxa"/>
            <w:vAlign w:val="center"/>
          </w:tcPr>
          <w:p>
            <w:pPr>
              <w:spacing w:before="0" w:after="0"/>
              <w:jc w:val="right"/>
            </w:pPr>
            <w:r>
              <w:rPr>
                <w:sz w:val="18"/>
                <w:szCs w:val="18"/>
              </w:rPr>
              <w:t xml:space="preserve">16</w:t>
            </w:r>
          </w:p>
        </w:tc>
        <w:tc>
          <w:tcPr>
            <w:tcW w:w="1500" w:type="dxa"/>
            <w:vAlign w:val="center"/>
          </w:tcPr>
          <w:p>
            <w:pPr>
              <w:spacing w:before="0" w:after="0"/>
              <w:jc w:val="right"/>
            </w:pPr>
            <w:r>
              <w:rPr>
                <w:sz w:val="18"/>
                <w:szCs w:val="18"/>
              </w:rPr>
              <w:t xml:space="preserve">3</w:t>
            </w:r>
          </w:p>
        </w:tc>
        <w:tc>
          <w:tcPr>
            <w:tcW w:w="1300" w:type="dxa"/>
            <w:vAlign w:val="center"/>
          </w:tcPr>
          <w:p>
            <w:pPr>
              <w:spacing w:before="0" w:after="0"/>
              <w:jc w:val="right"/>
            </w:pPr>
            <w:r>
              <w:rPr>
                <w:sz w:val="18"/>
                <w:szCs w:val="18"/>
              </w:rPr>
              <w:t xml:space="preserve">1</w:t>
            </w:r>
          </w:p>
        </w:tc>
        <w:tc>
          <w:tcPr>
            <w:tcW w:w="1800" w:type="dxa"/>
            <w:vAlign w:val="center"/>
          </w:tcPr>
          <w:p>
            <w:pPr>
              <w:spacing w:before="0" w:after="0"/>
              <w:jc w:val="right"/>
            </w:pPr>
            <w:r>
              <w:rPr>
                <w:sz w:val="18"/>
                <w:szCs w:val="18"/>
              </w:rPr>
              <w:t xml:space="preserve">18</w:t>
            </w:r>
          </w:p>
        </w:tc>
      </w:tr>
      <w:tr>
        <w:tc>
          <w:tcPr>
            <w:tcW w:w="2672" w:type="dxa"/>
            <w:vAlign w:val="center"/>
          </w:tcPr>
          <w:p>
            <w:pPr>
              <w:spacing w:before="0" w:after="0"/>
              <w:jc w:val="left"/>
            </w:pPr>
            <w:r>
              <w:rPr>
                <w:sz w:val="18"/>
                <w:szCs w:val="18"/>
              </w:rPr>
              <w:t xml:space="preserve">Lakeside</w:t>
            </w:r>
          </w:p>
        </w:tc>
        <w:tc>
          <w:tcPr>
            <w:tcW w:w="1800" w:type="dxa"/>
            <w:vAlign w:val="center"/>
          </w:tcPr>
          <w:p>
            <w:pPr>
              <w:spacing w:before="0" w:after="0"/>
              <w:jc w:val="right"/>
            </w:pPr>
            <w:r>
              <w:rPr>
                <w:sz w:val="18"/>
                <w:szCs w:val="18"/>
              </w:rPr>
              <w:t xml:space="preserve">12</w:t>
            </w:r>
          </w:p>
        </w:tc>
        <w:tc>
          <w:tcPr>
            <w:tcW w:w="1500" w:type="dxa"/>
            <w:vAlign w:val="center"/>
          </w:tcPr>
          <w:p>
            <w:pPr>
              <w:spacing w:before="0" w:after="0"/>
              <w:jc w:val="right"/>
            </w:pPr>
            <w:r>
              <w:rPr>
                <w:sz w:val="18"/>
                <w:szCs w:val="18"/>
              </w:rPr>
              <w:t xml:space="preserve">3</w:t>
            </w:r>
          </w:p>
        </w:tc>
        <w:tc>
          <w:tcPr>
            <w:tcW w:w="1300" w:type="dxa"/>
            <w:vAlign w:val="center"/>
          </w:tcPr>
          <w:p>
            <w:pPr>
              <w:spacing w:before="0" w:after="0"/>
              <w:jc w:val="right"/>
            </w:pPr>
            <w:r>
              <w:rPr>
                <w:sz w:val="18"/>
                <w:szCs w:val="18"/>
              </w:rPr>
              <w:t xml:space="preserve">1</w:t>
            </w:r>
          </w:p>
        </w:tc>
        <w:tc>
          <w:tcPr>
            <w:tcW w:w="1800" w:type="dxa"/>
            <w:vAlign w:val="center"/>
          </w:tcPr>
          <w:p>
            <w:pPr>
              <w:spacing w:before="0" w:after="0"/>
              <w:jc w:val="right"/>
            </w:pPr>
            <w:r>
              <w:rPr>
                <w:sz w:val="18"/>
                <w:szCs w:val="18"/>
              </w:rPr>
              <w:t xml:space="preserve">14</w:t>
            </w:r>
          </w:p>
        </w:tc>
      </w:tr>
      <w:tr>
        <w:tc>
          <w:tcPr>
            <w:tcW w:w="2672" w:type="dxa"/>
            <w:vAlign w:val="center"/>
          </w:tcPr>
          <w:p>
            <w:pPr>
              <w:spacing w:before="0" w:after="0"/>
              <w:jc w:val="left"/>
            </w:pPr>
            <w:r>
              <w:rPr>
                <w:sz w:val="18"/>
                <w:szCs w:val="18"/>
              </w:rPr>
              <w:t xml:space="preserve">Hillcrest</w:t>
            </w:r>
          </w:p>
        </w:tc>
        <w:tc>
          <w:tcPr>
            <w:tcW w:w="1800" w:type="dxa"/>
            <w:vAlign w:val="center"/>
          </w:tcPr>
          <w:p>
            <w:pPr>
              <w:spacing w:before="0" w:after="0"/>
              <w:jc w:val="right"/>
            </w:pPr>
            <w:r>
              <w:rPr>
                <w:sz w:val="18"/>
                <w:szCs w:val="18"/>
              </w:rPr>
              <w:t xml:space="preserve">30</w:t>
            </w:r>
          </w:p>
        </w:tc>
        <w:tc>
          <w:tcPr>
            <w:tcW w:w="1500" w:type="dxa"/>
            <w:vAlign w:val="center"/>
          </w:tcPr>
          <w:p>
            <w:pPr>
              <w:spacing w:before="0" w:after="0"/>
              <w:jc w:val="right"/>
            </w:pPr>
            <w:r>
              <w:rPr>
                <w:sz w:val="18"/>
                <w:szCs w:val="18"/>
              </w:rPr>
              <w:t xml:space="preserve">0</w:t>
            </w:r>
          </w:p>
        </w:tc>
        <w:tc>
          <w:tcPr>
            <w:tcW w:w="1300" w:type="dxa"/>
            <w:vAlign w:val="center"/>
          </w:tcPr>
          <w:p>
            <w:pPr>
              <w:spacing w:before="0" w:after="0"/>
              <w:jc w:val="right"/>
            </w:pPr>
            <w:r>
              <w:rPr>
                <w:sz w:val="18"/>
                <w:szCs w:val="18"/>
              </w:rPr>
              <w:t xml:space="preserve">0</w:t>
            </w:r>
          </w:p>
        </w:tc>
        <w:tc>
          <w:tcPr>
            <w:tcW w:w="1800" w:type="dxa"/>
            <w:vAlign w:val="center"/>
          </w:tcPr>
          <w:p>
            <w:pPr>
              <w:spacing w:before="0" w:after="0"/>
              <w:jc w:val="right"/>
            </w:pPr>
            <w:r>
              <w:rPr>
                <w:sz w:val="18"/>
                <w:szCs w:val="18"/>
              </w:rPr>
              <w:t xml:space="preserve">30</w:t>
            </w:r>
          </w:p>
        </w:tc>
      </w:tr>
      <w:tr>
        <w:tc>
          <w:tcPr>
            <w:tcW w:w="2672" w:type="dxa"/>
            <w:vAlign w:val="center"/>
          </w:tcPr>
          <w:p>
            <w:pPr>
              <w:spacing w:before="0" w:after="0"/>
              <w:jc w:val="left"/>
            </w:pPr>
            <w:r>
              <w:rPr>
                <w:sz w:val="18"/>
                <w:szCs w:val="18"/>
              </w:rPr>
              <w:t xml:space="preserve">Riverside</w:t>
            </w:r>
          </w:p>
        </w:tc>
        <w:tc>
          <w:tcPr>
            <w:tcW w:w="1800" w:type="dxa"/>
            <w:vAlign w:val="center"/>
          </w:tcPr>
          <w:p>
            <w:pPr>
              <w:spacing w:before="0" w:after="0"/>
              <w:jc w:val="right"/>
            </w:pPr>
            <w:r>
              <w:rPr>
                <w:sz w:val="18"/>
                <w:szCs w:val="18"/>
              </w:rPr>
              <w:t xml:space="preserve">18</w:t>
            </w:r>
          </w:p>
        </w:tc>
        <w:tc>
          <w:tcPr>
            <w:tcW w:w="1500" w:type="dxa"/>
            <w:vAlign w:val="center"/>
          </w:tcPr>
          <w:p>
            <w:pPr>
              <w:spacing w:before="0" w:after="0"/>
              <w:jc w:val="right"/>
            </w:pPr>
            <w:r>
              <w:rPr>
                <w:sz w:val="18"/>
                <w:szCs w:val="18"/>
              </w:rPr>
              <w:t xml:space="preserve">0</w:t>
            </w:r>
          </w:p>
        </w:tc>
        <w:tc>
          <w:tcPr>
            <w:tcW w:w="1300" w:type="dxa"/>
            <w:vAlign w:val="center"/>
          </w:tcPr>
          <w:p>
            <w:pPr>
              <w:spacing w:before="0" w:after="0"/>
              <w:jc w:val="right"/>
            </w:pPr>
            <w:r>
              <w:rPr>
                <w:sz w:val="18"/>
                <w:szCs w:val="18"/>
              </w:rPr>
              <w:t xml:space="preserve">1</w:t>
            </w:r>
          </w:p>
        </w:tc>
        <w:tc>
          <w:tcPr>
            <w:tcW w:w="1800" w:type="dxa"/>
            <w:vAlign w:val="center"/>
          </w:tcPr>
          <w:p>
            <w:pPr>
              <w:spacing w:before="0" w:after="0"/>
              <w:jc w:val="right"/>
            </w:pPr>
            <w:r>
              <w:rPr>
                <w:sz w:val="18"/>
                <w:szCs w:val="18"/>
              </w:rPr>
              <w:t xml:space="preserve">17</w:t>
            </w:r>
          </w:p>
        </w:tc>
      </w:tr>
      <w:tr>
        <w:tc>
          <w:tcPr>
            <w:tcW w:w="2672" w:type="dxa"/>
            <w:vAlign w:val="center"/>
          </w:tcPr>
          <w:p>
            <w:pPr>
              <w:spacing w:before="0" w:after="0"/>
              <w:jc w:val="left"/>
            </w:pPr>
            <w:r>
              <w:rPr>
                <w:sz w:val="18"/>
                <w:szCs w:val="18"/>
              </w:rPr>
              <w:t xml:space="preserve">Harborview</w:t>
            </w:r>
          </w:p>
        </w:tc>
        <w:tc>
          <w:tcPr>
            <w:tcW w:w="1800" w:type="dxa"/>
            <w:vAlign w:val="center"/>
          </w:tcPr>
          <w:p>
            <w:pPr>
              <w:spacing w:before="0" w:after="0"/>
              <w:jc w:val="right"/>
            </w:pPr>
            <w:r>
              <w:rPr>
                <w:sz w:val="18"/>
                <w:szCs w:val="18"/>
              </w:rPr>
              <w:t xml:space="preserve">26</w:t>
            </w:r>
          </w:p>
        </w:tc>
        <w:tc>
          <w:tcPr>
            <w:tcW w:w="1500" w:type="dxa"/>
            <w:vAlign w:val="center"/>
          </w:tcPr>
          <w:p>
            <w:pPr>
              <w:spacing w:before="0" w:after="0"/>
              <w:jc w:val="right"/>
            </w:pPr>
            <w:r>
              <w:rPr>
                <w:sz w:val="18"/>
                <w:szCs w:val="18"/>
              </w:rPr>
              <w:t xml:space="preserve">1</w:t>
            </w:r>
          </w:p>
        </w:tc>
        <w:tc>
          <w:tcPr>
            <w:tcW w:w="1300" w:type="dxa"/>
            <w:vAlign w:val="center"/>
          </w:tcPr>
          <w:p>
            <w:pPr>
              <w:spacing w:before="0" w:after="0"/>
              <w:jc w:val="right"/>
            </w:pPr>
            <w:r>
              <w:rPr>
                <w:sz w:val="18"/>
                <w:szCs w:val="18"/>
              </w:rPr>
              <w:t xml:space="preserve">0</w:t>
            </w:r>
          </w:p>
        </w:tc>
        <w:tc>
          <w:tcPr>
            <w:tcW w:w="1800" w:type="dxa"/>
            <w:vAlign w:val="center"/>
          </w:tcPr>
          <w:p>
            <w:pPr>
              <w:spacing w:before="0" w:after="0"/>
              <w:jc w:val="right"/>
            </w:pPr>
            <w:r>
              <w:rPr>
                <w:sz w:val="18"/>
                <w:szCs w:val="18"/>
              </w:rPr>
              <w:t xml:space="preserve">27</w:t>
            </w:r>
          </w:p>
        </w:tc>
      </w:tr>
    </w:tbl>
    <w:p>
      <w:pPr/>
    </w:p>
    <w:p>
      <w:r>
        <w:br w:type="page"/>
      </w:r>
    </w:p>
    <w:p>
      <w:pPr>
        <w:pStyle w:val="Heading2"/>
        <w:keepNext/>
      </w:pPr>
      <w:r>
        <w:t xml:space="preserve">Item 4. Information about the Registrant</w:t>
      </w:r>
    </w:p>
    <w:p>
      <w:pPr>
        <w:pStyle w:val="Heading3"/>
        <w:keepNext/>
      </w:pPr>
      <w:r>
        <w:t xml:space="preserve">1. Shares</w:t>
      </w:r>
    </w:p>
    <w:p>
      <w:pPr>
        <w:ind w:left="0" w:firstLine="360"/>
      </w:pPr>
      <w:r>
        <w:t xml:space="preserve">Orders placed through the online store, including orders for pickup in store and home delivery of whole beans, accounted for 34.1% of revenue in the Beverages and Beans categories. Revenue from loyalty rewards is deferred until the reward is redeemed or expires. The Group operates specialty coffee shops under the Nimbus Coffee name and roasts all of the coffee it serves at its own roastery in Northfield. Revenue from loyalty rewards is deferred until the reward is redeemed or expires.</w:t>
      </w:r>
    </w:p>
    <w:p>
      <w:pPr>
        <w:ind w:left="0" w:firstLine="360"/>
      </w:pPr>
      <w:r>
        <w:t xml:space="preserve">Each store is managed by a store manager who reports to a district manager, and district managers report to the director for their region. These forward-looking statements are based on information available as of the date of this statement, and actual results may differ materially because of many factors. The Company buys 11.2% of its green coffee by volume from farms certified under recognized sustainability standards. Net cash used in investing activities was $11,084 thousand, primarily for purchases of property and equipment. New stores generally reach the sales level of a mature store within eighteen to twenty-four months of opening. Each store is managed by a store manager who reports to a district manager, and district managers report to the director for their region.</w:t>
      </w:r>
    </w:p>
    <w:p>
      <w:pPr>
        <w:ind w:left="0" w:firstLine="360"/>
      </w:pPr>
      <w:r>
        <w:t xml:space="preserve">The price of green coffee is volatile, and a sustained increase could reduce gross margin if Nimbus Coffee is unable to pass the cost on to customers through menu prices. Total revenue for the fiscal year was $48,406 thousand, an increase of 17.2% over the prior year, and operating income was $24,501 thousand, an increase of 2.7%. These forward-looking statements are based on information available as of the date of this statement, and actual results may differ materially because of many factors.</w:t>
      </w:r>
    </w:p>
    <w:p>
      <w:pPr>
        <w:ind w:left="0" w:firstLine="360"/>
      </w:pPr>
      <w:r>
        <w:t xml:space="preserve">Revenue from stores in the Hillcrest region was $39,408 thousand, or 32.5% of total revenue. The Company holds no derivatives other than coffee futures contracts used to fix the price of part of its future green coffee purchases. Orders placed through the online store, including orders for pickup in store and home delivery of whole beans, accounted for 56.6% of revenue in the Beverages and Beans categories. Baristas complete a four-week training course before working on the floor, and store managers complete a further course at the Northfield training center. Revenue from loyalty rewards is deferred until the reward is redeemed or expires. Merchandise sales, consisting of mugs, brewing equipment and seasonal gift sets, are highest in the fourth quarter of each year.</w:t>
      </w:r>
    </w:p>
    <w:p>
      <w:pPr>
        <w:ind w:left="0" w:firstLine="360"/>
      </w:pPr>
      <w:r>
        <w:t xml:space="preserve">Store operating expenses, which consist mainly of wages, benefits and supplies, were 29.9% of revenue, compared with 30.7% in the prior year. Orders placed through the online store, including orders for pickup in store and home delivery of whole beans, accounted for 7.3% of revenue in the Beverages and Beans categories. Orders placed through the online store, including orders for pickup in store and home delivery of whole beans, accounted for 29.1% of revenue in the Beverages and Beans categories. Store operating expenses, which consist mainly of wages, benefits and supplies, were 29.2% of revenue, compared with 29.7% in the prior year. The loyalty program had 195 thousand active members at the end of the fiscal year, and purchases by members accounted for 15.4% of store revenue.</w:t>
      </w:r>
    </w:p>
    <w:tbl>
      <w:tblPr>
        <w:tblW w:w="907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72" w:type="dxa"/>
          <w:right w:w="72" w:type="dxa"/>
        </w:tblCellMar>
      </w:tblPr>
      <w:tblGrid>
        <w:gridCol w:w="2872"/>
        <w:gridCol w:w="2400"/>
        <w:gridCol w:w="1900"/>
        <w:gridCol w:w="1900"/>
      </w:tblGrid>
      <w:tr>
        <w:trPr>
          <w:tblHeader/>
        </w:trPr>
        <w:tc>
          <w:tcPr>
            <w:tcW w:w="2872" w:type="dxa"/>
            <w:shd w:val="clear" w:color="auto" w:fill="DDEBF7"/>
            <w:vAlign w:val="center"/>
          </w:tcPr>
          <w:p>
            <w:pPr>
              <w:spacing w:before="0" w:after="0"/>
              <w:jc w:val="center"/>
            </w:pPr>
            <w:r>
              <w:rPr>
                <w:b/>
                <w:sz w:val="18"/>
                <w:szCs w:val="18"/>
              </w:rPr>
              <w:t xml:space="preserve">Name</w:t>
            </w:r>
          </w:p>
        </w:tc>
        <w:tc>
          <w:tcPr>
            <w:tcW w:w="2400" w:type="dxa"/>
            <w:shd w:val="clear" w:color="auto" w:fill="DDEBF7"/>
            <w:vAlign w:val="center"/>
          </w:tcPr>
          <w:p>
            <w:pPr>
              <w:spacing w:before="0" w:after="0"/>
              <w:jc w:val="center"/>
            </w:pPr>
            <w:r>
              <w:rPr>
                <w:b/>
                <w:sz w:val="18"/>
                <w:szCs w:val="18"/>
              </w:rPr>
              <w:t xml:space="preserve">Address</w:t>
            </w:r>
          </w:p>
        </w:tc>
        <w:tc>
          <w:tcPr>
            <w:tcW w:w="1900" w:type="dxa"/>
            <w:shd w:val="clear" w:color="auto" w:fill="DDEBF7"/>
            <w:vAlign w:val="center"/>
          </w:tcPr>
          <w:p>
            <w:pPr>
              <w:spacing w:before="0" w:after="0"/>
              <w:jc w:val="center"/>
            </w:pPr>
            <w:r>
              <w:rPr>
                <w:b/>
                <w:sz w:val="18"/>
                <w:szCs w:val="18"/>
              </w:rPr>
              <w:t xml:space="preserve">Shares held</w:t>
            </w:r>
          </w:p>
        </w:tc>
        <w:tc>
          <w:tcPr>
            <w:tcW w:w="1900" w:type="dxa"/>
            <w:shd w:val="clear" w:color="auto" w:fill="DDEBF7"/>
            <w:vAlign w:val="center"/>
          </w:tcPr>
          <w:p>
            <w:pPr>
              <w:spacing w:before="0" w:after="0"/>
              <w:jc w:val="center"/>
            </w:pPr>
            <w:r>
              <w:rPr>
                <w:b/>
                <w:sz w:val="18"/>
                <w:szCs w:val="18"/>
              </w:rPr>
              <w:t xml:space="preserve">Ownership (%)</w:t>
            </w:r>
          </w:p>
        </w:tc>
      </w:tr>
      <w:tr>
        <w:tc>
          <w:tcPr>
            <w:tcW w:w="2872" w:type="dxa"/>
            <w:vAlign w:val="center"/>
          </w:tcPr>
          <w:p>
            <w:pPr>
              <w:spacing w:before="0" w:after="0"/>
              <w:jc w:val="left"/>
            </w:pPr>
            <w:r>
              <w:rPr>
                <w:sz w:val="18"/>
                <w:szCs w:val="18"/>
              </w:rPr>
              <w:t xml:space="preserve">Juniper Hollow Capital LP</w:t>
            </w:r>
          </w:p>
        </w:tc>
        <w:tc>
          <w:tcPr>
            <w:tcW w:w="2400" w:type="dxa"/>
            <w:vAlign w:val="center"/>
          </w:tcPr>
          <w:p>
            <w:pPr>
              <w:spacing w:before="0" w:after="0"/>
              <w:jc w:val="left"/>
            </w:pPr>
            <w:r>
              <w:rPr>
                <w:sz w:val="18"/>
                <w:szCs w:val="18"/>
              </w:rPr>
              <w:t xml:space="preserve">336 Harbor Street, Westridge</w:t>
            </w:r>
          </w:p>
        </w:tc>
        <w:tc>
          <w:tcPr>
            <w:tcW w:w="1900" w:type="dxa"/>
            <w:vAlign w:val="center"/>
          </w:tcPr>
          <w:p>
            <w:pPr>
              <w:spacing w:before="0" w:after="0"/>
              <w:jc w:val="right"/>
            </w:pPr>
            <w:r>
              <w:rPr>
                <w:sz w:val="18"/>
                <w:szCs w:val="18"/>
              </w:rPr>
              <w:t xml:space="preserve">1,266,000</w:t>
            </w:r>
          </w:p>
        </w:tc>
        <w:tc>
          <w:tcPr>
            <w:tcW w:w="1900" w:type="dxa"/>
            <w:vAlign w:val="center"/>
          </w:tcPr>
          <w:p>
            <w:pPr>
              <w:spacing w:before="0" w:after="0"/>
              <w:jc w:val="right"/>
            </w:pPr>
            <w:r>
              <w:rPr>
                <w:sz w:val="18"/>
                <w:szCs w:val="18"/>
              </w:rPr>
              <w:t xml:space="preserve">4.57</w:t>
            </w:r>
          </w:p>
        </w:tc>
      </w:tr>
      <w:tr>
        <w:tc>
          <w:tcPr>
            <w:tcW w:w="2872" w:type="dxa"/>
            <w:vAlign w:val="center"/>
          </w:tcPr>
          <w:p>
            <w:pPr>
              <w:spacing w:before="0" w:after="0"/>
              <w:jc w:val="left"/>
            </w:pPr>
            <w:r>
              <w:rPr>
                <w:sz w:val="18"/>
                <w:szCs w:val="18"/>
              </w:rPr>
              <w:t xml:space="preserve">Bramble Stone Holdings LLC</w:t>
            </w:r>
          </w:p>
        </w:tc>
        <w:tc>
          <w:tcPr>
            <w:tcW w:w="2400" w:type="dxa"/>
            <w:vAlign w:val="center"/>
          </w:tcPr>
          <w:p>
            <w:pPr>
              <w:spacing w:before="0" w:after="0"/>
              <w:jc w:val="left"/>
            </w:pPr>
            <w:r>
              <w:rPr>
                <w:sz w:val="18"/>
                <w:szCs w:val="18"/>
              </w:rPr>
              <w:t xml:space="preserve">963 Mill Street, Northfield</w:t>
            </w:r>
          </w:p>
        </w:tc>
        <w:tc>
          <w:tcPr>
            <w:tcW w:w="1900" w:type="dxa"/>
            <w:vAlign w:val="center"/>
          </w:tcPr>
          <w:p>
            <w:pPr>
              <w:spacing w:before="0" w:after="0"/>
              <w:jc w:val="right"/>
            </w:pPr>
            <w:r>
              <w:rPr>
                <w:sz w:val="18"/>
                <w:szCs w:val="18"/>
              </w:rPr>
              <w:t xml:space="preserve">3,567,000</w:t>
            </w:r>
          </w:p>
        </w:tc>
        <w:tc>
          <w:tcPr>
            <w:tcW w:w="1900" w:type="dxa"/>
            <w:vAlign w:val="center"/>
          </w:tcPr>
          <w:p>
            <w:pPr>
              <w:spacing w:before="0" w:after="0"/>
              <w:jc w:val="right"/>
            </w:pPr>
            <w:r>
              <w:rPr>
                <w:sz w:val="18"/>
                <w:szCs w:val="18"/>
              </w:rPr>
              <w:t xml:space="preserve">4.16</w:t>
            </w:r>
          </w:p>
        </w:tc>
      </w:tr>
      <w:tr>
        <w:tc>
          <w:tcPr>
            <w:tcW w:w="2872" w:type="dxa"/>
            <w:vAlign w:val="center"/>
          </w:tcPr>
          <w:p>
            <w:pPr>
              <w:spacing w:before="0" w:after="0"/>
              <w:jc w:val="left"/>
            </w:pPr>
            <w:r>
              <w:rPr>
                <w:sz w:val="18"/>
                <w:szCs w:val="18"/>
              </w:rPr>
              <w:t xml:space="preserve">Hollis Bay Family Trust</w:t>
            </w:r>
          </w:p>
        </w:tc>
        <w:tc>
          <w:tcPr>
            <w:tcW w:w="2400" w:type="dxa"/>
            <w:vAlign w:val="center"/>
          </w:tcPr>
          <w:p>
            <w:pPr>
              <w:spacing w:before="0" w:after="0"/>
              <w:jc w:val="left"/>
            </w:pPr>
            <w:r>
              <w:rPr>
                <w:sz w:val="18"/>
                <w:szCs w:val="18"/>
              </w:rPr>
              <w:t xml:space="preserve">937 Station Street, Lakeside</w:t>
            </w:r>
          </w:p>
        </w:tc>
        <w:tc>
          <w:tcPr>
            <w:tcW w:w="1900" w:type="dxa"/>
            <w:vAlign w:val="center"/>
          </w:tcPr>
          <w:p>
            <w:pPr>
              <w:spacing w:before="0" w:after="0"/>
              <w:jc w:val="right"/>
            </w:pPr>
            <w:r>
              <w:rPr>
                <w:sz w:val="18"/>
                <w:szCs w:val="18"/>
              </w:rPr>
              <w:t xml:space="preserve">334,000</w:t>
            </w:r>
          </w:p>
        </w:tc>
        <w:tc>
          <w:tcPr>
            <w:tcW w:w="1900" w:type="dxa"/>
            <w:vAlign w:val="center"/>
          </w:tcPr>
          <w:p>
            <w:pPr>
              <w:spacing w:before="0" w:after="0"/>
              <w:jc w:val="right"/>
            </w:pPr>
            <w:r>
              <w:rPr>
                <w:sz w:val="18"/>
                <w:szCs w:val="18"/>
              </w:rPr>
              <w:t xml:space="preserve">0.30</w:t>
            </w:r>
          </w:p>
        </w:tc>
      </w:tr>
      <w:tr>
        <w:tc>
          <w:tcPr>
            <w:tcW w:w="2872" w:type="dxa"/>
            <w:vAlign w:val="center"/>
          </w:tcPr>
          <w:p>
            <w:pPr>
              <w:spacing w:before="0" w:after="0"/>
              <w:jc w:val="left"/>
            </w:pPr>
            <w:r>
              <w:rPr>
                <w:sz w:val="18"/>
                <w:szCs w:val="18"/>
              </w:rPr>
              <w:t xml:space="preserve">Juniper Hollow Growth Fund LP</w:t>
            </w:r>
          </w:p>
        </w:tc>
        <w:tc>
          <w:tcPr>
            <w:tcW w:w="2400" w:type="dxa"/>
            <w:vAlign w:val="center"/>
          </w:tcPr>
          <w:p>
            <w:pPr>
              <w:spacing w:before="0" w:after="0"/>
              <w:jc w:val="left"/>
            </w:pPr>
            <w:r>
              <w:rPr>
                <w:sz w:val="18"/>
                <w:szCs w:val="18"/>
              </w:rPr>
              <w:t xml:space="preserve">274 Orchard Street, Southport</w:t>
            </w:r>
          </w:p>
        </w:tc>
        <w:tc>
          <w:tcPr>
            <w:tcW w:w="1900" w:type="dxa"/>
            <w:vAlign w:val="center"/>
          </w:tcPr>
          <w:p>
            <w:pPr>
              <w:spacing w:before="0" w:after="0"/>
              <w:jc w:val="right"/>
            </w:pPr>
            <w:r>
              <w:rPr>
                <w:sz w:val="18"/>
                <w:szCs w:val="18"/>
              </w:rPr>
              <w:t xml:space="preserve">1,277,000</w:t>
            </w:r>
          </w:p>
        </w:tc>
        <w:tc>
          <w:tcPr>
            <w:tcW w:w="1900" w:type="dxa"/>
            <w:vAlign w:val="center"/>
          </w:tcPr>
          <w:p>
            <w:pPr>
              <w:spacing w:before="0" w:after="0"/>
              <w:jc w:val="right"/>
            </w:pPr>
            <w:r>
              <w:rPr>
                <w:sz w:val="18"/>
                <w:szCs w:val="18"/>
              </w:rPr>
              <w:t xml:space="preserve">6.26</w:t>
            </w:r>
          </w:p>
        </w:tc>
      </w:tr>
      <w:tr>
        <w:tc>
          <w:tcPr>
            <w:tcW w:w="2872" w:type="dxa"/>
            <w:vAlign w:val="center"/>
          </w:tcPr>
          <w:p>
            <w:pPr>
              <w:spacing w:before="0" w:after="0"/>
              <w:jc w:val="left"/>
            </w:pPr>
            <w:r>
              <w:rPr>
                <w:sz w:val="18"/>
                <w:szCs w:val="18"/>
              </w:rPr>
              <w:t xml:space="preserve">Alder Bay Holdings LLC</w:t>
            </w:r>
          </w:p>
        </w:tc>
        <w:tc>
          <w:tcPr>
            <w:tcW w:w="2400" w:type="dxa"/>
            <w:vAlign w:val="center"/>
          </w:tcPr>
          <w:p>
            <w:pPr>
              <w:spacing w:before="0" w:after="0"/>
              <w:jc w:val="left"/>
            </w:pPr>
            <w:r>
              <w:rPr>
                <w:sz w:val="18"/>
                <w:szCs w:val="18"/>
              </w:rPr>
              <w:t xml:space="preserve">141 Orchard Street, Lakeside</w:t>
            </w:r>
          </w:p>
        </w:tc>
        <w:tc>
          <w:tcPr>
            <w:tcW w:w="1900" w:type="dxa"/>
            <w:vAlign w:val="center"/>
          </w:tcPr>
          <w:p>
            <w:pPr>
              <w:spacing w:before="0" w:after="0"/>
              <w:jc w:val="right"/>
            </w:pPr>
            <w:r>
              <w:rPr>
                <w:sz w:val="18"/>
                <w:szCs w:val="18"/>
              </w:rPr>
              <w:t xml:space="preserve">868,000</w:t>
            </w:r>
          </w:p>
        </w:tc>
        <w:tc>
          <w:tcPr>
            <w:tcW w:w="1900" w:type="dxa"/>
            <w:vAlign w:val="center"/>
          </w:tcPr>
          <w:p>
            <w:pPr>
              <w:spacing w:before="0" w:after="0"/>
              <w:jc w:val="right"/>
            </w:pPr>
            <w:r>
              <w:rPr>
                <w:sz w:val="18"/>
                <w:szCs w:val="18"/>
              </w:rPr>
              <w:t xml:space="preserve">9.59</w:t>
            </w:r>
          </w:p>
        </w:tc>
      </w:tr>
      <w:tr>
        <w:tc>
          <w:tcPr>
            <w:tcW w:w="2872" w:type="dxa"/>
            <w:vAlign w:val="center"/>
          </w:tcPr>
          <w:p>
            <w:pPr>
              <w:spacing w:before="0" w:after="0"/>
              <w:jc w:val="left"/>
            </w:pPr>
            <w:r>
              <w:rPr>
                <w:sz w:val="18"/>
                <w:szCs w:val="18"/>
              </w:rPr>
              <w:t xml:space="preserve">Bramble Hollow Capital LP</w:t>
            </w:r>
          </w:p>
        </w:tc>
        <w:tc>
          <w:tcPr>
            <w:tcW w:w="2400" w:type="dxa"/>
            <w:vAlign w:val="center"/>
          </w:tcPr>
          <w:p>
            <w:pPr>
              <w:spacing w:before="0" w:after="0"/>
              <w:jc w:val="left"/>
            </w:pPr>
            <w:r>
              <w:rPr>
                <w:sz w:val="18"/>
                <w:szCs w:val="18"/>
              </w:rPr>
              <w:t xml:space="preserve">661 Mill Street, Eastbay</w:t>
            </w:r>
          </w:p>
        </w:tc>
        <w:tc>
          <w:tcPr>
            <w:tcW w:w="1900" w:type="dxa"/>
            <w:vAlign w:val="center"/>
          </w:tcPr>
          <w:p>
            <w:pPr>
              <w:spacing w:before="0" w:after="0"/>
              <w:jc w:val="right"/>
            </w:pPr>
            <w:r>
              <w:rPr>
                <w:sz w:val="18"/>
                <w:szCs w:val="18"/>
              </w:rPr>
              <w:t xml:space="preserve">575,000</w:t>
            </w:r>
          </w:p>
        </w:tc>
        <w:tc>
          <w:tcPr>
            <w:tcW w:w="1900" w:type="dxa"/>
            <w:vAlign w:val="center"/>
          </w:tcPr>
          <w:p>
            <w:pPr>
              <w:spacing w:before="0" w:after="0"/>
              <w:jc w:val="right"/>
            </w:pPr>
            <w:r>
              <w:rPr>
                <w:sz w:val="18"/>
                <w:szCs w:val="18"/>
              </w:rPr>
              <w:t xml:space="preserve">1.95</w:t>
            </w:r>
          </w:p>
        </w:tc>
      </w:tr>
      <w:tr>
        <w:tc>
          <w:tcPr>
            <w:tcW w:w="2872" w:type="dxa"/>
            <w:vAlign w:val="center"/>
          </w:tcPr>
          <w:p>
            <w:pPr>
              <w:spacing w:before="0" w:after="0"/>
              <w:jc w:val="left"/>
            </w:pPr>
            <w:r>
              <w:rPr>
                <w:sz w:val="18"/>
                <w:szCs w:val="18"/>
              </w:rPr>
              <w:t xml:space="preserve">Juniper Bay Family Trust</w:t>
            </w:r>
          </w:p>
        </w:tc>
        <w:tc>
          <w:tcPr>
            <w:tcW w:w="2400" w:type="dxa"/>
            <w:vAlign w:val="center"/>
          </w:tcPr>
          <w:p>
            <w:pPr>
              <w:spacing w:before="0" w:after="0"/>
              <w:jc w:val="left"/>
            </w:pPr>
            <w:r>
              <w:rPr>
                <w:sz w:val="18"/>
                <w:szCs w:val="18"/>
              </w:rPr>
              <w:t xml:space="preserve">75 Mill Street, Lakeside</w:t>
            </w:r>
          </w:p>
        </w:tc>
        <w:tc>
          <w:tcPr>
            <w:tcW w:w="1900" w:type="dxa"/>
            <w:vAlign w:val="center"/>
          </w:tcPr>
          <w:p>
            <w:pPr>
              <w:spacing w:before="0" w:after="0"/>
              <w:jc w:val="right"/>
            </w:pPr>
            <w:r>
              <w:rPr>
                <w:sz w:val="18"/>
                <w:szCs w:val="18"/>
              </w:rPr>
              <w:t xml:space="preserve">3,344,000</w:t>
            </w:r>
          </w:p>
        </w:tc>
        <w:tc>
          <w:tcPr>
            <w:tcW w:w="1900" w:type="dxa"/>
            <w:vAlign w:val="center"/>
          </w:tcPr>
          <w:p>
            <w:pPr>
              <w:spacing w:before="0" w:after="0"/>
              <w:jc w:val="right"/>
            </w:pPr>
            <w:r>
              <w:rPr>
                <w:sz w:val="18"/>
                <w:szCs w:val="18"/>
              </w:rPr>
              <w:t xml:space="preserve">8.77</w:t>
            </w:r>
          </w:p>
        </w:tc>
      </w:tr>
      <w:tr>
        <w:tc>
          <w:tcPr>
            <w:tcW w:w="2872" w:type="dxa"/>
            <w:vAlign w:val="center"/>
          </w:tcPr>
          <w:p>
            <w:pPr>
              <w:spacing w:before="0" w:after="0"/>
              <w:jc w:val="left"/>
            </w:pPr>
            <w:r>
              <w:rPr>
                <w:sz w:val="18"/>
                <w:szCs w:val="18"/>
              </w:rPr>
              <w:t xml:space="preserve">Juniper Bay Family Trust</w:t>
            </w:r>
          </w:p>
        </w:tc>
        <w:tc>
          <w:tcPr>
            <w:tcW w:w="2400" w:type="dxa"/>
            <w:vAlign w:val="center"/>
          </w:tcPr>
          <w:p>
            <w:pPr>
              <w:spacing w:before="0" w:after="0"/>
              <w:jc w:val="left"/>
            </w:pPr>
            <w:r>
              <w:rPr>
                <w:sz w:val="18"/>
                <w:szCs w:val="18"/>
              </w:rPr>
              <w:t xml:space="preserve">374 Market Street, Southport</w:t>
            </w:r>
          </w:p>
        </w:tc>
        <w:tc>
          <w:tcPr>
            <w:tcW w:w="1900" w:type="dxa"/>
            <w:vAlign w:val="center"/>
          </w:tcPr>
          <w:p>
            <w:pPr>
              <w:spacing w:before="0" w:after="0"/>
              <w:jc w:val="right"/>
            </w:pPr>
            <w:r>
              <w:rPr>
                <w:sz w:val="18"/>
                <w:szCs w:val="18"/>
              </w:rPr>
              <w:t xml:space="preserve">1,495,000</w:t>
            </w:r>
          </w:p>
        </w:tc>
        <w:tc>
          <w:tcPr>
            <w:tcW w:w="1900" w:type="dxa"/>
            <w:vAlign w:val="center"/>
          </w:tcPr>
          <w:p>
            <w:pPr>
              <w:spacing w:before="0" w:after="0"/>
              <w:jc w:val="right"/>
            </w:pPr>
            <w:r>
              <w:rPr>
                <w:sz w:val="18"/>
                <w:szCs w:val="18"/>
              </w:rPr>
              <w:t xml:space="preserve">11.92</w:t>
            </w:r>
          </w:p>
        </w:tc>
      </w:tr>
      <w:tr>
        <w:tc>
          <w:tcPr>
            <w:tcW w:w="2872" w:type="dxa"/>
            <w:vAlign w:val="center"/>
          </w:tcPr>
          <w:p>
            <w:pPr>
              <w:spacing w:before="0" w:after="0"/>
              <w:jc w:val="left"/>
            </w:pPr>
            <w:r>
              <w:rPr>
                <w:sz w:val="18"/>
                <w:szCs w:val="18"/>
              </w:rPr>
              <w:t xml:space="preserve">Cobalt Crest Growth Fund LP</w:t>
            </w:r>
          </w:p>
        </w:tc>
        <w:tc>
          <w:tcPr>
            <w:tcW w:w="2400" w:type="dxa"/>
            <w:vAlign w:val="center"/>
          </w:tcPr>
          <w:p>
            <w:pPr>
              <w:spacing w:before="0" w:after="0"/>
              <w:jc w:val="left"/>
            </w:pPr>
            <w:r>
              <w:rPr>
                <w:sz w:val="18"/>
                <w:szCs w:val="18"/>
              </w:rPr>
              <w:t xml:space="preserve">154 Mill Street, Hillcrest</w:t>
            </w:r>
          </w:p>
        </w:tc>
        <w:tc>
          <w:tcPr>
            <w:tcW w:w="1900" w:type="dxa"/>
            <w:vAlign w:val="center"/>
          </w:tcPr>
          <w:p>
            <w:pPr>
              <w:spacing w:before="0" w:after="0"/>
              <w:jc w:val="right"/>
            </w:pPr>
            <w:r>
              <w:rPr>
                <w:sz w:val="18"/>
                <w:szCs w:val="18"/>
              </w:rPr>
              <w:t xml:space="preserve">3,296,000</w:t>
            </w:r>
          </w:p>
        </w:tc>
        <w:tc>
          <w:tcPr>
            <w:tcW w:w="1900" w:type="dxa"/>
            <w:vAlign w:val="center"/>
          </w:tcPr>
          <w:p>
            <w:pPr>
              <w:spacing w:before="0" w:after="0"/>
              <w:jc w:val="right"/>
            </w:pPr>
            <w:r>
              <w:rPr>
                <w:sz w:val="18"/>
                <w:szCs w:val="18"/>
              </w:rPr>
              <w:t xml:space="preserve">8.36</w:t>
            </w:r>
          </w:p>
        </w:tc>
      </w:tr>
      <w:tr>
        <w:tc>
          <w:tcPr>
            <w:tcW w:w="2872" w:type="dxa"/>
            <w:vAlign w:val="center"/>
          </w:tcPr>
          <w:p>
            <w:pPr>
              <w:spacing w:before="0" w:after="0"/>
              <w:jc w:val="left"/>
            </w:pPr>
            <w:r>
              <w:rPr>
                <w:sz w:val="18"/>
                <w:szCs w:val="18"/>
              </w:rPr>
              <w:t xml:space="preserve">Bramble Bay Investments LP</w:t>
            </w:r>
          </w:p>
        </w:tc>
        <w:tc>
          <w:tcPr>
            <w:tcW w:w="2400" w:type="dxa"/>
            <w:vAlign w:val="center"/>
          </w:tcPr>
          <w:p>
            <w:pPr>
              <w:spacing w:before="0" w:after="0"/>
              <w:jc w:val="left"/>
            </w:pPr>
            <w:r>
              <w:rPr>
                <w:sz w:val="18"/>
                <w:szCs w:val="18"/>
              </w:rPr>
              <w:t xml:space="preserve">806 Market Street, Northfield</w:t>
            </w:r>
          </w:p>
        </w:tc>
        <w:tc>
          <w:tcPr>
            <w:tcW w:w="1900" w:type="dxa"/>
            <w:vAlign w:val="center"/>
          </w:tcPr>
          <w:p>
            <w:pPr>
              <w:spacing w:before="0" w:after="0"/>
              <w:jc w:val="right"/>
            </w:pPr>
            <w:r>
              <w:rPr>
                <w:sz w:val="18"/>
                <w:szCs w:val="18"/>
              </w:rPr>
              <w:t xml:space="preserve">4,467,000</w:t>
            </w:r>
          </w:p>
        </w:tc>
        <w:tc>
          <w:tcPr>
            <w:tcW w:w="1900" w:type="dxa"/>
            <w:vAlign w:val="center"/>
          </w:tcPr>
          <w:p>
            <w:pPr>
              <w:spacing w:before="0" w:after="0"/>
              <w:jc w:val="right"/>
            </w:pPr>
            <w:r>
              <w:rPr>
                <w:sz w:val="18"/>
                <w:szCs w:val="18"/>
              </w:rPr>
              <w:t xml:space="preserve">3.19</w:t>
            </w:r>
          </w:p>
        </w:tc>
      </w:tr>
    </w:tbl>
    <w:p>
      <w:pPr/>
    </w:p>
    <w:p>
      <w:pPr>
        <w:pStyle w:val="Heading3"/>
        <w:keepNext/>
      </w:pPr>
      <w:r>
        <w:t xml:space="preserve">2. Repurchase of Shares</w:t>
      </w:r>
    </w:p>
    <w:p>
      <w:pPr>
        <w:ind w:left="0" w:firstLine="360"/>
      </w:pPr>
      <w:r>
        <w:t xml:space="preserve">The Group depends on a small number of dairy and bakery suppliers in each region, and an interruption in their deliveries could affect sales at the stores they serve. Wholesale revenue comes from sales of roasted beans to restaurants, hotels and grocery stores in the regions where the Company operates. Comparable store sales increased 3.9%, driven by a 1.3% increase in average ticket and a 0.7% increase in transactions. Revenue from loyalty rewards is deferred until the reward is redeemed or expires. The ability of the Group to open new stores depends on finding suitable sites on acceptable lease terms and on hiring and training store managers.</w:t>
      </w:r>
    </w:p>
    <w:p>
      <w:pPr>
        <w:ind w:left="0" w:firstLine="360"/>
      </w:pPr>
      <w:r>
        <w:t xml:space="preserve">Comparable store sales increased 2.5%, driven by a 2.6% increase in average ticket and a 0.8% increase in transactions. At the end of the fiscal year, Nimbus Coffee operated 162 company-operated stores in eight regions: Northfield, Eastbay, Southport, Westridge, Lakeside, Hillcrest, Riverside and Harborview. Total assets at the end of the fiscal year were $94,422 thousand, an increase of $18,492 thousand from the end of the prior fiscal year.</w:t>
      </w:r>
    </w:p>
    <w:p>
      <w:pPr>
        <w:ind w:left="0" w:firstLine="360"/>
      </w:pPr>
      <w:r>
        <w:t xml:space="preserve">Inventories consist of green coffee, roasted coffee, packaging, food and merchandise, and are stated at the lower of cost and net realizable value. The roastery produced 512 thousand pounds of roasted coffee during the fiscal year, of which 32.0% was sold through company-operated stores. The Group leases all of its store premises under operating leases with initial terms of ten years, most of which include options to renew.</w:t>
      </w:r>
    </w:p>
    <w:p>
      <w:pPr>
        <w:ind w:left="0" w:firstLine="360"/>
      </w:pPr>
      <w:r>
        <w:t xml:space="preserve">Net cash used in investing activities was $6,614 thousand, primarily for purchases of property and equipment. During the fiscal year, the Company opened 10 new stores and closed 3 stores whose leases expired. Baristas complete a four-week training course before working on the floor, and store managers complete a further course at the Northfield training center. Net cash used in financing activities was $8,544 thousand, reflecting repayments of the term loan and dividends paid. Baristas complete a four-week training course before working on the floor, and store managers complete a further course at the Northfield training center.</w:t>
      </w:r>
    </w:p>
    <w:p>
      <w:pPr>
        <w:ind w:left="0" w:firstLine="360"/>
      </w:pPr>
      <w:r>
        <w:t xml:space="preserve">Energy use per store decreased 17.3% compared with the prior year, as older espresso machines and refrigerators were replaced with more efficient models. Comparable store sales increased 5.5%, driven by a 3.4% increase in average ticket and a 1.4% increase in transactions. Occupancy costs increased to $31,844 thousand, reflecting rent for new stores and scheduled rent increases at existing locations. Net cash used in financing activities was $13,395 thousand, reflecting repayments of the term loan and dividends paid.</w:t>
      </w:r>
    </w:p>
    <w:tbl>
      <w:tblPr>
        <w:tblW w:w="907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72" w:type="dxa"/>
          <w:right w:w="72" w:type="dxa"/>
        </w:tblCellMar>
      </w:tblPr>
      <w:tblGrid>
        <w:gridCol w:w="2872"/>
        <w:gridCol w:w="2400"/>
        <w:gridCol w:w="1900"/>
        <w:gridCol w:w="1900"/>
      </w:tblGrid>
      <w:tr>
        <w:trPr>
          <w:tblHeader/>
        </w:trPr>
        <w:tc>
          <w:tcPr>
            <w:tcW w:w="2872" w:type="dxa"/>
            <w:shd w:val="clear" w:color="auto" w:fill="DDEBF7"/>
            <w:vAlign w:val="center"/>
          </w:tcPr>
          <w:p>
            <w:pPr>
              <w:spacing w:before="0" w:after="0"/>
              <w:jc w:val="center"/>
            </w:pPr>
            <w:r>
              <w:rPr>
                <w:b/>
                <w:sz w:val="18"/>
                <w:szCs w:val="18"/>
              </w:rPr>
              <w:t xml:space="preserve">Name</w:t>
            </w:r>
          </w:p>
        </w:tc>
        <w:tc>
          <w:tcPr>
            <w:tcW w:w="2400" w:type="dxa"/>
            <w:shd w:val="clear" w:color="auto" w:fill="DDEBF7"/>
            <w:vAlign w:val="center"/>
          </w:tcPr>
          <w:p>
            <w:pPr>
              <w:spacing w:before="0" w:after="0"/>
              <w:jc w:val="center"/>
            </w:pPr>
            <w:r>
              <w:rPr>
                <w:b/>
                <w:sz w:val="18"/>
                <w:szCs w:val="18"/>
              </w:rPr>
              <w:t xml:space="preserve">Address</w:t>
            </w:r>
          </w:p>
        </w:tc>
        <w:tc>
          <w:tcPr>
            <w:tcW w:w="1900" w:type="dxa"/>
            <w:shd w:val="clear" w:color="auto" w:fill="DDEBF7"/>
            <w:vAlign w:val="center"/>
          </w:tcPr>
          <w:p>
            <w:pPr>
              <w:spacing w:before="0" w:after="0"/>
              <w:jc w:val="center"/>
            </w:pPr>
            <w:r>
              <w:rPr>
                <w:b/>
                <w:sz w:val="18"/>
                <w:szCs w:val="18"/>
              </w:rPr>
              <w:t xml:space="preserve">Shares held</w:t>
            </w:r>
          </w:p>
        </w:tc>
        <w:tc>
          <w:tcPr>
            <w:tcW w:w="1900" w:type="dxa"/>
            <w:shd w:val="clear" w:color="auto" w:fill="DDEBF7"/>
            <w:vAlign w:val="center"/>
          </w:tcPr>
          <w:p>
            <w:pPr>
              <w:spacing w:before="0" w:after="0"/>
              <w:jc w:val="center"/>
            </w:pPr>
            <w:r>
              <w:rPr>
                <w:b/>
                <w:sz w:val="18"/>
                <w:szCs w:val="18"/>
              </w:rPr>
              <w:t xml:space="preserve">Ownership (%)</w:t>
            </w:r>
          </w:p>
        </w:tc>
      </w:tr>
      <w:tr>
        <w:tc>
          <w:tcPr>
            <w:tcW w:w="2872" w:type="dxa"/>
            <w:vAlign w:val="center"/>
          </w:tcPr>
          <w:p>
            <w:pPr>
              <w:spacing w:before="0" w:after="0"/>
              <w:jc w:val="left"/>
            </w:pPr>
            <w:r>
              <w:rPr>
                <w:sz w:val="18"/>
                <w:szCs w:val="18"/>
              </w:rPr>
              <w:t xml:space="preserve">Hollis Stone Capital LP</w:t>
            </w:r>
          </w:p>
        </w:tc>
        <w:tc>
          <w:tcPr>
            <w:tcW w:w="2400" w:type="dxa"/>
            <w:vAlign w:val="center"/>
          </w:tcPr>
          <w:p>
            <w:pPr>
              <w:spacing w:before="0" w:after="0"/>
              <w:jc w:val="left"/>
            </w:pPr>
            <w:r>
              <w:rPr>
                <w:sz w:val="18"/>
                <w:szCs w:val="18"/>
              </w:rPr>
              <w:t xml:space="preserve">73 Market Street, Hillcrest</w:t>
            </w:r>
          </w:p>
        </w:tc>
        <w:tc>
          <w:tcPr>
            <w:tcW w:w="1900" w:type="dxa"/>
            <w:vAlign w:val="center"/>
          </w:tcPr>
          <w:p>
            <w:pPr>
              <w:spacing w:before="0" w:after="0"/>
              <w:jc w:val="right"/>
            </w:pPr>
            <w:r>
              <w:rPr>
                <w:sz w:val="18"/>
                <w:szCs w:val="18"/>
              </w:rPr>
              <w:t xml:space="preserve">2,071,000</w:t>
            </w:r>
          </w:p>
        </w:tc>
        <w:tc>
          <w:tcPr>
            <w:tcW w:w="1900" w:type="dxa"/>
            <w:vAlign w:val="center"/>
          </w:tcPr>
          <w:p>
            <w:pPr>
              <w:spacing w:before="0" w:after="0"/>
              <w:jc w:val="right"/>
            </w:pPr>
            <w:r>
              <w:rPr>
                <w:sz w:val="18"/>
                <w:szCs w:val="18"/>
              </w:rPr>
              <w:t xml:space="preserve">4.77</w:t>
            </w:r>
          </w:p>
        </w:tc>
      </w:tr>
      <w:tr>
        <w:tc>
          <w:tcPr>
            <w:tcW w:w="2872" w:type="dxa"/>
            <w:vAlign w:val="center"/>
          </w:tcPr>
          <w:p>
            <w:pPr>
              <w:spacing w:before="0" w:after="0"/>
              <w:jc w:val="left"/>
            </w:pPr>
            <w:r>
              <w:rPr>
                <w:sz w:val="18"/>
                <w:szCs w:val="18"/>
              </w:rPr>
              <w:t xml:space="preserve">Glenhaven Ridge Partners LLC</w:t>
            </w:r>
          </w:p>
        </w:tc>
        <w:tc>
          <w:tcPr>
            <w:tcW w:w="2400" w:type="dxa"/>
            <w:vAlign w:val="center"/>
          </w:tcPr>
          <w:p>
            <w:pPr>
              <w:spacing w:before="0" w:after="0"/>
              <w:jc w:val="left"/>
            </w:pPr>
            <w:r>
              <w:rPr>
                <w:sz w:val="18"/>
                <w:szCs w:val="18"/>
              </w:rPr>
              <w:t xml:space="preserve">806 Orchard Street, Harborview</w:t>
            </w:r>
          </w:p>
        </w:tc>
        <w:tc>
          <w:tcPr>
            <w:tcW w:w="1900" w:type="dxa"/>
            <w:vAlign w:val="center"/>
          </w:tcPr>
          <w:p>
            <w:pPr>
              <w:spacing w:before="0" w:after="0"/>
              <w:jc w:val="right"/>
            </w:pPr>
            <w:r>
              <w:rPr>
                <w:sz w:val="18"/>
                <w:szCs w:val="18"/>
              </w:rPr>
              <w:t xml:space="preserve">3,265,000</w:t>
            </w:r>
          </w:p>
        </w:tc>
        <w:tc>
          <w:tcPr>
            <w:tcW w:w="1900" w:type="dxa"/>
            <w:vAlign w:val="center"/>
          </w:tcPr>
          <w:p>
            <w:pPr>
              <w:spacing w:before="0" w:after="0"/>
              <w:jc w:val="right"/>
            </w:pPr>
            <w:r>
              <w:rPr>
                <w:sz w:val="18"/>
                <w:szCs w:val="18"/>
              </w:rPr>
              <w:t xml:space="preserve">9.69</w:t>
            </w:r>
          </w:p>
        </w:tc>
      </w:tr>
      <w:tr>
        <w:tc>
          <w:tcPr>
            <w:tcW w:w="2872" w:type="dxa"/>
            <w:vAlign w:val="center"/>
          </w:tcPr>
          <w:p>
            <w:pPr>
              <w:spacing w:before="0" w:after="0"/>
              <w:jc w:val="left"/>
            </w:pPr>
            <w:r>
              <w:rPr>
                <w:sz w:val="18"/>
                <w:szCs w:val="18"/>
              </w:rPr>
              <w:t xml:space="preserve">Kestrel Ridge Capital LP</w:t>
            </w:r>
          </w:p>
        </w:tc>
        <w:tc>
          <w:tcPr>
            <w:tcW w:w="2400" w:type="dxa"/>
            <w:vAlign w:val="center"/>
          </w:tcPr>
          <w:p>
            <w:pPr>
              <w:spacing w:before="0" w:after="0"/>
              <w:jc w:val="left"/>
            </w:pPr>
            <w:r>
              <w:rPr>
                <w:sz w:val="18"/>
                <w:szCs w:val="18"/>
              </w:rPr>
              <w:t xml:space="preserve">254 Mill Street, Eastbay</w:t>
            </w:r>
          </w:p>
        </w:tc>
        <w:tc>
          <w:tcPr>
            <w:tcW w:w="1900" w:type="dxa"/>
            <w:vAlign w:val="center"/>
          </w:tcPr>
          <w:p>
            <w:pPr>
              <w:spacing w:before="0" w:after="0"/>
              <w:jc w:val="right"/>
            </w:pPr>
            <w:r>
              <w:rPr>
                <w:sz w:val="18"/>
                <w:szCs w:val="18"/>
              </w:rPr>
              <w:t xml:space="preserve">217,000</w:t>
            </w:r>
          </w:p>
        </w:tc>
        <w:tc>
          <w:tcPr>
            <w:tcW w:w="1900" w:type="dxa"/>
            <w:vAlign w:val="center"/>
          </w:tcPr>
          <w:p>
            <w:pPr>
              <w:spacing w:before="0" w:after="0"/>
              <w:jc w:val="right"/>
            </w:pPr>
            <w:r>
              <w:rPr>
                <w:sz w:val="18"/>
                <w:szCs w:val="18"/>
              </w:rPr>
              <w:t xml:space="preserve">5.12</w:t>
            </w:r>
          </w:p>
        </w:tc>
      </w:tr>
      <w:tr>
        <w:tc>
          <w:tcPr>
            <w:tcW w:w="2872" w:type="dxa"/>
            <w:vAlign w:val="center"/>
          </w:tcPr>
          <w:p>
            <w:pPr>
              <w:spacing w:before="0" w:after="0"/>
              <w:jc w:val="left"/>
            </w:pPr>
            <w:r>
              <w:rPr>
                <w:sz w:val="18"/>
                <w:szCs w:val="18"/>
              </w:rPr>
              <w:t xml:space="preserve">Larchmont Ridge Investments LP</w:t>
            </w:r>
          </w:p>
        </w:tc>
        <w:tc>
          <w:tcPr>
            <w:tcW w:w="2400" w:type="dxa"/>
            <w:vAlign w:val="center"/>
          </w:tcPr>
          <w:p>
            <w:pPr>
              <w:spacing w:before="0" w:after="0"/>
              <w:jc w:val="left"/>
            </w:pPr>
            <w:r>
              <w:rPr>
                <w:sz w:val="18"/>
                <w:szCs w:val="18"/>
              </w:rPr>
              <w:t xml:space="preserve">151 Mill Street, Westridge</w:t>
            </w:r>
          </w:p>
        </w:tc>
        <w:tc>
          <w:tcPr>
            <w:tcW w:w="1900" w:type="dxa"/>
            <w:vAlign w:val="center"/>
          </w:tcPr>
          <w:p>
            <w:pPr>
              <w:spacing w:before="0" w:after="0"/>
              <w:jc w:val="right"/>
            </w:pPr>
            <w:r>
              <w:rPr>
                <w:sz w:val="18"/>
                <w:szCs w:val="18"/>
              </w:rPr>
              <w:t xml:space="preserve">3,852,000</w:t>
            </w:r>
          </w:p>
        </w:tc>
        <w:tc>
          <w:tcPr>
            <w:tcW w:w="1900" w:type="dxa"/>
            <w:vAlign w:val="center"/>
          </w:tcPr>
          <w:p>
            <w:pPr>
              <w:spacing w:before="0" w:after="0"/>
              <w:jc w:val="right"/>
            </w:pPr>
            <w:r>
              <w:rPr>
                <w:sz w:val="18"/>
                <w:szCs w:val="18"/>
              </w:rPr>
              <w:t xml:space="preserve">5.04</w:t>
            </w:r>
          </w:p>
        </w:tc>
      </w:tr>
      <w:tr>
        <w:tc>
          <w:tcPr>
            <w:tcW w:w="2872" w:type="dxa"/>
            <w:vAlign w:val="center"/>
          </w:tcPr>
          <w:p>
            <w:pPr>
              <w:spacing w:before="0" w:after="0"/>
              <w:jc w:val="left"/>
            </w:pPr>
            <w:r>
              <w:rPr>
                <w:sz w:val="18"/>
                <w:szCs w:val="18"/>
              </w:rPr>
              <w:t xml:space="preserve">Ivorydale Brook Family Trust</w:t>
            </w:r>
          </w:p>
        </w:tc>
        <w:tc>
          <w:tcPr>
            <w:tcW w:w="2400" w:type="dxa"/>
            <w:vAlign w:val="center"/>
          </w:tcPr>
          <w:p>
            <w:pPr>
              <w:spacing w:before="0" w:after="0"/>
              <w:jc w:val="left"/>
            </w:pPr>
            <w:r>
              <w:rPr>
                <w:sz w:val="18"/>
                <w:szCs w:val="18"/>
              </w:rPr>
              <w:t xml:space="preserve">320 Harbor Street, Harborview</w:t>
            </w:r>
          </w:p>
        </w:tc>
        <w:tc>
          <w:tcPr>
            <w:tcW w:w="1900" w:type="dxa"/>
            <w:vAlign w:val="center"/>
          </w:tcPr>
          <w:p>
            <w:pPr>
              <w:spacing w:before="0" w:after="0"/>
              <w:jc w:val="right"/>
            </w:pPr>
            <w:r>
              <w:rPr>
                <w:sz w:val="18"/>
                <w:szCs w:val="18"/>
              </w:rPr>
              <w:t xml:space="preserve">114,000</w:t>
            </w:r>
          </w:p>
        </w:tc>
        <w:tc>
          <w:tcPr>
            <w:tcW w:w="1900" w:type="dxa"/>
            <w:vAlign w:val="center"/>
          </w:tcPr>
          <w:p>
            <w:pPr>
              <w:spacing w:before="0" w:after="0"/>
              <w:jc w:val="right"/>
            </w:pPr>
            <w:r>
              <w:rPr>
                <w:sz w:val="18"/>
                <w:szCs w:val="18"/>
              </w:rPr>
              <w:t xml:space="preserve">11.90</w:t>
            </w:r>
          </w:p>
        </w:tc>
      </w:tr>
      <w:tr>
        <w:tc>
          <w:tcPr>
            <w:tcW w:w="2872" w:type="dxa"/>
            <w:vAlign w:val="center"/>
          </w:tcPr>
          <w:p>
            <w:pPr>
              <w:spacing w:before="0" w:after="0"/>
              <w:jc w:val="left"/>
            </w:pPr>
            <w:r>
              <w:rPr>
                <w:sz w:val="18"/>
                <w:szCs w:val="18"/>
              </w:rPr>
              <w:t xml:space="preserve">Ivorydale Field Partners LLC</w:t>
            </w:r>
          </w:p>
        </w:tc>
        <w:tc>
          <w:tcPr>
            <w:tcW w:w="2400" w:type="dxa"/>
            <w:vAlign w:val="center"/>
          </w:tcPr>
          <w:p>
            <w:pPr>
              <w:spacing w:before="0" w:after="0"/>
              <w:jc w:val="left"/>
            </w:pPr>
            <w:r>
              <w:rPr>
                <w:sz w:val="18"/>
                <w:szCs w:val="18"/>
              </w:rPr>
              <w:t xml:space="preserve">696 Market Street, Hillcrest</w:t>
            </w:r>
          </w:p>
        </w:tc>
        <w:tc>
          <w:tcPr>
            <w:tcW w:w="1900" w:type="dxa"/>
            <w:vAlign w:val="center"/>
          </w:tcPr>
          <w:p>
            <w:pPr>
              <w:spacing w:before="0" w:after="0"/>
              <w:jc w:val="right"/>
            </w:pPr>
            <w:r>
              <w:rPr>
                <w:sz w:val="18"/>
                <w:szCs w:val="18"/>
              </w:rPr>
              <w:t xml:space="preserve">1,688,000</w:t>
            </w:r>
          </w:p>
        </w:tc>
        <w:tc>
          <w:tcPr>
            <w:tcW w:w="1900" w:type="dxa"/>
            <w:vAlign w:val="center"/>
          </w:tcPr>
          <w:p>
            <w:pPr>
              <w:spacing w:before="0" w:after="0"/>
              <w:jc w:val="right"/>
            </w:pPr>
            <w:r>
              <w:rPr>
                <w:sz w:val="18"/>
                <w:szCs w:val="18"/>
              </w:rPr>
              <w:t xml:space="preserve">1.21</w:t>
            </w:r>
          </w:p>
        </w:tc>
      </w:tr>
      <w:tr>
        <w:tc>
          <w:tcPr>
            <w:tcW w:w="2872" w:type="dxa"/>
            <w:vAlign w:val="center"/>
          </w:tcPr>
          <w:p>
            <w:pPr>
              <w:spacing w:before="0" w:after="0"/>
              <w:jc w:val="left"/>
            </w:pPr>
            <w:r>
              <w:rPr>
                <w:sz w:val="18"/>
                <w:szCs w:val="18"/>
              </w:rPr>
              <w:t xml:space="preserve">Juniper Stone Growth Fund LP</w:t>
            </w:r>
          </w:p>
        </w:tc>
        <w:tc>
          <w:tcPr>
            <w:tcW w:w="2400" w:type="dxa"/>
            <w:vAlign w:val="center"/>
          </w:tcPr>
          <w:p>
            <w:pPr>
              <w:spacing w:before="0" w:after="0"/>
              <w:jc w:val="left"/>
            </w:pPr>
            <w:r>
              <w:rPr>
                <w:sz w:val="18"/>
                <w:szCs w:val="18"/>
              </w:rPr>
              <w:t xml:space="preserve">270 Market Street, Riverside</w:t>
            </w:r>
          </w:p>
        </w:tc>
        <w:tc>
          <w:tcPr>
            <w:tcW w:w="1900" w:type="dxa"/>
            <w:vAlign w:val="center"/>
          </w:tcPr>
          <w:p>
            <w:pPr>
              <w:spacing w:before="0" w:after="0"/>
              <w:jc w:val="right"/>
            </w:pPr>
            <w:r>
              <w:rPr>
                <w:sz w:val="18"/>
                <w:szCs w:val="18"/>
              </w:rPr>
              <w:t xml:space="preserve">1,979,000</w:t>
            </w:r>
          </w:p>
        </w:tc>
        <w:tc>
          <w:tcPr>
            <w:tcW w:w="1900" w:type="dxa"/>
            <w:vAlign w:val="center"/>
          </w:tcPr>
          <w:p>
            <w:pPr>
              <w:spacing w:before="0" w:after="0"/>
              <w:jc w:val="right"/>
            </w:pPr>
            <w:r>
              <w:rPr>
                <w:sz w:val="18"/>
                <w:szCs w:val="18"/>
              </w:rPr>
              <w:t xml:space="preserve">9.98</w:t>
            </w:r>
          </w:p>
        </w:tc>
      </w:tr>
      <w:tr>
        <w:tc>
          <w:tcPr>
            <w:tcW w:w="2872" w:type="dxa"/>
            <w:vAlign w:val="center"/>
          </w:tcPr>
          <w:p>
            <w:pPr>
              <w:spacing w:before="0" w:after="0"/>
              <w:jc w:val="left"/>
            </w:pPr>
            <w:r>
              <w:rPr>
                <w:sz w:val="18"/>
                <w:szCs w:val="18"/>
              </w:rPr>
              <w:t xml:space="preserve">Ivorydale Field Partners LLC</w:t>
            </w:r>
          </w:p>
        </w:tc>
        <w:tc>
          <w:tcPr>
            <w:tcW w:w="2400" w:type="dxa"/>
            <w:vAlign w:val="center"/>
          </w:tcPr>
          <w:p>
            <w:pPr>
              <w:spacing w:before="0" w:after="0"/>
              <w:jc w:val="left"/>
            </w:pPr>
            <w:r>
              <w:rPr>
                <w:sz w:val="18"/>
                <w:szCs w:val="18"/>
              </w:rPr>
              <w:t xml:space="preserve">342 Orchard Street, Eastbay</w:t>
            </w:r>
          </w:p>
        </w:tc>
        <w:tc>
          <w:tcPr>
            <w:tcW w:w="1900" w:type="dxa"/>
            <w:vAlign w:val="center"/>
          </w:tcPr>
          <w:p>
            <w:pPr>
              <w:spacing w:before="0" w:after="0"/>
              <w:jc w:val="right"/>
            </w:pPr>
            <w:r>
              <w:rPr>
                <w:sz w:val="18"/>
                <w:szCs w:val="18"/>
              </w:rPr>
              <w:t xml:space="preserve">2,545,000</w:t>
            </w:r>
          </w:p>
        </w:tc>
        <w:tc>
          <w:tcPr>
            <w:tcW w:w="1900" w:type="dxa"/>
            <w:vAlign w:val="center"/>
          </w:tcPr>
          <w:p>
            <w:pPr>
              <w:spacing w:before="0" w:after="0"/>
              <w:jc w:val="right"/>
            </w:pPr>
            <w:r>
              <w:rPr>
                <w:sz w:val="18"/>
                <w:szCs w:val="18"/>
              </w:rPr>
              <w:t xml:space="preserve">7.24</w:t>
            </w:r>
          </w:p>
        </w:tc>
      </w:tr>
      <w:tr>
        <w:tc>
          <w:tcPr>
            <w:tcW w:w="2872" w:type="dxa"/>
            <w:vAlign w:val="center"/>
          </w:tcPr>
          <w:p>
            <w:pPr>
              <w:spacing w:before="0" w:after="0"/>
              <w:jc w:val="left"/>
            </w:pPr>
            <w:r>
              <w:rPr>
                <w:sz w:val="18"/>
                <w:szCs w:val="18"/>
              </w:rPr>
              <w:t xml:space="preserve">Dunmore Field Family Trust</w:t>
            </w:r>
          </w:p>
        </w:tc>
        <w:tc>
          <w:tcPr>
            <w:tcW w:w="2400" w:type="dxa"/>
            <w:vAlign w:val="center"/>
          </w:tcPr>
          <w:p>
            <w:pPr>
              <w:spacing w:before="0" w:after="0"/>
              <w:jc w:val="left"/>
            </w:pPr>
            <w:r>
              <w:rPr>
                <w:sz w:val="18"/>
                <w:szCs w:val="18"/>
              </w:rPr>
              <w:t xml:space="preserve">415 Chapel Street, Riverside</w:t>
            </w:r>
          </w:p>
        </w:tc>
        <w:tc>
          <w:tcPr>
            <w:tcW w:w="1900" w:type="dxa"/>
            <w:vAlign w:val="center"/>
          </w:tcPr>
          <w:p>
            <w:pPr>
              <w:spacing w:before="0" w:after="0"/>
              <w:jc w:val="right"/>
            </w:pPr>
            <w:r>
              <w:rPr>
                <w:sz w:val="18"/>
                <w:szCs w:val="18"/>
              </w:rPr>
              <w:t xml:space="preserve">4,891,000</w:t>
            </w:r>
          </w:p>
        </w:tc>
        <w:tc>
          <w:tcPr>
            <w:tcW w:w="1900" w:type="dxa"/>
            <w:vAlign w:val="center"/>
          </w:tcPr>
          <w:p>
            <w:pPr>
              <w:spacing w:before="0" w:after="0"/>
              <w:jc w:val="right"/>
            </w:pPr>
            <w:r>
              <w:rPr>
                <w:sz w:val="18"/>
                <w:szCs w:val="18"/>
              </w:rPr>
              <w:t xml:space="preserve">4.55</w:t>
            </w:r>
          </w:p>
        </w:tc>
      </w:tr>
      <w:tr>
        <w:tc>
          <w:tcPr>
            <w:tcW w:w="2872" w:type="dxa"/>
            <w:vAlign w:val="center"/>
          </w:tcPr>
          <w:p>
            <w:pPr>
              <w:spacing w:before="0" w:after="0"/>
              <w:jc w:val="left"/>
            </w:pPr>
            <w:r>
              <w:rPr>
                <w:sz w:val="18"/>
                <w:szCs w:val="18"/>
              </w:rPr>
              <w:t xml:space="preserve">Bramble Bay Investments LP</w:t>
            </w:r>
          </w:p>
        </w:tc>
        <w:tc>
          <w:tcPr>
            <w:tcW w:w="2400" w:type="dxa"/>
            <w:vAlign w:val="center"/>
          </w:tcPr>
          <w:p>
            <w:pPr>
              <w:spacing w:before="0" w:after="0"/>
              <w:jc w:val="left"/>
            </w:pPr>
            <w:r>
              <w:rPr>
                <w:sz w:val="18"/>
                <w:szCs w:val="18"/>
              </w:rPr>
              <w:t xml:space="preserve">946 Harbor Street, Riverside</w:t>
            </w:r>
          </w:p>
        </w:tc>
        <w:tc>
          <w:tcPr>
            <w:tcW w:w="1900" w:type="dxa"/>
            <w:vAlign w:val="center"/>
          </w:tcPr>
          <w:p>
            <w:pPr>
              <w:spacing w:before="0" w:after="0"/>
              <w:jc w:val="right"/>
            </w:pPr>
            <w:r>
              <w:rPr>
                <w:sz w:val="18"/>
                <w:szCs w:val="18"/>
              </w:rPr>
              <w:t xml:space="preserve">4,295,000</w:t>
            </w:r>
          </w:p>
        </w:tc>
        <w:tc>
          <w:tcPr>
            <w:tcW w:w="1900" w:type="dxa"/>
            <w:vAlign w:val="center"/>
          </w:tcPr>
          <w:p>
            <w:pPr>
              <w:spacing w:before="0" w:after="0"/>
              <w:jc w:val="right"/>
            </w:pPr>
            <w:r>
              <w:rPr>
                <w:sz w:val="18"/>
                <w:szCs w:val="18"/>
              </w:rPr>
              <w:t xml:space="preserve">9.52</w:t>
            </w:r>
          </w:p>
        </w:tc>
      </w:tr>
    </w:tbl>
    <w:p>
      <w:pPr/>
    </w:p>
    <w:p>
      <w:pPr>
        <w:pStyle w:val="Heading3"/>
        <w:keepNext/>
      </w:pPr>
      <w:r>
        <w:t xml:space="preserve">3. Dividend Policy</w:t>
      </w:r>
    </w:p>
    <w:p>
      <w:pPr>
        <w:ind w:left="0" w:firstLine="360"/>
      </w:pPr>
      <w:r>
        <w:t xml:space="preserve">Occupancy costs increased to $9,007 thousand, reflecting rent for new stores and scheduled rent increases at existing locations. At the end of the fiscal year, the Group operated 170 company-operated stores in eight regions: Northfield, Eastbay, Southport, Westridge, Lakeside, Hillcrest, Riverside and Harborview. The Group leases all of its store premises under operating leases with initial terms of ten years, most of which include options to renew. Orders placed through the online store, including orders for pickup in store and home delivery of whole beans, accounted for 35.5% of revenue in the Beverages and Beans categories.</w:t>
      </w:r>
    </w:p>
    <w:p>
      <w:pPr>
        <w:ind w:left="0" w:firstLine="360"/>
      </w:pPr>
      <w:r>
        <w:t xml:space="preserve">The Company intends to pay dividends out of retained earnings while keeping sufficient funds to finance the opening of new stores. The roastery produced 590 thousand pounds of roasted coffee during the fiscal year, of which 37.9% was sold through company-operated stores. Food safety incidents, whether or not they occur at our stores, could harm the reputation of the Nimbus Coffee brand and reduce customer traffic. The Group depends on a small number of dairy and bakery suppliers in each region, and an interruption in their deliveries could affect sales at the stores they serve. The Company intends to pay dividends out of retained earnings while keeping sufficient funds to finance the opening of new stores. Orders placed through the online store, including orders for pickup in store and home delivery of whole beans, accounted for 38.7% of revenue in the Beverages and Beans categories.</w:t>
      </w:r>
    </w:p>
    <w:p>
      <w:pPr>
        <w:ind w:left="0" w:firstLine="360"/>
      </w:pPr>
      <w:r>
        <w:t xml:space="preserve">Food safety incidents, whether or not they occur at our stores, could harm the reputation of the Nimbus Coffee brand and reduce customer traffic. Inventories consist of green coffee, roasted coffee, packaging, food and merchandise, and are stated at the lower of cost and net realizable value. Net cash provided by operating activities was $308,572 thousand, mainly reflecting net income and depreciation and amortization. Orders placed through the online store, including orders for pickup in store and home delivery of whole beans, accounted for 35.4% of revenue in the Beverages and Beans categories. Wholesale revenue comes from sales of roasted beans to restaurants, hotels and grocery stores in the regions where the Company operates.</w:t>
      </w:r>
    </w:p>
    <w:p>
      <w:pPr>
        <w:ind w:left="0" w:firstLine="360"/>
      </w:pPr>
      <w:r>
        <w:t xml:space="preserve">The roastery produced 1,129 thousand pounds of roasted coffee during the fiscal year, of which 10.0% was sold through company-operated stores. These forward-looking statements are based on information available as of the date of this statement, and actual results may differ materially because of many factors. These forward-looking statements are based on information available as of the date of this statement, and actual results may differ materially because of many factors. The roastery produced 1,429 thousand pounds of roasted coffee during the fiscal year, of which 9.6% was sold through company-operated stores. Inventories consist of green coffee, roasted coffee, packaging, food and merchandise, and are stated at the lower of cost and net realizable value.</w:t>
      </w:r>
    </w:p>
    <w:p>
      <w:pPr>
        <w:ind w:left="0" w:firstLine="360"/>
      </w:pPr>
      <w:r>
        <w:t xml:space="preserve">Green coffee is purchased from exporters and cooperatives in Central America, South America and East Africa under fixed-price contracts that generally cover the next nine to twelve months of expected needs. Baristas complete a four-week training course before working on the floor, and store managers complete a further course at the Northfield training center. The Group depends on a small number of dairy and bakery suppliers in each region, and an interruption in their deliveries could affect sales at the stores they serve.</w:t>
      </w:r>
    </w:p>
    <w:tbl>
      <w:tblPr>
        <w:tblW w:w="907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72" w:type="dxa"/>
          <w:right w:w="72" w:type="dxa"/>
        </w:tblCellMar>
      </w:tblPr>
      <w:tblGrid>
        <w:gridCol w:w="2872"/>
        <w:gridCol w:w="2400"/>
        <w:gridCol w:w="1900"/>
        <w:gridCol w:w="1900"/>
      </w:tblGrid>
      <w:tr>
        <w:trPr>
          <w:tblHeader/>
        </w:trPr>
        <w:tc>
          <w:tcPr>
            <w:tcW w:w="2872" w:type="dxa"/>
            <w:shd w:val="clear" w:color="auto" w:fill="DDEBF7"/>
            <w:vAlign w:val="center"/>
          </w:tcPr>
          <w:p>
            <w:pPr>
              <w:spacing w:before="0" w:after="0"/>
              <w:jc w:val="center"/>
            </w:pPr>
            <w:r>
              <w:rPr>
                <w:b/>
                <w:sz w:val="18"/>
                <w:szCs w:val="18"/>
              </w:rPr>
              <w:t xml:space="preserve">Name</w:t>
            </w:r>
          </w:p>
        </w:tc>
        <w:tc>
          <w:tcPr>
            <w:tcW w:w="2400" w:type="dxa"/>
            <w:shd w:val="clear" w:color="auto" w:fill="DDEBF7"/>
            <w:vAlign w:val="center"/>
          </w:tcPr>
          <w:p>
            <w:pPr>
              <w:spacing w:before="0" w:after="0"/>
              <w:jc w:val="center"/>
            </w:pPr>
            <w:r>
              <w:rPr>
                <w:b/>
                <w:sz w:val="18"/>
                <w:szCs w:val="18"/>
              </w:rPr>
              <w:t xml:space="preserve">Address</w:t>
            </w:r>
          </w:p>
        </w:tc>
        <w:tc>
          <w:tcPr>
            <w:tcW w:w="1900" w:type="dxa"/>
            <w:shd w:val="clear" w:color="auto" w:fill="DDEBF7"/>
            <w:vAlign w:val="center"/>
          </w:tcPr>
          <w:p>
            <w:pPr>
              <w:spacing w:before="0" w:after="0"/>
              <w:jc w:val="center"/>
            </w:pPr>
            <w:r>
              <w:rPr>
                <w:b/>
                <w:sz w:val="18"/>
                <w:szCs w:val="18"/>
              </w:rPr>
              <w:t xml:space="preserve">Shares held</w:t>
            </w:r>
          </w:p>
        </w:tc>
        <w:tc>
          <w:tcPr>
            <w:tcW w:w="1900" w:type="dxa"/>
            <w:shd w:val="clear" w:color="auto" w:fill="DDEBF7"/>
            <w:vAlign w:val="center"/>
          </w:tcPr>
          <w:p>
            <w:pPr>
              <w:spacing w:before="0" w:after="0"/>
              <w:jc w:val="center"/>
            </w:pPr>
            <w:r>
              <w:rPr>
                <w:b/>
                <w:sz w:val="18"/>
                <w:szCs w:val="18"/>
              </w:rPr>
              <w:t xml:space="preserve">Ownership (%)</w:t>
            </w:r>
          </w:p>
        </w:tc>
      </w:tr>
      <w:tr>
        <w:tc>
          <w:tcPr>
            <w:tcW w:w="2872" w:type="dxa"/>
            <w:vAlign w:val="center"/>
          </w:tcPr>
          <w:p>
            <w:pPr>
              <w:spacing w:before="0" w:after="0"/>
              <w:jc w:val="left"/>
            </w:pPr>
            <w:r>
              <w:rPr>
                <w:sz w:val="18"/>
                <w:szCs w:val="18"/>
              </w:rPr>
              <w:t xml:space="preserve">Larchmont Hollow Partners LLC</w:t>
            </w:r>
          </w:p>
        </w:tc>
        <w:tc>
          <w:tcPr>
            <w:tcW w:w="2400" w:type="dxa"/>
            <w:vAlign w:val="center"/>
          </w:tcPr>
          <w:p>
            <w:pPr>
              <w:spacing w:before="0" w:after="0"/>
              <w:jc w:val="left"/>
            </w:pPr>
            <w:r>
              <w:rPr>
                <w:sz w:val="18"/>
                <w:szCs w:val="18"/>
              </w:rPr>
              <w:t xml:space="preserve">726 Market Street, Harborview</w:t>
            </w:r>
          </w:p>
        </w:tc>
        <w:tc>
          <w:tcPr>
            <w:tcW w:w="1900" w:type="dxa"/>
            <w:vAlign w:val="center"/>
          </w:tcPr>
          <w:p>
            <w:pPr>
              <w:spacing w:before="0" w:after="0"/>
              <w:jc w:val="right"/>
            </w:pPr>
            <w:r>
              <w:rPr>
                <w:sz w:val="18"/>
                <w:szCs w:val="18"/>
              </w:rPr>
              <w:t xml:space="preserve">723,000</w:t>
            </w:r>
          </w:p>
        </w:tc>
        <w:tc>
          <w:tcPr>
            <w:tcW w:w="1900" w:type="dxa"/>
            <w:vAlign w:val="center"/>
          </w:tcPr>
          <w:p>
            <w:pPr>
              <w:spacing w:before="0" w:after="0"/>
              <w:jc w:val="right"/>
            </w:pPr>
            <w:r>
              <w:rPr>
                <w:sz w:val="18"/>
                <w:szCs w:val="18"/>
              </w:rPr>
              <w:t xml:space="preserve">4.36</w:t>
            </w:r>
          </w:p>
        </w:tc>
      </w:tr>
      <w:tr>
        <w:tc>
          <w:tcPr>
            <w:tcW w:w="2872" w:type="dxa"/>
            <w:vAlign w:val="center"/>
          </w:tcPr>
          <w:p>
            <w:pPr>
              <w:spacing w:before="0" w:after="0"/>
              <w:jc w:val="left"/>
            </w:pPr>
            <w:r>
              <w:rPr>
                <w:sz w:val="18"/>
                <w:szCs w:val="18"/>
              </w:rPr>
              <w:t xml:space="preserve">Hollis Field Holdings LLC</w:t>
            </w:r>
          </w:p>
        </w:tc>
        <w:tc>
          <w:tcPr>
            <w:tcW w:w="2400" w:type="dxa"/>
            <w:vAlign w:val="center"/>
          </w:tcPr>
          <w:p>
            <w:pPr>
              <w:spacing w:before="0" w:after="0"/>
              <w:jc w:val="left"/>
            </w:pPr>
            <w:r>
              <w:rPr>
                <w:sz w:val="18"/>
                <w:szCs w:val="18"/>
              </w:rPr>
              <w:t xml:space="preserve">783 Station Street, Lakeside</w:t>
            </w:r>
          </w:p>
        </w:tc>
        <w:tc>
          <w:tcPr>
            <w:tcW w:w="1900" w:type="dxa"/>
            <w:vAlign w:val="center"/>
          </w:tcPr>
          <w:p>
            <w:pPr>
              <w:spacing w:before="0" w:after="0"/>
              <w:jc w:val="right"/>
            </w:pPr>
            <w:r>
              <w:rPr>
                <w:sz w:val="18"/>
                <w:szCs w:val="18"/>
              </w:rPr>
              <w:t xml:space="preserve">3,280,000</w:t>
            </w:r>
          </w:p>
        </w:tc>
        <w:tc>
          <w:tcPr>
            <w:tcW w:w="1900" w:type="dxa"/>
            <w:vAlign w:val="center"/>
          </w:tcPr>
          <w:p>
            <w:pPr>
              <w:spacing w:before="0" w:after="0"/>
              <w:jc w:val="right"/>
            </w:pPr>
            <w:r>
              <w:rPr>
                <w:sz w:val="18"/>
                <w:szCs w:val="18"/>
              </w:rPr>
              <w:t xml:space="preserve">1.42</w:t>
            </w:r>
          </w:p>
        </w:tc>
      </w:tr>
      <w:tr>
        <w:tc>
          <w:tcPr>
            <w:tcW w:w="2872" w:type="dxa"/>
            <w:vAlign w:val="center"/>
          </w:tcPr>
          <w:p>
            <w:pPr>
              <w:spacing w:before="0" w:after="0"/>
              <w:jc w:val="left"/>
            </w:pPr>
            <w:r>
              <w:rPr>
                <w:sz w:val="18"/>
                <w:szCs w:val="18"/>
              </w:rPr>
              <w:t xml:space="preserve">Elkhorn Ridge Holdings LLC</w:t>
            </w:r>
          </w:p>
        </w:tc>
        <w:tc>
          <w:tcPr>
            <w:tcW w:w="2400" w:type="dxa"/>
            <w:vAlign w:val="center"/>
          </w:tcPr>
          <w:p>
            <w:pPr>
              <w:spacing w:before="0" w:after="0"/>
              <w:jc w:val="left"/>
            </w:pPr>
            <w:r>
              <w:rPr>
                <w:sz w:val="18"/>
                <w:szCs w:val="18"/>
              </w:rPr>
              <w:t xml:space="preserve">610 Orchard Street, Northfield</w:t>
            </w:r>
          </w:p>
        </w:tc>
        <w:tc>
          <w:tcPr>
            <w:tcW w:w="1900" w:type="dxa"/>
            <w:vAlign w:val="center"/>
          </w:tcPr>
          <w:p>
            <w:pPr>
              <w:spacing w:before="0" w:after="0"/>
              <w:jc w:val="right"/>
            </w:pPr>
            <w:r>
              <w:rPr>
                <w:sz w:val="18"/>
                <w:szCs w:val="18"/>
              </w:rPr>
              <w:t xml:space="preserve">3,834,000</w:t>
            </w:r>
          </w:p>
        </w:tc>
        <w:tc>
          <w:tcPr>
            <w:tcW w:w="1900" w:type="dxa"/>
            <w:vAlign w:val="center"/>
          </w:tcPr>
          <w:p>
            <w:pPr>
              <w:spacing w:before="0" w:after="0"/>
              <w:jc w:val="right"/>
            </w:pPr>
            <w:r>
              <w:rPr>
                <w:sz w:val="18"/>
                <w:szCs w:val="18"/>
              </w:rPr>
              <w:t xml:space="preserve">10.54</w:t>
            </w:r>
          </w:p>
        </w:tc>
      </w:tr>
      <w:tr>
        <w:tc>
          <w:tcPr>
            <w:tcW w:w="2872" w:type="dxa"/>
            <w:vAlign w:val="center"/>
          </w:tcPr>
          <w:p>
            <w:pPr>
              <w:spacing w:before="0" w:after="0"/>
              <w:jc w:val="left"/>
            </w:pPr>
            <w:r>
              <w:rPr>
                <w:sz w:val="18"/>
                <w:szCs w:val="18"/>
              </w:rPr>
              <w:t xml:space="preserve">Kestrel Crest Holdings LLC</w:t>
            </w:r>
          </w:p>
        </w:tc>
        <w:tc>
          <w:tcPr>
            <w:tcW w:w="2400" w:type="dxa"/>
            <w:vAlign w:val="center"/>
          </w:tcPr>
          <w:p>
            <w:pPr>
              <w:spacing w:before="0" w:after="0"/>
              <w:jc w:val="left"/>
            </w:pPr>
            <w:r>
              <w:rPr>
                <w:sz w:val="18"/>
                <w:szCs w:val="18"/>
              </w:rPr>
              <w:t xml:space="preserve">725 Orchard Street, Eastbay</w:t>
            </w:r>
          </w:p>
        </w:tc>
        <w:tc>
          <w:tcPr>
            <w:tcW w:w="1900" w:type="dxa"/>
            <w:vAlign w:val="center"/>
          </w:tcPr>
          <w:p>
            <w:pPr>
              <w:spacing w:before="0" w:after="0"/>
              <w:jc w:val="right"/>
            </w:pPr>
            <w:r>
              <w:rPr>
                <w:sz w:val="18"/>
                <w:szCs w:val="18"/>
              </w:rPr>
              <w:t xml:space="preserve">4,270,000</w:t>
            </w:r>
          </w:p>
        </w:tc>
        <w:tc>
          <w:tcPr>
            <w:tcW w:w="1900" w:type="dxa"/>
            <w:vAlign w:val="center"/>
          </w:tcPr>
          <w:p>
            <w:pPr>
              <w:spacing w:before="0" w:after="0"/>
              <w:jc w:val="right"/>
            </w:pPr>
            <w:r>
              <w:rPr>
                <w:sz w:val="18"/>
                <w:szCs w:val="18"/>
              </w:rPr>
              <w:t xml:space="preserve">7.63</w:t>
            </w:r>
          </w:p>
        </w:tc>
      </w:tr>
      <w:tr>
        <w:tc>
          <w:tcPr>
            <w:tcW w:w="2872" w:type="dxa"/>
            <w:vAlign w:val="center"/>
          </w:tcPr>
          <w:p>
            <w:pPr>
              <w:spacing w:before="0" w:after="0"/>
              <w:jc w:val="left"/>
            </w:pPr>
            <w:r>
              <w:rPr>
                <w:sz w:val="18"/>
                <w:szCs w:val="18"/>
              </w:rPr>
              <w:t xml:space="preserve">Dunmore Ridge Family Trust</w:t>
            </w:r>
          </w:p>
        </w:tc>
        <w:tc>
          <w:tcPr>
            <w:tcW w:w="2400" w:type="dxa"/>
            <w:vAlign w:val="center"/>
          </w:tcPr>
          <w:p>
            <w:pPr>
              <w:spacing w:before="0" w:after="0"/>
              <w:jc w:val="left"/>
            </w:pPr>
            <w:r>
              <w:rPr>
                <w:sz w:val="18"/>
                <w:szCs w:val="18"/>
              </w:rPr>
              <w:t xml:space="preserve">564 Market Street, Northfield</w:t>
            </w:r>
          </w:p>
        </w:tc>
        <w:tc>
          <w:tcPr>
            <w:tcW w:w="1900" w:type="dxa"/>
            <w:vAlign w:val="center"/>
          </w:tcPr>
          <w:p>
            <w:pPr>
              <w:spacing w:before="0" w:after="0"/>
              <w:jc w:val="right"/>
            </w:pPr>
            <w:r>
              <w:rPr>
                <w:sz w:val="18"/>
                <w:szCs w:val="18"/>
              </w:rPr>
              <w:t xml:space="preserve">3,104,000</w:t>
            </w:r>
          </w:p>
        </w:tc>
        <w:tc>
          <w:tcPr>
            <w:tcW w:w="1900" w:type="dxa"/>
            <w:vAlign w:val="center"/>
          </w:tcPr>
          <w:p>
            <w:pPr>
              <w:spacing w:before="0" w:after="0"/>
              <w:jc w:val="right"/>
            </w:pPr>
            <w:r>
              <w:rPr>
                <w:sz w:val="18"/>
                <w:szCs w:val="18"/>
              </w:rPr>
              <w:t xml:space="preserve">5.76</w:t>
            </w:r>
          </w:p>
        </w:tc>
      </w:tr>
      <w:tr>
        <w:tc>
          <w:tcPr>
            <w:tcW w:w="2872" w:type="dxa"/>
            <w:vAlign w:val="center"/>
          </w:tcPr>
          <w:p>
            <w:pPr>
              <w:spacing w:before="0" w:after="0"/>
              <w:jc w:val="left"/>
            </w:pPr>
            <w:r>
              <w:rPr>
                <w:sz w:val="18"/>
                <w:szCs w:val="18"/>
              </w:rPr>
              <w:t xml:space="preserve">Juniper Ridge Family Trust</w:t>
            </w:r>
          </w:p>
        </w:tc>
        <w:tc>
          <w:tcPr>
            <w:tcW w:w="2400" w:type="dxa"/>
            <w:vAlign w:val="center"/>
          </w:tcPr>
          <w:p>
            <w:pPr>
              <w:spacing w:before="0" w:after="0"/>
              <w:jc w:val="left"/>
            </w:pPr>
            <w:r>
              <w:rPr>
                <w:sz w:val="18"/>
                <w:szCs w:val="18"/>
              </w:rPr>
              <w:t xml:space="preserve">102 Chapel Street, Riverside</w:t>
            </w:r>
          </w:p>
        </w:tc>
        <w:tc>
          <w:tcPr>
            <w:tcW w:w="1900" w:type="dxa"/>
            <w:vAlign w:val="center"/>
          </w:tcPr>
          <w:p>
            <w:pPr>
              <w:spacing w:before="0" w:after="0"/>
              <w:jc w:val="right"/>
            </w:pPr>
            <w:r>
              <w:rPr>
                <w:sz w:val="18"/>
                <w:szCs w:val="18"/>
              </w:rPr>
              <w:t xml:space="preserve">4,107,000</w:t>
            </w:r>
          </w:p>
        </w:tc>
        <w:tc>
          <w:tcPr>
            <w:tcW w:w="1900" w:type="dxa"/>
            <w:vAlign w:val="center"/>
          </w:tcPr>
          <w:p>
            <w:pPr>
              <w:spacing w:before="0" w:after="0"/>
              <w:jc w:val="right"/>
            </w:pPr>
            <w:r>
              <w:rPr>
                <w:sz w:val="18"/>
                <w:szCs w:val="18"/>
              </w:rPr>
              <w:t xml:space="preserve">8.94</w:t>
            </w:r>
          </w:p>
        </w:tc>
      </w:tr>
      <w:tr>
        <w:tc>
          <w:tcPr>
            <w:tcW w:w="2872" w:type="dxa"/>
            <w:vAlign w:val="center"/>
          </w:tcPr>
          <w:p>
            <w:pPr>
              <w:spacing w:before="0" w:after="0"/>
              <w:jc w:val="left"/>
            </w:pPr>
            <w:r>
              <w:rPr>
                <w:sz w:val="18"/>
                <w:szCs w:val="18"/>
              </w:rPr>
              <w:t xml:space="preserve">Elkhorn Bay Growth Fund LP</w:t>
            </w:r>
          </w:p>
        </w:tc>
        <w:tc>
          <w:tcPr>
            <w:tcW w:w="2400" w:type="dxa"/>
            <w:vAlign w:val="center"/>
          </w:tcPr>
          <w:p>
            <w:pPr>
              <w:spacing w:before="0" w:after="0"/>
              <w:jc w:val="left"/>
            </w:pPr>
            <w:r>
              <w:rPr>
                <w:sz w:val="18"/>
                <w:szCs w:val="18"/>
              </w:rPr>
              <w:t xml:space="preserve">449 Harbor Street, Harborview</w:t>
            </w:r>
          </w:p>
        </w:tc>
        <w:tc>
          <w:tcPr>
            <w:tcW w:w="1900" w:type="dxa"/>
            <w:vAlign w:val="center"/>
          </w:tcPr>
          <w:p>
            <w:pPr>
              <w:spacing w:before="0" w:after="0"/>
              <w:jc w:val="right"/>
            </w:pPr>
            <w:r>
              <w:rPr>
                <w:sz w:val="18"/>
                <w:szCs w:val="18"/>
              </w:rPr>
              <w:t xml:space="preserve">1,081,000</w:t>
            </w:r>
          </w:p>
        </w:tc>
        <w:tc>
          <w:tcPr>
            <w:tcW w:w="1900" w:type="dxa"/>
            <w:vAlign w:val="center"/>
          </w:tcPr>
          <w:p>
            <w:pPr>
              <w:spacing w:before="0" w:after="0"/>
              <w:jc w:val="right"/>
            </w:pPr>
            <w:r>
              <w:rPr>
                <w:sz w:val="18"/>
                <w:szCs w:val="18"/>
              </w:rPr>
              <w:t xml:space="preserve">5.44</w:t>
            </w:r>
          </w:p>
        </w:tc>
      </w:tr>
      <w:tr>
        <w:tc>
          <w:tcPr>
            <w:tcW w:w="2872" w:type="dxa"/>
            <w:vAlign w:val="center"/>
          </w:tcPr>
          <w:p>
            <w:pPr>
              <w:spacing w:before="0" w:after="0"/>
              <w:jc w:val="left"/>
            </w:pPr>
            <w:r>
              <w:rPr>
                <w:sz w:val="18"/>
                <w:szCs w:val="18"/>
              </w:rPr>
              <w:t xml:space="preserve">Larchmont Ridge Partners LLC</w:t>
            </w:r>
          </w:p>
        </w:tc>
        <w:tc>
          <w:tcPr>
            <w:tcW w:w="2400" w:type="dxa"/>
            <w:vAlign w:val="center"/>
          </w:tcPr>
          <w:p>
            <w:pPr>
              <w:spacing w:before="0" w:after="0"/>
              <w:jc w:val="left"/>
            </w:pPr>
            <w:r>
              <w:rPr>
                <w:sz w:val="18"/>
                <w:szCs w:val="18"/>
              </w:rPr>
              <w:t xml:space="preserve">756 Chapel Street, Southport</w:t>
            </w:r>
          </w:p>
        </w:tc>
        <w:tc>
          <w:tcPr>
            <w:tcW w:w="1900" w:type="dxa"/>
            <w:vAlign w:val="center"/>
          </w:tcPr>
          <w:p>
            <w:pPr>
              <w:spacing w:before="0" w:after="0"/>
              <w:jc w:val="right"/>
            </w:pPr>
            <w:r>
              <w:rPr>
                <w:sz w:val="18"/>
                <w:szCs w:val="18"/>
              </w:rPr>
              <w:t xml:space="preserve">2,146,000</w:t>
            </w:r>
          </w:p>
        </w:tc>
        <w:tc>
          <w:tcPr>
            <w:tcW w:w="1900" w:type="dxa"/>
            <w:vAlign w:val="center"/>
          </w:tcPr>
          <w:p>
            <w:pPr>
              <w:spacing w:before="0" w:after="0"/>
              <w:jc w:val="right"/>
            </w:pPr>
            <w:r>
              <w:rPr>
                <w:sz w:val="18"/>
                <w:szCs w:val="18"/>
              </w:rPr>
              <w:t xml:space="preserve">4.95</w:t>
            </w:r>
          </w:p>
        </w:tc>
      </w:tr>
      <w:tr>
        <w:tc>
          <w:tcPr>
            <w:tcW w:w="2872" w:type="dxa"/>
            <w:vAlign w:val="center"/>
          </w:tcPr>
          <w:p>
            <w:pPr>
              <w:spacing w:before="0" w:after="0"/>
              <w:jc w:val="left"/>
            </w:pPr>
            <w:r>
              <w:rPr>
                <w:sz w:val="18"/>
                <w:szCs w:val="18"/>
              </w:rPr>
              <w:t xml:space="preserve">Fenwick Crest Holdings LLC</w:t>
            </w:r>
          </w:p>
        </w:tc>
        <w:tc>
          <w:tcPr>
            <w:tcW w:w="2400" w:type="dxa"/>
            <w:vAlign w:val="center"/>
          </w:tcPr>
          <w:p>
            <w:pPr>
              <w:spacing w:before="0" w:after="0"/>
              <w:jc w:val="left"/>
            </w:pPr>
            <w:r>
              <w:rPr>
                <w:sz w:val="18"/>
                <w:szCs w:val="18"/>
              </w:rPr>
              <w:t xml:space="preserve">727 Market Street, Eastbay</w:t>
            </w:r>
          </w:p>
        </w:tc>
        <w:tc>
          <w:tcPr>
            <w:tcW w:w="1900" w:type="dxa"/>
            <w:vAlign w:val="center"/>
          </w:tcPr>
          <w:p>
            <w:pPr>
              <w:spacing w:before="0" w:after="0"/>
              <w:jc w:val="right"/>
            </w:pPr>
            <w:r>
              <w:rPr>
                <w:sz w:val="18"/>
                <w:szCs w:val="18"/>
              </w:rPr>
              <w:t xml:space="preserve">1,940,000</w:t>
            </w:r>
          </w:p>
        </w:tc>
        <w:tc>
          <w:tcPr>
            <w:tcW w:w="1900" w:type="dxa"/>
            <w:vAlign w:val="center"/>
          </w:tcPr>
          <w:p>
            <w:pPr>
              <w:spacing w:before="0" w:after="0"/>
              <w:jc w:val="right"/>
            </w:pPr>
            <w:r>
              <w:rPr>
                <w:sz w:val="18"/>
                <w:szCs w:val="18"/>
              </w:rPr>
              <w:t xml:space="preserve">1.50</w:t>
            </w:r>
          </w:p>
        </w:tc>
      </w:tr>
      <w:tr>
        <w:tc>
          <w:tcPr>
            <w:tcW w:w="2872" w:type="dxa"/>
            <w:vAlign w:val="center"/>
          </w:tcPr>
          <w:p>
            <w:pPr>
              <w:spacing w:before="0" w:after="0"/>
              <w:jc w:val="left"/>
            </w:pPr>
            <w:r>
              <w:rPr>
                <w:sz w:val="18"/>
                <w:szCs w:val="18"/>
              </w:rPr>
              <w:t xml:space="preserve">Fenwick Stone Investments LP</w:t>
            </w:r>
          </w:p>
        </w:tc>
        <w:tc>
          <w:tcPr>
            <w:tcW w:w="2400" w:type="dxa"/>
            <w:vAlign w:val="center"/>
          </w:tcPr>
          <w:p>
            <w:pPr>
              <w:spacing w:before="0" w:after="0"/>
              <w:jc w:val="left"/>
            </w:pPr>
            <w:r>
              <w:rPr>
                <w:sz w:val="18"/>
                <w:szCs w:val="18"/>
              </w:rPr>
              <w:t xml:space="preserve">42 Orchard Street, Hillcrest</w:t>
            </w:r>
          </w:p>
        </w:tc>
        <w:tc>
          <w:tcPr>
            <w:tcW w:w="1900" w:type="dxa"/>
            <w:vAlign w:val="center"/>
          </w:tcPr>
          <w:p>
            <w:pPr>
              <w:spacing w:before="0" w:after="0"/>
              <w:jc w:val="right"/>
            </w:pPr>
            <w:r>
              <w:rPr>
                <w:sz w:val="18"/>
                <w:szCs w:val="18"/>
              </w:rPr>
              <w:t xml:space="preserve">4,561,000</w:t>
            </w:r>
          </w:p>
        </w:tc>
        <w:tc>
          <w:tcPr>
            <w:tcW w:w="1900" w:type="dxa"/>
            <w:vAlign w:val="center"/>
          </w:tcPr>
          <w:p>
            <w:pPr>
              <w:spacing w:before="0" w:after="0"/>
              <w:jc w:val="right"/>
            </w:pPr>
            <w:r>
              <w:rPr>
                <w:sz w:val="18"/>
                <w:szCs w:val="18"/>
              </w:rPr>
              <w:t xml:space="preserve">0.93</w:t>
            </w:r>
          </w:p>
        </w:tc>
      </w:tr>
    </w:tbl>
    <w:p>
      <w:pPr/>
    </w:p>
    <w:p>
      <w:pPr>
        <w:pStyle w:val="Heading3"/>
        <w:keepNext/>
      </w:pPr>
      <w:r>
        <w:t xml:space="preserve">4. Corporate Governance</w:t>
      </w:r>
    </w:p>
    <w:p>
      <w:pPr>
        <w:ind w:left="0" w:firstLine="360"/>
      </w:pPr>
      <w:r>
        <w:t xml:space="preserve">The loyalty program had 678 thousand active members at the end of the fiscal year, and purchases by members accounted for 52.1% of store revenue. The roastery produced 814 thousand pounds of roasted coffee during the fiscal year, of which 60.9% was sold through company-operated stores. Labor costs are affected by minimum wage laws in the regions where the stores are located, and further increases could reduce store margins. At the end of the fiscal year, the Group operated 184 company-operated stores in eight regions: Northfield, Eastbay, Southport, Westridge, Lakeside, Hillcrest, Riverside and Harborview. At the end of the fiscal year, the Group operated 172 company-operated stores in eight regions: Northfield, Eastbay, Southport, Westridge, Lakeside, Hillcrest, Riverside and Harborview.</w:t>
      </w:r>
    </w:p>
    <w:p>
      <w:pPr>
        <w:ind w:left="0" w:firstLine="360"/>
      </w:pPr>
      <w:r>
        <w:t xml:space="preserve">Merchandise sales, consisting of mugs, brewing equipment and seasonal gift sets, are highest in the fourth quarter of each year. Net cash provided by operating activities was $153,155 thousand, mainly reflecting net income and depreciation and amortization. The Company intends to pay dividends out of retained earnings while keeping sufficient funds to finance the opening of new stores.</w:t>
      </w:r>
    </w:p>
    <w:p>
      <w:pPr>
        <w:ind w:left="0" w:firstLine="360"/>
      </w:pPr>
      <w:r>
        <w:t xml:space="preserve">Green coffee is purchased from exporters and cooperatives in Central America, South America and East Africa under fixed-price contracts that generally cover the next nine to twelve months of expected needs. These forward-looking statements are based on information available as of the date of this statement, and actual results may differ materially because of many factors. Energy use per store decreased 9.9% compared with the prior year, as older espresso machines and refrigerators were replaced with more efficient models. The Company holds no derivatives other than coffee futures contracts used to fix the price of part of its future green coffee purchases. Total revenue for the fiscal year was $165,596 thousand, an increase of 11.3% over the prior year, and operating income was $20,903 thousand, an increase of 2.5%.</w:t>
      </w:r>
    </w:p>
    <w:p>
      <w:pPr>
        <w:ind w:left="0" w:firstLine="360"/>
      </w:pPr>
      <w:r>
        <w:t xml:space="preserve">Inventories consist of green coffee, roasted coffee, packaging, food and merchandise, and are stated at the lower of cost and net realizable value. New stores generally reach the sales level of a mature store within eighteen to twenty-four months of opening. Energy use per store decreased 7.6% compared with the prior year, as older espresso machines and refrigerators were replaced with more efficient models.</w:t>
      </w:r>
    </w:p>
    <w:p>
      <w:pPr>
        <w:ind w:left="0" w:firstLine="360"/>
      </w:pPr>
      <w:r>
        <w:t xml:space="preserve">Each store is managed by a store manager who reports to a district manager, and district managers report to the director for their region. Revenue from loyalty rewards is deferred until the reward is redeemed or expires. The Company intends to pay dividends out of retained earnings while keeping sufficient funds to finance the opening of new stores. The Company holds no derivatives other than coffee futures contracts used to fix the price of part of its future green coffee purchases. Net cash used in investing activities was $6,652 thousand, primarily for purchases of property and equipment. Green coffee is purchased from exporters and cooperatives in Central America, South America and East Africa under fixed-price contracts that generally cover the next nine to twelve months of expected needs.</w:t>
      </w:r>
    </w:p>
    <w:tbl>
      <w:tblPr>
        <w:tblW w:w="907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72" w:type="dxa"/>
          <w:right w:w="72" w:type="dxa"/>
        </w:tblCellMar>
      </w:tblPr>
      <w:tblGrid>
        <w:gridCol w:w="2872"/>
        <w:gridCol w:w="2400"/>
        <w:gridCol w:w="1900"/>
        <w:gridCol w:w="1900"/>
      </w:tblGrid>
      <w:tr>
        <w:trPr>
          <w:tblHeader/>
        </w:trPr>
        <w:tc>
          <w:tcPr>
            <w:tcW w:w="2872" w:type="dxa"/>
            <w:shd w:val="clear" w:color="auto" w:fill="DDEBF7"/>
            <w:vAlign w:val="center"/>
          </w:tcPr>
          <w:p>
            <w:pPr>
              <w:spacing w:before="0" w:after="0"/>
              <w:jc w:val="center"/>
            </w:pPr>
            <w:r>
              <w:rPr>
                <w:b/>
                <w:sz w:val="18"/>
                <w:szCs w:val="18"/>
              </w:rPr>
              <w:t xml:space="preserve">Name</w:t>
            </w:r>
          </w:p>
        </w:tc>
        <w:tc>
          <w:tcPr>
            <w:tcW w:w="2400" w:type="dxa"/>
            <w:shd w:val="clear" w:color="auto" w:fill="DDEBF7"/>
            <w:vAlign w:val="center"/>
          </w:tcPr>
          <w:p>
            <w:pPr>
              <w:spacing w:before="0" w:after="0"/>
              <w:jc w:val="center"/>
            </w:pPr>
            <w:r>
              <w:rPr>
                <w:b/>
                <w:sz w:val="18"/>
                <w:szCs w:val="18"/>
              </w:rPr>
              <w:t xml:space="preserve">Address</w:t>
            </w:r>
          </w:p>
        </w:tc>
        <w:tc>
          <w:tcPr>
            <w:tcW w:w="1900" w:type="dxa"/>
            <w:shd w:val="clear" w:color="auto" w:fill="DDEBF7"/>
            <w:vAlign w:val="center"/>
          </w:tcPr>
          <w:p>
            <w:pPr>
              <w:spacing w:before="0" w:after="0"/>
              <w:jc w:val="center"/>
            </w:pPr>
            <w:r>
              <w:rPr>
                <w:b/>
                <w:sz w:val="18"/>
                <w:szCs w:val="18"/>
              </w:rPr>
              <w:t xml:space="preserve">Shares held</w:t>
            </w:r>
          </w:p>
        </w:tc>
        <w:tc>
          <w:tcPr>
            <w:tcW w:w="1900" w:type="dxa"/>
            <w:shd w:val="clear" w:color="auto" w:fill="DDEBF7"/>
            <w:vAlign w:val="center"/>
          </w:tcPr>
          <w:p>
            <w:pPr>
              <w:spacing w:before="0" w:after="0"/>
              <w:jc w:val="center"/>
            </w:pPr>
            <w:r>
              <w:rPr>
                <w:b/>
                <w:sz w:val="18"/>
                <w:szCs w:val="18"/>
              </w:rPr>
              <w:t xml:space="preserve">Ownership (%)</w:t>
            </w:r>
          </w:p>
        </w:tc>
      </w:tr>
      <w:tr>
        <w:tc>
          <w:tcPr>
            <w:tcW w:w="2872" w:type="dxa"/>
            <w:vAlign w:val="center"/>
          </w:tcPr>
          <w:p>
            <w:pPr>
              <w:spacing w:before="0" w:after="0"/>
              <w:jc w:val="left"/>
            </w:pPr>
            <w:r>
              <w:rPr>
                <w:sz w:val="18"/>
                <w:szCs w:val="18"/>
              </w:rPr>
              <w:t xml:space="preserve">Alder Bay Capital LP</w:t>
            </w:r>
          </w:p>
        </w:tc>
        <w:tc>
          <w:tcPr>
            <w:tcW w:w="2400" w:type="dxa"/>
            <w:vAlign w:val="center"/>
          </w:tcPr>
          <w:p>
            <w:pPr>
              <w:spacing w:before="0" w:after="0"/>
              <w:jc w:val="left"/>
            </w:pPr>
            <w:r>
              <w:rPr>
                <w:sz w:val="18"/>
                <w:szCs w:val="18"/>
              </w:rPr>
              <w:t xml:space="preserve">595 Harbor Street, Southport</w:t>
            </w:r>
          </w:p>
        </w:tc>
        <w:tc>
          <w:tcPr>
            <w:tcW w:w="1900" w:type="dxa"/>
            <w:vAlign w:val="center"/>
          </w:tcPr>
          <w:p>
            <w:pPr>
              <w:spacing w:before="0" w:after="0"/>
              <w:jc w:val="right"/>
            </w:pPr>
            <w:r>
              <w:rPr>
                <w:sz w:val="18"/>
                <w:szCs w:val="18"/>
              </w:rPr>
              <w:t xml:space="preserve">937,000</w:t>
            </w:r>
          </w:p>
        </w:tc>
        <w:tc>
          <w:tcPr>
            <w:tcW w:w="1900" w:type="dxa"/>
            <w:vAlign w:val="center"/>
          </w:tcPr>
          <w:p>
            <w:pPr>
              <w:spacing w:before="0" w:after="0"/>
              <w:jc w:val="right"/>
            </w:pPr>
            <w:r>
              <w:rPr>
                <w:sz w:val="18"/>
                <w:szCs w:val="18"/>
              </w:rPr>
              <w:t xml:space="preserve">9.76</w:t>
            </w:r>
          </w:p>
        </w:tc>
      </w:tr>
      <w:tr>
        <w:tc>
          <w:tcPr>
            <w:tcW w:w="2872" w:type="dxa"/>
            <w:vAlign w:val="center"/>
          </w:tcPr>
          <w:p>
            <w:pPr>
              <w:spacing w:before="0" w:after="0"/>
              <w:jc w:val="left"/>
            </w:pPr>
            <w:r>
              <w:rPr>
                <w:sz w:val="18"/>
                <w:szCs w:val="18"/>
              </w:rPr>
              <w:t xml:space="preserve">Hollis Bay Capital LP</w:t>
            </w:r>
          </w:p>
        </w:tc>
        <w:tc>
          <w:tcPr>
            <w:tcW w:w="2400" w:type="dxa"/>
            <w:vAlign w:val="center"/>
          </w:tcPr>
          <w:p>
            <w:pPr>
              <w:spacing w:before="0" w:after="0"/>
              <w:jc w:val="left"/>
            </w:pPr>
            <w:r>
              <w:rPr>
                <w:sz w:val="18"/>
                <w:szCs w:val="18"/>
              </w:rPr>
              <w:t xml:space="preserve">795 Chapel Street, Hillcrest</w:t>
            </w:r>
          </w:p>
        </w:tc>
        <w:tc>
          <w:tcPr>
            <w:tcW w:w="1900" w:type="dxa"/>
            <w:vAlign w:val="center"/>
          </w:tcPr>
          <w:p>
            <w:pPr>
              <w:spacing w:before="0" w:after="0"/>
              <w:jc w:val="right"/>
            </w:pPr>
            <w:r>
              <w:rPr>
                <w:sz w:val="18"/>
                <w:szCs w:val="18"/>
              </w:rPr>
              <w:t xml:space="preserve">3,717,000</w:t>
            </w:r>
          </w:p>
        </w:tc>
        <w:tc>
          <w:tcPr>
            <w:tcW w:w="1900" w:type="dxa"/>
            <w:vAlign w:val="center"/>
          </w:tcPr>
          <w:p>
            <w:pPr>
              <w:spacing w:before="0" w:after="0"/>
              <w:jc w:val="right"/>
            </w:pPr>
            <w:r>
              <w:rPr>
                <w:sz w:val="18"/>
                <w:szCs w:val="18"/>
              </w:rPr>
              <w:t xml:space="preserve">7.68</w:t>
            </w:r>
          </w:p>
        </w:tc>
      </w:tr>
      <w:tr>
        <w:tc>
          <w:tcPr>
            <w:tcW w:w="2872" w:type="dxa"/>
            <w:vAlign w:val="center"/>
          </w:tcPr>
          <w:p>
            <w:pPr>
              <w:spacing w:before="0" w:after="0"/>
              <w:jc w:val="left"/>
            </w:pPr>
            <w:r>
              <w:rPr>
                <w:sz w:val="18"/>
                <w:szCs w:val="18"/>
              </w:rPr>
              <w:t xml:space="preserve">Glenhaven Bay Holdings LLC</w:t>
            </w:r>
          </w:p>
        </w:tc>
        <w:tc>
          <w:tcPr>
            <w:tcW w:w="2400" w:type="dxa"/>
            <w:vAlign w:val="center"/>
          </w:tcPr>
          <w:p>
            <w:pPr>
              <w:spacing w:before="0" w:after="0"/>
              <w:jc w:val="left"/>
            </w:pPr>
            <w:r>
              <w:rPr>
                <w:sz w:val="18"/>
                <w:szCs w:val="18"/>
              </w:rPr>
              <w:t xml:space="preserve">220 Market Street, Northfield</w:t>
            </w:r>
          </w:p>
        </w:tc>
        <w:tc>
          <w:tcPr>
            <w:tcW w:w="1900" w:type="dxa"/>
            <w:vAlign w:val="center"/>
          </w:tcPr>
          <w:p>
            <w:pPr>
              <w:spacing w:before="0" w:after="0"/>
              <w:jc w:val="right"/>
            </w:pPr>
            <w:r>
              <w:rPr>
                <w:sz w:val="18"/>
                <w:szCs w:val="18"/>
              </w:rPr>
              <w:t xml:space="preserve">2,282,000</w:t>
            </w:r>
          </w:p>
        </w:tc>
        <w:tc>
          <w:tcPr>
            <w:tcW w:w="1900" w:type="dxa"/>
            <w:vAlign w:val="center"/>
          </w:tcPr>
          <w:p>
            <w:pPr>
              <w:spacing w:before="0" w:after="0"/>
              <w:jc w:val="right"/>
            </w:pPr>
            <w:r>
              <w:rPr>
                <w:sz w:val="18"/>
                <w:szCs w:val="18"/>
              </w:rPr>
              <w:t xml:space="preserve">4.15</w:t>
            </w:r>
          </w:p>
        </w:tc>
      </w:tr>
      <w:tr>
        <w:tc>
          <w:tcPr>
            <w:tcW w:w="2872" w:type="dxa"/>
            <w:vAlign w:val="center"/>
          </w:tcPr>
          <w:p>
            <w:pPr>
              <w:spacing w:before="0" w:after="0"/>
              <w:jc w:val="left"/>
            </w:pPr>
            <w:r>
              <w:rPr>
                <w:sz w:val="18"/>
                <w:szCs w:val="18"/>
              </w:rPr>
              <w:t xml:space="preserve">Ivorydale Field Capital LP</w:t>
            </w:r>
          </w:p>
        </w:tc>
        <w:tc>
          <w:tcPr>
            <w:tcW w:w="2400" w:type="dxa"/>
            <w:vAlign w:val="center"/>
          </w:tcPr>
          <w:p>
            <w:pPr>
              <w:spacing w:before="0" w:after="0"/>
              <w:jc w:val="left"/>
            </w:pPr>
            <w:r>
              <w:rPr>
                <w:sz w:val="18"/>
                <w:szCs w:val="18"/>
              </w:rPr>
              <w:t xml:space="preserve">640 Chapel Street, Southport</w:t>
            </w:r>
          </w:p>
        </w:tc>
        <w:tc>
          <w:tcPr>
            <w:tcW w:w="1900" w:type="dxa"/>
            <w:vAlign w:val="center"/>
          </w:tcPr>
          <w:p>
            <w:pPr>
              <w:spacing w:before="0" w:after="0"/>
              <w:jc w:val="right"/>
            </w:pPr>
            <w:r>
              <w:rPr>
                <w:sz w:val="18"/>
                <w:szCs w:val="18"/>
              </w:rPr>
              <w:t xml:space="preserve">4,349,000</w:t>
            </w:r>
          </w:p>
        </w:tc>
        <w:tc>
          <w:tcPr>
            <w:tcW w:w="1900" w:type="dxa"/>
            <w:vAlign w:val="center"/>
          </w:tcPr>
          <w:p>
            <w:pPr>
              <w:spacing w:before="0" w:after="0"/>
              <w:jc w:val="right"/>
            </w:pPr>
            <w:r>
              <w:rPr>
                <w:sz w:val="18"/>
                <w:szCs w:val="18"/>
              </w:rPr>
              <w:t xml:space="preserve">8.49</w:t>
            </w:r>
          </w:p>
        </w:tc>
      </w:tr>
      <w:tr>
        <w:tc>
          <w:tcPr>
            <w:tcW w:w="2872" w:type="dxa"/>
            <w:vAlign w:val="center"/>
          </w:tcPr>
          <w:p>
            <w:pPr>
              <w:spacing w:before="0" w:after="0"/>
              <w:jc w:val="left"/>
            </w:pPr>
            <w:r>
              <w:rPr>
                <w:sz w:val="18"/>
                <w:szCs w:val="18"/>
              </w:rPr>
              <w:t xml:space="preserve">Cobalt Bay Partners LLC</w:t>
            </w:r>
          </w:p>
        </w:tc>
        <w:tc>
          <w:tcPr>
            <w:tcW w:w="2400" w:type="dxa"/>
            <w:vAlign w:val="center"/>
          </w:tcPr>
          <w:p>
            <w:pPr>
              <w:spacing w:before="0" w:after="0"/>
              <w:jc w:val="left"/>
            </w:pPr>
            <w:r>
              <w:rPr>
                <w:sz w:val="18"/>
                <w:szCs w:val="18"/>
              </w:rPr>
              <w:t xml:space="preserve">202 Harbor Street, Southport</w:t>
            </w:r>
          </w:p>
        </w:tc>
        <w:tc>
          <w:tcPr>
            <w:tcW w:w="1900" w:type="dxa"/>
            <w:vAlign w:val="center"/>
          </w:tcPr>
          <w:p>
            <w:pPr>
              <w:spacing w:before="0" w:after="0"/>
              <w:jc w:val="right"/>
            </w:pPr>
            <w:r>
              <w:rPr>
                <w:sz w:val="18"/>
                <w:szCs w:val="18"/>
              </w:rPr>
              <w:t xml:space="preserve">2,300,000</w:t>
            </w:r>
          </w:p>
        </w:tc>
        <w:tc>
          <w:tcPr>
            <w:tcW w:w="1900" w:type="dxa"/>
            <w:vAlign w:val="center"/>
          </w:tcPr>
          <w:p>
            <w:pPr>
              <w:spacing w:before="0" w:after="0"/>
              <w:jc w:val="right"/>
            </w:pPr>
            <w:r>
              <w:rPr>
                <w:sz w:val="18"/>
                <w:szCs w:val="18"/>
              </w:rPr>
              <w:t xml:space="preserve">7.05</w:t>
            </w:r>
          </w:p>
        </w:tc>
      </w:tr>
      <w:tr>
        <w:tc>
          <w:tcPr>
            <w:tcW w:w="2872" w:type="dxa"/>
            <w:vAlign w:val="center"/>
          </w:tcPr>
          <w:p>
            <w:pPr>
              <w:spacing w:before="0" w:after="0"/>
              <w:jc w:val="left"/>
            </w:pPr>
            <w:r>
              <w:rPr>
                <w:sz w:val="18"/>
                <w:szCs w:val="18"/>
              </w:rPr>
              <w:t xml:space="preserve">Juniper Brook Family Trust</w:t>
            </w:r>
          </w:p>
        </w:tc>
        <w:tc>
          <w:tcPr>
            <w:tcW w:w="2400" w:type="dxa"/>
            <w:vAlign w:val="center"/>
          </w:tcPr>
          <w:p>
            <w:pPr>
              <w:spacing w:before="0" w:after="0"/>
              <w:jc w:val="left"/>
            </w:pPr>
            <w:r>
              <w:rPr>
                <w:sz w:val="18"/>
                <w:szCs w:val="18"/>
              </w:rPr>
              <w:t xml:space="preserve">99 Orchard Street, Harborview</w:t>
            </w:r>
          </w:p>
        </w:tc>
        <w:tc>
          <w:tcPr>
            <w:tcW w:w="1900" w:type="dxa"/>
            <w:vAlign w:val="center"/>
          </w:tcPr>
          <w:p>
            <w:pPr>
              <w:spacing w:before="0" w:after="0"/>
              <w:jc w:val="right"/>
            </w:pPr>
            <w:r>
              <w:rPr>
                <w:sz w:val="18"/>
                <w:szCs w:val="18"/>
              </w:rPr>
              <w:t xml:space="preserve">3,807,000</w:t>
            </w:r>
          </w:p>
        </w:tc>
        <w:tc>
          <w:tcPr>
            <w:tcW w:w="1900" w:type="dxa"/>
            <w:vAlign w:val="center"/>
          </w:tcPr>
          <w:p>
            <w:pPr>
              <w:spacing w:before="0" w:after="0"/>
              <w:jc w:val="right"/>
            </w:pPr>
            <w:r>
              <w:rPr>
                <w:sz w:val="18"/>
                <w:szCs w:val="18"/>
              </w:rPr>
              <w:t xml:space="preserve">11.61</w:t>
            </w:r>
          </w:p>
        </w:tc>
      </w:tr>
      <w:tr>
        <w:tc>
          <w:tcPr>
            <w:tcW w:w="2872" w:type="dxa"/>
            <w:vAlign w:val="center"/>
          </w:tcPr>
          <w:p>
            <w:pPr>
              <w:spacing w:before="0" w:after="0"/>
              <w:jc w:val="left"/>
            </w:pPr>
            <w:r>
              <w:rPr>
                <w:sz w:val="18"/>
                <w:szCs w:val="18"/>
              </w:rPr>
              <w:t xml:space="preserve">Fenwick Bay Growth Fund LP</w:t>
            </w:r>
          </w:p>
        </w:tc>
        <w:tc>
          <w:tcPr>
            <w:tcW w:w="2400" w:type="dxa"/>
            <w:vAlign w:val="center"/>
          </w:tcPr>
          <w:p>
            <w:pPr>
              <w:spacing w:before="0" w:after="0"/>
              <w:jc w:val="left"/>
            </w:pPr>
            <w:r>
              <w:rPr>
                <w:sz w:val="18"/>
                <w:szCs w:val="18"/>
              </w:rPr>
              <w:t xml:space="preserve">537 Orchard Street, Northfield</w:t>
            </w:r>
          </w:p>
        </w:tc>
        <w:tc>
          <w:tcPr>
            <w:tcW w:w="1900" w:type="dxa"/>
            <w:vAlign w:val="center"/>
          </w:tcPr>
          <w:p>
            <w:pPr>
              <w:spacing w:before="0" w:after="0"/>
              <w:jc w:val="right"/>
            </w:pPr>
            <w:r>
              <w:rPr>
                <w:sz w:val="18"/>
                <w:szCs w:val="18"/>
              </w:rPr>
              <w:t xml:space="preserve">4,052,000</w:t>
            </w:r>
          </w:p>
        </w:tc>
        <w:tc>
          <w:tcPr>
            <w:tcW w:w="1900" w:type="dxa"/>
            <w:vAlign w:val="center"/>
          </w:tcPr>
          <w:p>
            <w:pPr>
              <w:spacing w:before="0" w:after="0"/>
              <w:jc w:val="right"/>
            </w:pPr>
            <w:r>
              <w:rPr>
                <w:sz w:val="18"/>
                <w:szCs w:val="18"/>
              </w:rPr>
              <w:t xml:space="preserve">9.36</w:t>
            </w:r>
          </w:p>
        </w:tc>
      </w:tr>
      <w:tr>
        <w:tc>
          <w:tcPr>
            <w:tcW w:w="2872" w:type="dxa"/>
            <w:vAlign w:val="center"/>
          </w:tcPr>
          <w:p>
            <w:pPr>
              <w:spacing w:before="0" w:after="0"/>
              <w:jc w:val="left"/>
            </w:pPr>
            <w:r>
              <w:rPr>
                <w:sz w:val="18"/>
                <w:szCs w:val="18"/>
              </w:rPr>
              <w:t xml:space="preserve">Elkhorn Ridge Holdings LLC</w:t>
            </w:r>
          </w:p>
        </w:tc>
        <w:tc>
          <w:tcPr>
            <w:tcW w:w="2400" w:type="dxa"/>
            <w:vAlign w:val="center"/>
          </w:tcPr>
          <w:p>
            <w:pPr>
              <w:spacing w:before="0" w:after="0"/>
              <w:jc w:val="left"/>
            </w:pPr>
            <w:r>
              <w:rPr>
                <w:sz w:val="18"/>
                <w:szCs w:val="18"/>
              </w:rPr>
              <w:t xml:space="preserve">545 Chapel Street, Lakeside</w:t>
            </w:r>
          </w:p>
        </w:tc>
        <w:tc>
          <w:tcPr>
            <w:tcW w:w="1900" w:type="dxa"/>
            <w:vAlign w:val="center"/>
          </w:tcPr>
          <w:p>
            <w:pPr>
              <w:spacing w:before="0" w:after="0"/>
              <w:jc w:val="right"/>
            </w:pPr>
            <w:r>
              <w:rPr>
                <w:sz w:val="18"/>
                <w:szCs w:val="18"/>
              </w:rPr>
              <w:t xml:space="preserve">4,574,000</w:t>
            </w:r>
          </w:p>
        </w:tc>
        <w:tc>
          <w:tcPr>
            <w:tcW w:w="1900" w:type="dxa"/>
            <w:vAlign w:val="center"/>
          </w:tcPr>
          <w:p>
            <w:pPr>
              <w:spacing w:before="0" w:after="0"/>
              <w:jc w:val="right"/>
            </w:pPr>
            <w:r>
              <w:rPr>
                <w:sz w:val="18"/>
                <w:szCs w:val="18"/>
              </w:rPr>
              <w:t xml:space="preserve">5.89</w:t>
            </w:r>
          </w:p>
        </w:tc>
      </w:tr>
      <w:tr>
        <w:tc>
          <w:tcPr>
            <w:tcW w:w="2872" w:type="dxa"/>
            <w:vAlign w:val="center"/>
          </w:tcPr>
          <w:p>
            <w:pPr>
              <w:spacing w:before="0" w:after="0"/>
              <w:jc w:val="left"/>
            </w:pPr>
            <w:r>
              <w:rPr>
                <w:sz w:val="18"/>
                <w:szCs w:val="18"/>
              </w:rPr>
              <w:t xml:space="preserve">Larchmont Bay Family Trust</w:t>
            </w:r>
          </w:p>
        </w:tc>
        <w:tc>
          <w:tcPr>
            <w:tcW w:w="2400" w:type="dxa"/>
            <w:vAlign w:val="center"/>
          </w:tcPr>
          <w:p>
            <w:pPr>
              <w:spacing w:before="0" w:after="0"/>
              <w:jc w:val="left"/>
            </w:pPr>
            <w:r>
              <w:rPr>
                <w:sz w:val="18"/>
                <w:szCs w:val="18"/>
              </w:rPr>
              <w:t xml:space="preserve">812 Mill Street, Eastbay</w:t>
            </w:r>
          </w:p>
        </w:tc>
        <w:tc>
          <w:tcPr>
            <w:tcW w:w="1900" w:type="dxa"/>
            <w:vAlign w:val="center"/>
          </w:tcPr>
          <w:p>
            <w:pPr>
              <w:spacing w:before="0" w:after="0"/>
              <w:jc w:val="right"/>
            </w:pPr>
            <w:r>
              <w:rPr>
                <w:sz w:val="18"/>
                <w:szCs w:val="18"/>
              </w:rPr>
              <w:t xml:space="preserve">1,956,000</w:t>
            </w:r>
          </w:p>
        </w:tc>
        <w:tc>
          <w:tcPr>
            <w:tcW w:w="1900" w:type="dxa"/>
            <w:vAlign w:val="center"/>
          </w:tcPr>
          <w:p>
            <w:pPr>
              <w:spacing w:before="0" w:after="0"/>
              <w:jc w:val="right"/>
            </w:pPr>
            <w:r>
              <w:rPr>
                <w:sz w:val="18"/>
                <w:szCs w:val="18"/>
              </w:rPr>
              <w:t xml:space="preserve">3.30</w:t>
            </w:r>
          </w:p>
        </w:tc>
      </w:tr>
      <w:tr>
        <w:tc>
          <w:tcPr>
            <w:tcW w:w="2872" w:type="dxa"/>
            <w:vAlign w:val="center"/>
          </w:tcPr>
          <w:p>
            <w:pPr>
              <w:spacing w:before="0" w:after="0"/>
              <w:jc w:val="left"/>
            </w:pPr>
            <w:r>
              <w:rPr>
                <w:sz w:val="18"/>
                <w:szCs w:val="18"/>
              </w:rPr>
              <w:t xml:space="preserve">Dunmore Bay Partners LLC</w:t>
            </w:r>
          </w:p>
        </w:tc>
        <w:tc>
          <w:tcPr>
            <w:tcW w:w="2400" w:type="dxa"/>
            <w:vAlign w:val="center"/>
          </w:tcPr>
          <w:p>
            <w:pPr>
              <w:spacing w:before="0" w:after="0"/>
              <w:jc w:val="left"/>
            </w:pPr>
            <w:r>
              <w:rPr>
                <w:sz w:val="18"/>
                <w:szCs w:val="18"/>
              </w:rPr>
              <w:t xml:space="preserve">655 Station Street, Westridge</w:t>
            </w:r>
          </w:p>
        </w:tc>
        <w:tc>
          <w:tcPr>
            <w:tcW w:w="1900" w:type="dxa"/>
            <w:vAlign w:val="center"/>
          </w:tcPr>
          <w:p>
            <w:pPr>
              <w:spacing w:before="0" w:after="0"/>
              <w:jc w:val="right"/>
            </w:pPr>
            <w:r>
              <w:rPr>
                <w:sz w:val="18"/>
                <w:szCs w:val="18"/>
              </w:rPr>
              <w:t xml:space="preserve">450,000</w:t>
            </w:r>
          </w:p>
        </w:tc>
        <w:tc>
          <w:tcPr>
            <w:tcW w:w="1900" w:type="dxa"/>
            <w:vAlign w:val="center"/>
          </w:tcPr>
          <w:p>
            <w:pPr>
              <w:spacing w:before="0" w:after="0"/>
              <w:jc w:val="right"/>
            </w:pPr>
            <w:r>
              <w:rPr>
                <w:sz w:val="18"/>
                <w:szCs w:val="18"/>
              </w:rPr>
              <w:t xml:space="preserve">9.17</w:t>
            </w:r>
          </w:p>
        </w:tc>
      </w:tr>
    </w:tbl>
    <w:p>
      <w:pPr/>
    </w:p>
    <w:p>
      <w:pPr>
        <w:pStyle w:val="Heading3"/>
        <w:keepNext/>
      </w:pPr>
      <w:r>
        <w:t xml:space="preserve">(2) Directors and Executive Officers</w:t>
      </w:r>
    </w:p>
    <w:p>
      <w:pPr>
        <w:keepNext/>
      </w:pPr>
      <w:r>
        <w:rPr>
          <w:b/>
        </w:rPr>
        <w:t xml:space="preserve">Chief Executive Officer and Director: Harper Dunmore (born July 1976)</w:t>
      </w:r>
    </w:p>
    <w:tbl>
      <w:tblPr>
        <w:tblW w:w="907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72" w:type="dxa"/>
          <w:right w:w="72" w:type="dxa"/>
        </w:tblCellMar>
      </w:tblPr>
      <w:tblGrid>
        <w:gridCol w:w="2000"/>
        <w:gridCol w:w="7072"/>
      </w:tblGrid>
      <w:tr>
        <w:trPr>
          <w:tblHeader/>
        </w:trPr>
        <w:tc>
          <w:tcPr>
            <w:tcW w:w="2000" w:type="dxa"/>
            <w:shd w:val="clear" w:color="auto" w:fill="DDEBF7"/>
            <w:vAlign w:val="center"/>
          </w:tcPr>
          <w:p>
            <w:pPr>
              <w:spacing w:before="0" w:after="0"/>
              <w:jc w:val="center"/>
            </w:pPr>
            <w:r>
              <w:rPr>
                <w:b/>
                <w:sz w:val="18"/>
                <w:szCs w:val="18"/>
              </w:rPr>
              <w:t xml:space="preserve">Date</w:t>
            </w:r>
          </w:p>
        </w:tc>
        <w:tc>
          <w:tcPr>
            <w:tcW w:w="7072" w:type="dxa"/>
            <w:shd w:val="clear" w:color="auto" w:fill="DDEBF7"/>
            <w:vAlign w:val="center"/>
          </w:tcPr>
          <w:p>
            <w:pPr>
              <w:spacing w:before="0" w:after="0"/>
              <w:jc w:val="center"/>
            </w:pPr>
            <w:r>
              <w:rPr>
                <w:b/>
                <w:sz w:val="18"/>
                <w:szCs w:val="18"/>
              </w:rPr>
              <w:t xml:space="preserve">Career summary</w:t>
            </w:r>
          </w:p>
        </w:tc>
      </w:tr>
      <w:tr>
        <w:tc>
          <w:tcPr>
            <w:tcW w:w="2000" w:type="dxa"/>
            <w:vAlign w:val="center"/>
          </w:tcPr>
          <w:p>
            <w:pPr>
              <w:spacing w:before="0" w:after="0"/>
              <w:jc w:val="left"/>
            </w:pPr>
            <w:r>
              <w:rPr>
                <w:sz w:val="18"/>
                <w:szCs w:val="18"/>
              </w:rPr>
              <w:t xml:space="preserve">1989-10</w:t>
            </w:r>
          </w:p>
        </w:tc>
        <w:tc>
          <w:tcPr>
            <w:tcW w:w="7072" w:type="dxa"/>
            <w:vAlign w:val="center"/>
          </w:tcPr>
          <w:p>
            <w:pPr>
              <w:spacing w:before="0" w:after="0"/>
              <w:jc w:val="left"/>
            </w:pPr>
            <w:r>
              <w:rPr>
                <w:sz w:val="18"/>
                <w:szCs w:val="18"/>
              </w:rPr>
              <w:t xml:space="preserve">Admitted to the bar</w:t>
            </w:r>
          </w:p>
        </w:tc>
      </w:tr>
      <w:tr>
        <w:tc>
          <w:tcPr>
            <w:tcW w:w="2000" w:type="dxa"/>
            <w:vAlign w:val="center"/>
          </w:tcPr>
          <w:p>
            <w:pPr>
              <w:spacing w:before="0" w:after="0"/>
              <w:jc w:val="left"/>
            </w:pPr>
            <w:r>
              <w:rPr>
                <w:sz w:val="18"/>
                <w:szCs w:val="18"/>
              </w:rPr>
              <w:t xml:space="preserve">2013-06</w:t>
            </w:r>
          </w:p>
        </w:tc>
        <w:tc>
          <w:tcPr>
            <w:tcW w:w="7072" w:type="dxa"/>
            <w:vAlign w:val="center"/>
          </w:tcPr>
          <w:p>
            <w:pPr>
              <w:spacing w:before="0" w:after="0"/>
              <w:jc w:val="left"/>
            </w:pPr>
            <w:r>
              <w:rPr>
                <w:sz w:val="18"/>
                <w:szCs w:val="18"/>
              </w:rPr>
              <w:t xml:space="preserve">Controller, Nimbus Coffee, Inc.</w:t>
            </w:r>
          </w:p>
        </w:tc>
      </w:tr>
      <w:tr>
        <w:tc>
          <w:tcPr>
            <w:tcW w:w="2000" w:type="dxa"/>
            <w:vAlign w:val="center"/>
          </w:tcPr>
          <w:p>
            <w:pPr>
              <w:spacing w:before="0" w:after="0"/>
              <w:jc w:val="left"/>
            </w:pPr>
            <w:r>
              <w:rPr>
                <w:sz w:val="18"/>
                <w:szCs w:val="18"/>
              </w:rPr>
              <w:t xml:space="preserve">2013-10</w:t>
            </w:r>
          </w:p>
        </w:tc>
        <w:tc>
          <w:tcPr>
            <w:tcW w:w="7072" w:type="dxa"/>
            <w:vAlign w:val="center"/>
          </w:tcPr>
          <w:p>
            <w:pPr>
              <w:spacing w:before="0" w:after="0"/>
              <w:jc w:val="left"/>
            </w:pPr>
            <w:r>
              <w:rPr>
                <w:sz w:val="18"/>
                <w:szCs w:val="18"/>
              </w:rPr>
              <w:t xml:space="preserve">Head Roaster, Nimbus Coffee, Inc.</w:t>
            </w:r>
          </w:p>
        </w:tc>
      </w:tr>
      <w:tr>
        <w:tc>
          <w:tcPr>
            <w:tcW w:w="2000" w:type="dxa"/>
            <w:vAlign w:val="center"/>
          </w:tcPr>
          <w:p>
            <w:pPr>
              <w:spacing w:before="0" w:after="0"/>
              <w:jc w:val="left"/>
            </w:pPr>
            <w:r>
              <w:rPr>
                <w:sz w:val="18"/>
                <w:szCs w:val="18"/>
              </w:rPr>
              <w:t xml:space="preserve">2016-07</w:t>
            </w:r>
          </w:p>
        </w:tc>
        <w:tc>
          <w:tcPr>
            <w:tcW w:w="7072" w:type="dxa"/>
            <w:vAlign w:val="center"/>
          </w:tcPr>
          <w:p>
            <w:pPr>
              <w:spacing w:before="0" w:after="0"/>
              <w:jc w:val="left"/>
            </w:pPr>
            <w:r>
              <w:rPr>
                <w:sz w:val="18"/>
                <w:szCs w:val="18"/>
              </w:rPr>
              <w:t xml:space="preserve">Joined Nimbus Coffee, Inc. as store manager</w:t>
            </w:r>
          </w:p>
        </w:tc>
      </w:tr>
      <w:tr>
        <w:tc>
          <w:tcPr>
            <w:tcW w:w="2000" w:type="dxa"/>
            <w:vAlign w:val="center"/>
          </w:tcPr>
          <w:p>
            <w:pPr>
              <w:spacing w:before="0" w:after="0"/>
              <w:jc w:val="left"/>
            </w:pPr>
            <w:r>
              <w:rPr>
                <w:sz w:val="18"/>
                <w:szCs w:val="18"/>
              </w:rPr>
              <w:t xml:space="preserve">2017-05</w:t>
            </w:r>
          </w:p>
        </w:tc>
        <w:tc>
          <w:tcPr>
            <w:tcW w:w="7072" w:type="dxa"/>
            <w:vAlign w:val="center"/>
          </w:tcPr>
          <w:p>
            <w:pPr>
              <w:spacing w:before="0" w:after="0"/>
              <w:jc w:val="left"/>
            </w:pPr>
            <w:r>
              <w:rPr>
                <w:sz w:val="18"/>
                <w:szCs w:val="18"/>
              </w:rPr>
              <w:t xml:space="preserve">District Manager, Nimbus Coffee, Inc.</w:t>
            </w:r>
          </w:p>
        </w:tc>
      </w:tr>
      <w:tr>
        <w:tc>
          <w:tcPr>
            <w:tcW w:w="2000" w:type="dxa"/>
            <w:vAlign w:val="center"/>
          </w:tcPr>
          <w:p>
            <w:pPr>
              <w:spacing w:before="0" w:after="0"/>
              <w:jc w:val="left"/>
            </w:pPr>
            <w:r>
              <w:rPr>
                <w:sz w:val="18"/>
                <w:szCs w:val="18"/>
              </w:rPr>
              <w:t xml:space="preserve">2018-08</w:t>
            </w:r>
          </w:p>
        </w:tc>
        <w:tc>
          <w:tcPr>
            <w:tcW w:w="7072" w:type="dxa"/>
            <w:vAlign w:val="center"/>
          </w:tcPr>
          <w:p>
            <w:pPr>
              <w:spacing w:before="0" w:after="0"/>
              <w:jc w:val="left"/>
            </w:pPr>
            <w:r>
              <w:rPr>
                <w:sz w:val="18"/>
                <w:szCs w:val="18"/>
              </w:rPr>
              <w:t xml:space="preserve">Certified public accountant</w:t>
            </w:r>
          </w:p>
        </w:tc>
      </w:tr>
    </w:tbl>
    <w:p>
      <w:pPr/>
    </w:p>
    <w:p>
      <w:pPr>
        <w:keepNext/>
      </w:pPr>
      <w:r>
        <w:rPr>
          <w:b/>
        </w:rPr>
        <w:t xml:space="preserve">President and Chief Operating Officer: Quinn Mercer (born September 1964)</w:t>
      </w:r>
    </w:p>
    <w:tbl>
      <w:tblPr>
        <w:tblW w:w="907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72" w:type="dxa"/>
          <w:right w:w="72" w:type="dxa"/>
        </w:tblCellMar>
      </w:tblPr>
      <w:tblGrid>
        <w:gridCol w:w="2000"/>
        <w:gridCol w:w="7072"/>
      </w:tblGrid>
      <w:tr>
        <w:trPr>
          <w:tblHeader/>
        </w:trPr>
        <w:tc>
          <w:tcPr>
            <w:tcW w:w="2000" w:type="dxa"/>
            <w:shd w:val="clear" w:color="auto" w:fill="DDEBF7"/>
            <w:vAlign w:val="center"/>
          </w:tcPr>
          <w:p>
            <w:pPr>
              <w:spacing w:before="0" w:after="0"/>
              <w:jc w:val="center"/>
            </w:pPr>
            <w:r>
              <w:rPr>
                <w:b/>
                <w:sz w:val="18"/>
                <w:szCs w:val="18"/>
              </w:rPr>
              <w:t xml:space="preserve">Date</w:t>
            </w:r>
          </w:p>
        </w:tc>
        <w:tc>
          <w:tcPr>
            <w:tcW w:w="7072" w:type="dxa"/>
            <w:shd w:val="clear" w:color="auto" w:fill="DDEBF7"/>
            <w:vAlign w:val="center"/>
          </w:tcPr>
          <w:p>
            <w:pPr>
              <w:spacing w:before="0" w:after="0"/>
              <w:jc w:val="center"/>
            </w:pPr>
            <w:r>
              <w:rPr>
                <w:b/>
                <w:sz w:val="18"/>
                <w:szCs w:val="18"/>
              </w:rPr>
              <w:t xml:space="preserve">Career summary</w:t>
            </w:r>
          </w:p>
        </w:tc>
      </w:tr>
      <w:tr>
        <w:tc>
          <w:tcPr>
            <w:tcW w:w="2000" w:type="dxa"/>
            <w:vAlign w:val="center"/>
          </w:tcPr>
          <w:p>
            <w:pPr>
              <w:spacing w:before="0" w:after="0"/>
              <w:jc w:val="left"/>
            </w:pPr>
            <w:r>
              <w:rPr>
                <w:sz w:val="18"/>
                <w:szCs w:val="18"/>
              </w:rPr>
              <w:t xml:space="preserve">1997-12</w:t>
            </w:r>
          </w:p>
        </w:tc>
        <w:tc>
          <w:tcPr>
            <w:tcW w:w="7072" w:type="dxa"/>
            <w:vAlign w:val="center"/>
          </w:tcPr>
          <w:p>
            <w:pPr>
              <w:spacing w:before="0" w:after="0"/>
              <w:jc w:val="left"/>
            </w:pPr>
            <w:r>
              <w:rPr>
                <w:sz w:val="18"/>
                <w:szCs w:val="18"/>
              </w:rPr>
              <w:t xml:space="preserve">Director of Store Operations, Nimbus Coffee, Inc.</w:t>
            </w:r>
          </w:p>
        </w:tc>
      </w:tr>
      <w:tr>
        <w:tc>
          <w:tcPr>
            <w:tcW w:w="2000" w:type="dxa"/>
            <w:vAlign w:val="center"/>
          </w:tcPr>
          <w:p>
            <w:pPr>
              <w:spacing w:before="0" w:after="0"/>
              <w:jc w:val="left"/>
            </w:pPr>
            <w:r>
              <w:rPr>
                <w:sz w:val="18"/>
                <w:szCs w:val="18"/>
              </w:rPr>
              <w:t xml:space="preserve">2001-08</w:t>
            </w:r>
          </w:p>
        </w:tc>
        <w:tc>
          <w:tcPr>
            <w:tcW w:w="7072" w:type="dxa"/>
            <w:vAlign w:val="center"/>
          </w:tcPr>
          <w:p>
            <w:pPr>
              <w:spacing w:before="0" w:after="0"/>
              <w:jc w:val="left"/>
            </w:pPr>
            <w:r>
              <w:rPr>
                <w:sz w:val="18"/>
                <w:szCs w:val="18"/>
              </w:rPr>
              <w:t xml:space="preserve">Buyer, Glenhaven Grocers Inc. (fictional)</w:t>
            </w:r>
          </w:p>
        </w:tc>
      </w:tr>
      <w:tr>
        <w:tc>
          <w:tcPr>
            <w:tcW w:w="2000" w:type="dxa"/>
            <w:vAlign w:val="center"/>
          </w:tcPr>
          <w:p>
            <w:pPr>
              <w:spacing w:before="0" w:after="0"/>
              <w:jc w:val="left"/>
            </w:pPr>
            <w:r>
              <w:rPr>
                <w:sz w:val="18"/>
                <w:szCs w:val="18"/>
              </w:rPr>
              <w:t xml:space="preserve">2002-09</w:t>
            </w:r>
          </w:p>
        </w:tc>
        <w:tc>
          <w:tcPr>
            <w:tcW w:w="7072" w:type="dxa"/>
            <w:vAlign w:val="center"/>
          </w:tcPr>
          <w:p>
            <w:pPr>
              <w:spacing w:before="0" w:after="0"/>
              <w:jc w:val="left"/>
            </w:pPr>
            <w:r>
              <w:rPr>
                <w:sz w:val="18"/>
                <w:szCs w:val="18"/>
              </w:rPr>
              <w:t xml:space="preserve">Director of Coffee Sourcing, Nimbus Coffee, Inc.</w:t>
            </w:r>
          </w:p>
        </w:tc>
      </w:tr>
      <w:tr>
        <w:tc>
          <w:tcPr>
            <w:tcW w:w="2000" w:type="dxa"/>
            <w:vAlign w:val="center"/>
          </w:tcPr>
          <w:p>
            <w:pPr>
              <w:spacing w:before="0" w:after="0"/>
              <w:jc w:val="left"/>
            </w:pPr>
            <w:r>
              <w:rPr>
                <w:sz w:val="18"/>
                <w:szCs w:val="18"/>
              </w:rPr>
              <w:t xml:space="preserve">2006-09</w:t>
            </w:r>
          </w:p>
        </w:tc>
        <w:tc>
          <w:tcPr>
            <w:tcW w:w="7072" w:type="dxa"/>
            <w:vAlign w:val="center"/>
          </w:tcPr>
          <w:p>
            <w:pPr>
              <w:spacing w:before="0" w:after="0"/>
              <w:jc w:val="left"/>
            </w:pPr>
            <w:r>
              <w:rPr>
                <w:sz w:val="18"/>
                <w:szCs w:val="18"/>
              </w:rPr>
              <w:t xml:space="preserve">Partner, Fenwick &amp; Oakes LLP (accounting firm, fictional)</w:t>
            </w:r>
          </w:p>
        </w:tc>
      </w:tr>
      <w:tr>
        <w:tc>
          <w:tcPr>
            <w:tcW w:w="2000" w:type="dxa"/>
            <w:vAlign w:val="center"/>
          </w:tcPr>
          <w:p>
            <w:pPr>
              <w:spacing w:before="0" w:after="0"/>
              <w:jc w:val="left"/>
            </w:pPr>
            <w:r>
              <w:rPr>
                <w:sz w:val="18"/>
                <w:szCs w:val="18"/>
              </w:rPr>
              <w:t xml:space="preserve">2010-11</w:t>
            </w:r>
          </w:p>
        </w:tc>
        <w:tc>
          <w:tcPr>
            <w:tcW w:w="7072" w:type="dxa"/>
            <w:vAlign w:val="center"/>
          </w:tcPr>
          <w:p>
            <w:pPr>
              <w:spacing w:before="0" w:after="0"/>
              <w:jc w:val="left"/>
            </w:pPr>
            <w:r>
              <w:rPr>
                <w:sz w:val="18"/>
                <w:szCs w:val="18"/>
              </w:rPr>
              <w:t xml:space="preserve">Controller, Nimbus Coffee, Inc.</w:t>
            </w:r>
          </w:p>
        </w:tc>
      </w:tr>
      <w:tr>
        <w:tc>
          <w:tcPr>
            <w:tcW w:w="2000" w:type="dxa"/>
            <w:vAlign w:val="center"/>
          </w:tcPr>
          <w:p>
            <w:pPr>
              <w:spacing w:before="0" w:after="0"/>
              <w:jc w:val="left"/>
            </w:pPr>
            <w:r>
              <w:rPr>
                <w:sz w:val="18"/>
                <w:szCs w:val="18"/>
              </w:rPr>
              <w:t xml:space="preserve">2018-10</w:t>
            </w:r>
          </w:p>
        </w:tc>
        <w:tc>
          <w:tcPr>
            <w:tcW w:w="7072" w:type="dxa"/>
            <w:vAlign w:val="center"/>
          </w:tcPr>
          <w:p>
            <w:pPr>
              <w:spacing w:before="0" w:after="0"/>
              <w:jc w:val="left"/>
            </w:pPr>
            <w:r>
              <w:rPr>
                <w:sz w:val="18"/>
                <w:szCs w:val="18"/>
              </w:rPr>
              <w:t xml:space="preserve">Vice President, Nimbus Coffee, Inc.</w:t>
            </w:r>
          </w:p>
        </w:tc>
      </w:tr>
      <w:tr>
        <w:tc>
          <w:tcPr>
            <w:tcW w:w="2000" w:type="dxa"/>
            <w:vAlign w:val="center"/>
          </w:tcPr>
          <w:p>
            <w:pPr>
              <w:spacing w:before="0" w:after="0"/>
              <w:jc w:val="left"/>
            </w:pPr>
            <w:r>
              <w:rPr>
                <w:sz w:val="18"/>
                <w:szCs w:val="18"/>
              </w:rPr>
              <w:t xml:space="preserve">2022-01</w:t>
            </w:r>
          </w:p>
        </w:tc>
        <w:tc>
          <w:tcPr>
            <w:tcW w:w="7072" w:type="dxa"/>
            <w:vAlign w:val="center"/>
          </w:tcPr>
          <w:p>
            <w:pPr>
              <w:spacing w:before="0" w:after="0"/>
              <w:jc w:val="left"/>
            </w:pPr>
            <w:r>
              <w:rPr>
                <w:sz w:val="18"/>
                <w:szCs w:val="18"/>
              </w:rPr>
              <w:t xml:space="preserve">Certified public accountant</w:t>
            </w:r>
          </w:p>
        </w:tc>
      </w:tr>
    </w:tbl>
    <w:p>
      <w:pPr/>
    </w:p>
    <w:p>
      <w:pPr>
        <w:keepNext/>
      </w:pPr>
      <w:r>
        <w:rPr>
          <w:b/>
        </w:rPr>
        <w:t xml:space="preserve">Chief Financial Officer and Director: Logan Brandt (born November 1959)</w:t>
      </w:r>
    </w:p>
    <w:tbl>
      <w:tblPr>
        <w:tblW w:w="907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72" w:type="dxa"/>
          <w:right w:w="72" w:type="dxa"/>
        </w:tblCellMar>
      </w:tblPr>
      <w:tblGrid>
        <w:gridCol w:w="2000"/>
        <w:gridCol w:w="7072"/>
      </w:tblGrid>
      <w:tr>
        <w:trPr>
          <w:tblHeader/>
        </w:trPr>
        <w:tc>
          <w:tcPr>
            <w:tcW w:w="2000" w:type="dxa"/>
            <w:shd w:val="clear" w:color="auto" w:fill="DDEBF7"/>
            <w:vAlign w:val="center"/>
          </w:tcPr>
          <w:p>
            <w:pPr>
              <w:spacing w:before="0" w:after="0"/>
              <w:jc w:val="center"/>
            </w:pPr>
            <w:r>
              <w:rPr>
                <w:b/>
                <w:sz w:val="18"/>
                <w:szCs w:val="18"/>
              </w:rPr>
              <w:t xml:space="preserve">Date</w:t>
            </w:r>
          </w:p>
        </w:tc>
        <w:tc>
          <w:tcPr>
            <w:tcW w:w="7072" w:type="dxa"/>
            <w:shd w:val="clear" w:color="auto" w:fill="DDEBF7"/>
            <w:vAlign w:val="center"/>
          </w:tcPr>
          <w:p>
            <w:pPr>
              <w:spacing w:before="0" w:after="0"/>
              <w:jc w:val="center"/>
            </w:pPr>
            <w:r>
              <w:rPr>
                <w:b/>
                <w:sz w:val="18"/>
                <w:szCs w:val="18"/>
              </w:rPr>
              <w:t xml:space="preserve">Career summary</w:t>
            </w:r>
          </w:p>
        </w:tc>
      </w:tr>
      <w:tr>
        <w:tc>
          <w:tcPr>
            <w:tcW w:w="2000" w:type="dxa"/>
            <w:vAlign w:val="center"/>
          </w:tcPr>
          <w:p>
            <w:pPr>
              <w:spacing w:before="0" w:after="0"/>
              <w:jc w:val="left"/>
            </w:pPr>
            <w:r>
              <w:rPr>
                <w:sz w:val="18"/>
                <w:szCs w:val="18"/>
              </w:rPr>
              <w:t xml:space="preserve">1988-02</w:t>
            </w:r>
          </w:p>
        </w:tc>
        <w:tc>
          <w:tcPr>
            <w:tcW w:w="7072" w:type="dxa"/>
            <w:vAlign w:val="center"/>
          </w:tcPr>
          <w:p>
            <w:pPr>
              <w:spacing w:before="0" w:after="0"/>
              <w:jc w:val="left"/>
            </w:pPr>
            <w:r>
              <w:rPr>
                <w:sz w:val="18"/>
                <w:szCs w:val="18"/>
              </w:rPr>
              <w:t xml:space="preserve">Director of Coffee Sourcing, Nimbus Coffee, Inc.</w:t>
            </w:r>
          </w:p>
        </w:tc>
      </w:tr>
      <w:tr>
        <w:tc>
          <w:tcPr>
            <w:tcW w:w="2000" w:type="dxa"/>
            <w:vAlign w:val="center"/>
          </w:tcPr>
          <w:p>
            <w:pPr>
              <w:spacing w:before="0" w:after="0"/>
              <w:jc w:val="left"/>
            </w:pPr>
            <w:r>
              <w:rPr>
                <w:sz w:val="18"/>
                <w:szCs w:val="18"/>
              </w:rPr>
              <w:t xml:space="preserve">1991-07</w:t>
            </w:r>
          </w:p>
        </w:tc>
        <w:tc>
          <w:tcPr>
            <w:tcW w:w="7072" w:type="dxa"/>
            <w:vAlign w:val="center"/>
          </w:tcPr>
          <w:p>
            <w:pPr>
              <w:spacing w:before="0" w:after="0"/>
              <w:jc w:val="left"/>
            </w:pPr>
            <w:r>
              <w:rPr>
                <w:sz w:val="18"/>
                <w:szCs w:val="18"/>
              </w:rPr>
              <w:t xml:space="preserve">Joined Nimbus Coffee, Inc. as store manager</w:t>
            </w:r>
          </w:p>
        </w:tc>
      </w:tr>
      <w:tr>
        <w:tc>
          <w:tcPr>
            <w:tcW w:w="2000" w:type="dxa"/>
            <w:vAlign w:val="center"/>
          </w:tcPr>
          <w:p>
            <w:pPr>
              <w:spacing w:before="0" w:after="0"/>
              <w:jc w:val="left"/>
            </w:pPr>
            <w:r>
              <w:rPr>
                <w:sz w:val="18"/>
                <w:szCs w:val="18"/>
              </w:rPr>
              <w:t xml:space="preserve">1996-04</w:t>
            </w:r>
          </w:p>
        </w:tc>
        <w:tc>
          <w:tcPr>
            <w:tcW w:w="7072" w:type="dxa"/>
            <w:vAlign w:val="center"/>
          </w:tcPr>
          <w:p>
            <w:pPr>
              <w:spacing w:before="0" w:after="0"/>
              <w:jc w:val="left"/>
            </w:pPr>
            <w:r>
              <w:rPr>
                <w:sz w:val="18"/>
                <w:szCs w:val="18"/>
              </w:rPr>
              <w:t xml:space="preserve">Director, Nimbus Coffee, Inc. (current)</w:t>
            </w:r>
          </w:p>
        </w:tc>
      </w:tr>
      <w:tr>
        <w:tc>
          <w:tcPr>
            <w:tcW w:w="2000" w:type="dxa"/>
            <w:vAlign w:val="center"/>
          </w:tcPr>
          <w:p>
            <w:pPr>
              <w:spacing w:before="0" w:after="0"/>
              <w:jc w:val="left"/>
            </w:pPr>
            <w:r>
              <w:rPr>
                <w:sz w:val="18"/>
                <w:szCs w:val="18"/>
              </w:rPr>
              <w:t xml:space="preserve">1997-03</w:t>
            </w:r>
          </w:p>
        </w:tc>
        <w:tc>
          <w:tcPr>
            <w:tcW w:w="7072" w:type="dxa"/>
            <w:vAlign w:val="center"/>
          </w:tcPr>
          <w:p>
            <w:pPr>
              <w:spacing w:before="0" w:after="0"/>
              <w:jc w:val="left"/>
            </w:pPr>
            <w:r>
              <w:rPr>
                <w:sz w:val="18"/>
                <w:szCs w:val="18"/>
              </w:rPr>
              <w:t xml:space="preserve">Professor of Business, Westridge State College (fictional)</w:t>
            </w:r>
          </w:p>
        </w:tc>
      </w:tr>
      <w:tr>
        <w:tc>
          <w:tcPr>
            <w:tcW w:w="2000" w:type="dxa"/>
            <w:vAlign w:val="center"/>
          </w:tcPr>
          <w:p>
            <w:pPr>
              <w:spacing w:before="0" w:after="0"/>
              <w:jc w:val="left"/>
            </w:pPr>
            <w:r>
              <w:rPr>
                <w:sz w:val="18"/>
                <w:szCs w:val="18"/>
              </w:rPr>
              <w:t xml:space="preserve">1998-04</w:t>
            </w:r>
          </w:p>
        </w:tc>
        <w:tc>
          <w:tcPr>
            <w:tcW w:w="7072" w:type="dxa"/>
            <w:vAlign w:val="center"/>
          </w:tcPr>
          <w:p>
            <w:pPr>
              <w:spacing w:before="0" w:after="0"/>
              <w:jc w:val="left"/>
            </w:pPr>
            <w:r>
              <w:rPr>
                <w:sz w:val="18"/>
                <w:szCs w:val="18"/>
              </w:rPr>
              <w:t xml:space="preserve">Regional Director, Harborview Bakeries Co. (fictional)</w:t>
            </w:r>
          </w:p>
        </w:tc>
      </w:tr>
      <w:tr>
        <w:tc>
          <w:tcPr>
            <w:tcW w:w="2000" w:type="dxa"/>
            <w:vAlign w:val="center"/>
          </w:tcPr>
          <w:p>
            <w:pPr>
              <w:spacing w:before="0" w:after="0"/>
              <w:jc w:val="left"/>
            </w:pPr>
            <w:r>
              <w:rPr>
                <w:sz w:val="18"/>
                <w:szCs w:val="18"/>
              </w:rPr>
              <w:t xml:space="preserve">2001-08</w:t>
            </w:r>
          </w:p>
        </w:tc>
        <w:tc>
          <w:tcPr>
            <w:tcW w:w="7072" w:type="dxa"/>
            <w:vAlign w:val="center"/>
          </w:tcPr>
          <w:p>
            <w:pPr>
              <w:spacing w:before="0" w:after="0"/>
              <w:jc w:val="left"/>
            </w:pPr>
            <w:r>
              <w:rPr>
                <w:sz w:val="18"/>
                <w:szCs w:val="18"/>
              </w:rPr>
              <w:t xml:space="preserve">Director of Store Operations, Nimbus Coffee, Inc.</w:t>
            </w:r>
          </w:p>
        </w:tc>
      </w:tr>
      <w:tr>
        <w:tc>
          <w:tcPr>
            <w:tcW w:w="2000" w:type="dxa"/>
            <w:vAlign w:val="center"/>
          </w:tcPr>
          <w:p>
            <w:pPr>
              <w:spacing w:before="0" w:after="0"/>
              <w:jc w:val="left"/>
            </w:pPr>
            <w:r>
              <w:rPr>
                <w:sz w:val="18"/>
                <w:szCs w:val="18"/>
              </w:rPr>
              <w:t xml:space="preserve">2013-03</w:t>
            </w:r>
          </w:p>
        </w:tc>
        <w:tc>
          <w:tcPr>
            <w:tcW w:w="7072" w:type="dxa"/>
            <w:vAlign w:val="center"/>
          </w:tcPr>
          <w:p>
            <w:pPr>
              <w:spacing w:before="0" w:after="0"/>
              <w:jc w:val="left"/>
            </w:pPr>
            <w:r>
              <w:rPr>
                <w:sz w:val="18"/>
                <w:szCs w:val="18"/>
              </w:rPr>
              <w:t xml:space="preserve">Vice President, Nimbus Coffee, Inc.</w:t>
            </w:r>
          </w:p>
        </w:tc>
      </w:tr>
      <w:tr>
        <w:tc>
          <w:tcPr>
            <w:tcW w:w="2000" w:type="dxa"/>
            <w:vAlign w:val="center"/>
          </w:tcPr>
          <w:p>
            <w:pPr>
              <w:spacing w:before="0" w:after="0"/>
              <w:jc w:val="left"/>
            </w:pPr>
            <w:r>
              <w:rPr>
                <w:sz w:val="18"/>
                <w:szCs w:val="18"/>
              </w:rPr>
              <w:t xml:space="preserve">2015-01</w:t>
            </w:r>
          </w:p>
        </w:tc>
        <w:tc>
          <w:tcPr>
            <w:tcW w:w="7072" w:type="dxa"/>
            <w:vAlign w:val="center"/>
          </w:tcPr>
          <w:p>
            <w:pPr>
              <w:spacing w:before="0" w:after="0"/>
              <w:jc w:val="left"/>
            </w:pPr>
            <w:r>
              <w:rPr>
                <w:sz w:val="18"/>
                <w:szCs w:val="18"/>
              </w:rPr>
              <w:t xml:space="preserve">Admitted to the bar</w:t>
            </w:r>
          </w:p>
        </w:tc>
      </w:tr>
      <w:tr>
        <w:tc>
          <w:tcPr>
            <w:tcW w:w="2000" w:type="dxa"/>
            <w:vAlign w:val="center"/>
          </w:tcPr>
          <w:p>
            <w:pPr>
              <w:spacing w:before="0" w:after="0"/>
              <w:jc w:val="left"/>
            </w:pPr>
            <w:r>
              <w:rPr>
                <w:sz w:val="18"/>
                <w:szCs w:val="18"/>
              </w:rPr>
              <w:t xml:space="preserve">2015-05</w:t>
            </w:r>
          </w:p>
        </w:tc>
        <w:tc>
          <w:tcPr>
            <w:tcW w:w="7072" w:type="dxa"/>
            <w:vAlign w:val="center"/>
          </w:tcPr>
          <w:p>
            <w:pPr>
              <w:spacing w:before="0" w:after="0"/>
              <w:jc w:val="left"/>
            </w:pPr>
            <w:r>
              <w:rPr>
                <w:sz w:val="18"/>
                <w:szCs w:val="18"/>
              </w:rPr>
              <w:t xml:space="preserve">District Manager, Nimbus Coffee, Inc.</w:t>
            </w:r>
          </w:p>
        </w:tc>
      </w:tr>
      <w:tr>
        <w:tc>
          <w:tcPr>
            <w:tcW w:w="2000" w:type="dxa"/>
            <w:vAlign w:val="center"/>
          </w:tcPr>
          <w:p>
            <w:pPr>
              <w:spacing w:before="0" w:after="0"/>
              <w:jc w:val="left"/>
            </w:pPr>
            <w:r>
              <w:rPr>
                <w:sz w:val="18"/>
                <w:szCs w:val="18"/>
              </w:rPr>
              <w:t xml:space="preserve">2023-04</w:t>
            </w:r>
          </w:p>
        </w:tc>
        <w:tc>
          <w:tcPr>
            <w:tcW w:w="7072" w:type="dxa"/>
            <w:vAlign w:val="center"/>
          </w:tcPr>
          <w:p>
            <w:pPr>
              <w:spacing w:before="0" w:after="0"/>
              <w:jc w:val="left"/>
            </w:pPr>
            <w:r>
              <w:rPr>
                <w:sz w:val="18"/>
                <w:szCs w:val="18"/>
              </w:rPr>
              <w:t xml:space="preserve">Buyer, Glenhaven Grocers Inc. (fictional)</w:t>
            </w:r>
          </w:p>
        </w:tc>
      </w:tr>
      <w:tr>
        <w:tc>
          <w:tcPr>
            <w:tcW w:w="2000" w:type="dxa"/>
            <w:vAlign w:val="center"/>
          </w:tcPr>
          <w:p>
            <w:pPr>
              <w:spacing w:before="0" w:after="0"/>
              <w:jc w:val="left"/>
            </w:pPr>
            <w:r>
              <w:rPr>
                <w:sz w:val="18"/>
                <w:szCs w:val="18"/>
              </w:rPr>
              <w:t xml:space="preserve">2024-02</w:t>
            </w:r>
          </w:p>
        </w:tc>
        <w:tc>
          <w:tcPr>
            <w:tcW w:w="7072" w:type="dxa"/>
            <w:vAlign w:val="center"/>
          </w:tcPr>
          <w:p>
            <w:pPr>
              <w:spacing w:before="0" w:after="0"/>
              <w:jc w:val="left"/>
            </w:pPr>
            <w:r>
              <w:rPr>
                <w:sz w:val="18"/>
                <w:szCs w:val="18"/>
              </w:rPr>
              <w:t xml:space="preserve">Controller, Nimbus Coffee, Inc.</w:t>
            </w:r>
          </w:p>
        </w:tc>
      </w:tr>
    </w:tbl>
    <w:p>
      <w:pPr/>
    </w:p>
    <w:p>
      <w:pPr>
        <w:keepNext/>
      </w:pPr>
      <w:r>
        <w:rPr>
          <w:b/>
        </w:rPr>
        <w:t xml:space="preserve">Director: Blake Greer (born July 1980)</w:t>
      </w:r>
    </w:p>
    <w:tbl>
      <w:tblPr>
        <w:tblW w:w="907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72" w:type="dxa"/>
          <w:right w:w="72" w:type="dxa"/>
        </w:tblCellMar>
      </w:tblPr>
      <w:tblGrid>
        <w:gridCol w:w="2000"/>
        <w:gridCol w:w="7072"/>
      </w:tblGrid>
      <w:tr>
        <w:trPr>
          <w:tblHeader/>
        </w:trPr>
        <w:tc>
          <w:tcPr>
            <w:tcW w:w="2000" w:type="dxa"/>
            <w:shd w:val="clear" w:color="auto" w:fill="DDEBF7"/>
            <w:vAlign w:val="center"/>
          </w:tcPr>
          <w:p>
            <w:pPr>
              <w:spacing w:before="0" w:after="0"/>
              <w:jc w:val="center"/>
            </w:pPr>
            <w:r>
              <w:rPr>
                <w:b/>
                <w:sz w:val="18"/>
                <w:szCs w:val="18"/>
              </w:rPr>
              <w:t xml:space="preserve">Date</w:t>
            </w:r>
          </w:p>
        </w:tc>
        <w:tc>
          <w:tcPr>
            <w:tcW w:w="7072" w:type="dxa"/>
            <w:shd w:val="clear" w:color="auto" w:fill="DDEBF7"/>
            <w:vAlign w:val="center"/>
          </w:tcPr>
          <w:p>
            <w:pPr>
              <w:spacing w:before="0" w:after="0"/>
              <w:jc w:val="center"/>
            </w:pPr>
            <w:r>
              <w:rPr>
                <w:b/>
                <w:sz w:val="18"/>
                <w:szCs w:val="18"/>
              </w:rPr>
              <w:t xml:space="preserve">Career summary</w:t>
            </w:r>
          </w:p>
        </w:tc>
      </w:tr>
      <w:tr>
        <w:tc>
          <w:tcPr>
            <w:tcW w:w="2000" w:type="dxa"/>
            <w:vAlign w:val="center"/>
          </w:tcPr>
          <w:p>
            <w:pPr>
              <w:spacing w:before="0" w:after="0"/>
              <w:jc w:val="left"/>
            </w:pPr>
            <w:r>
              <w:rPr>
                <w:sz w:val="18"/>
                <w:szCs w:val="18"/>
              </w:rPr>
              <w:t xml:space="preserve">1991-10</w:t>
            </w:r>
          </w:p>
        </w:tc>
        <w:tc>
          <w:tcPr>
            <w:tcW w:w="7072" w:type="dxa"/>
            <w:vAlign w:val="center"/>
          </w:tcPr>
          <w:p>
            <w:pPr>
              <w:spacing w:before="0" w:after="0"/>
              <w:jc w:val="left"/>
            </w:pPr>
            <w:r>
              <w:rPr>
                <w:sz w:val="18"/>
                <w:szCs w:val="18"/>
              </w:rPr>
              <w:t xml:space="preserve">Certified public accountant</w:t>
            </w:r>
          </w:p>
        </w:tc>
      </w:tr>
      <w:tr>
        <w:tc>
          <w:tcPr>
            <w:tcW w:w="2000" w:type="dxa"/>
            <w:vAlign w:val="center"/>
          </w:tcPr>
          <w:p>
            <w:pPr>
              <w:spacing w:before="0" w:after="0"/>
              <w:jc w:val="left"/>
            </w:pPr>
            <w:r>
              <w:rPr>
                <w:sz w:val="18"/>
                <w:szCs w:val="18"/>
              </w:rPr>
              <w:t xml:space="preserve">1994-10</w:t>
            </w:r>
          </w:p>
        </w:tc>
        <w:tc>
          <w:tcPr>
            <w:tcW w:w="7072" w:type="dxa"/>
            <w:vAlign w:val="center"/>
          </w:tcPr>
          <w:p>
            <w:pPr>
              <w:spacing w:before="0" w:after="0"/>
              <w:jc w:val="left"/>
            </w:pPr>
            <w:r>
              <w:rPr>
                <w:sz w:val="18"/>
                <w:szCs w:val="18"/>
              </w:rPr>
              <w:t xml:space="preserve">Buyer, Glenhaven Grocers Inc. (fictional)</w:t>
            </w:r>
          </w:p>
        </w:tc>
      </w:tr>
      <w:tr>
        <w:tc>
          <w:tcPr>
            <w:tcW w:w="2000" w:type="dxa"/>
            <w:vAlign w:val="center"/>
          </w:tcPr>
          <w:p>
            <w:pPr>
              <w:spacing w:before="0" w:after="0"/>
              <w:jc w:val="left"/>
            </w:pPr>
            <w:r>
              <w:rPr>
                <w:sz w:val="18"/>
                <w:szCs w:val="18"/>
              </w:rPr>
              <w:t xml:space="preserve">2011-01</w:t>
            </w:r>
          </w:p>
        </w:tc>
        <w:tc>
          <w:tcPr>
            <w:tcW w:w="7072" w:type="dxa"/>
            <w:vAlign w:val="center"/>
          </w:tcPr>
          <w:p>
            <w:pPr>
              <w:spacing w:before="0" w:after="0"/>
              <w:jc w:val="left"/>
            </w:pPr>
            <w:r>
              <w:rPr>
                <w:sz w:val="18"/>
                <w:szCs w:val="18"/>
              </w:rPr>
              <w:t xml:space="preserve">Partner, Fenwick &amp; Oakes LLP (accounting firm, fictional)</w:t>
            </w:r>
          </w:p>
        </w:tc>
      </w:tr>
      <w:tr>
        <w:tc>
          <w:tcPr>
            <w:tcW w:w="2000" w:type="dxa"/>
            <w:vAlign w:val="center"/>
          </w:tcPr>
          <w:p>
            <w:pPr>
              <w:spacing w:before="0" w:after="0"/>
              <w:jc w:val="left"/>
            </w:pPr>
            <w:r>
              <w:rPr>
                <w:sz w:val="18"/>
                <w:szCs w:val="18"/>
              </w:rPr>
              <w:t xml:space="preserve">2019-07</w:t>
            </w:r>
          </w:p>
        </w:tc>
        <w:tc>
          <w:tcPr>
            <w:tcW w:w="7072" w:type="dxa"/>
            <w:vAlign w:val="center"/>
          </w:tcPr>
          <w:p>
            <w:pPr>
              <w:spacing w:before="0" w:after="0"/>
              <w:jc w:val="left"/>
            </w:pPr>
            <w:r>
              <w:rPr>
                <w:sz w:val="18"/>
                <w:szCs w:val="18"/>
              </w:rPr>
              <w:t xml:space="preserve">Vice President, Nimbus Coffee, Inc.</w:t>
            </w:r>
          </w:p>
        </w:tc>
      </w:tr>
      <w:tr>
        <w:tc>
          <w:tcPr>
            <w:tcW w:w="2000" w:type="dxa"/>
            <w:vAlign w:val="center"/>
          </w:tcPr>
          <w:p>
            <w:pPr>
              <w:spacing w:before="0" w:after="0"/>
              <w:jc w:val="left"/>
            </w:pPr>
            <w:r>
              <w:rPr>
                <w:sz w:val="18"/>
                <w:szCs w:val="18"/>
              </w:rPr>
              <w:t xml:space="preserve">2023-12</w:t>
            </w:r>
          </w:p>
        </w:tc>
        <w:tc>
          <w:tcPr>
            <w:tcW w:w="7072" w:type="dxa"/>
            <w:vAlign w:val="center"/>
          </w:tcPr>
          <w:p>
            <w:pPr>
              <w:spacing w:before="0" w:after="0"/>
              <w:jc w:val="left"/>
            </w:pPr>
            <w:r>
              <w:rPr>
                <w:sz w:val="18"/>
                <w:szCs w:val="18"/>
              </w:rPr>
              <w:t xml:space="preserve">Head Roaster, Nimbus Coffee, Inc.</w:t>
            </w:r>
          </w:p>
        </w:tc>
      </w:tr>
      <w:tr>
        <w:tc>
          <w:tcPr>
            <w:tcW w:w="2000" w:type="dxa"/>
            <w:vAlign w:val="center"/>
          </w:tcPr>
          <w:p>
            <w:pPr>
              <w:spacing w:before="0" w:after="0"/>
              <w:jc w:val="left"/>
            </w:pPr>
            <w:r>
              <w:rPr>
                <w:sz w:val="18"/>
                <w:szCs w:val="18"/>
              </w:rPr>
              <w:t xml:space="preserve">2023-12</w:t>
            </w:r>
          </w:p>
        </w:tc>
        <w:tc>
          <w:tcPr>
            <w:tcW w:w="7072" w:type="dxa"/>
            <w:vAlign w:val="center"/>
          </w:tcPr>
          <w:p>
            <w:pPr>
              <w:spacing w:before="0" w:after="0"/>
              <w:jc w:val="left"/>
            </w:pPr>
            <w:r>
              <w:rPr>
                <w:sz w:val="18"/>
                <w:szCs w:val="18"/>
              </w:rPr>
              <w:t xml:space="preserve">Regional Director, Harborview Bakeries Co. (fictional)</w:t>
            </w:r>
          </w:p>
        </w:tc>
      </w:tr>
    </w:tbl>
    <w:p>
      <w:pPr/>
    </w:p>
    <w:p>
      <w:pPr>
        <w:keepNext/>
      </w:pPr>
      <w:r>
        <w:rPr>
          <w:b/>
        </w:rPr>
        <w:t xml:space="preserve">Director: Jordan Kessler (born May 1973)</w:t>
      </w:r>
    </w:p>
    <w:tbl>
      <w:tblPr>
        <w:tblW w:w="907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72" w:type="dxa"/>
          <w:right w:w="72" w:type="dxa"/>
        </w:tblCellMar>
      </w:tblPr>
      <w:tblGrid>
        <w:gridCol w:w="2000"/>
        <w:gridCol w:w="7072"/>
      </w:tblGrid>
      <w:tr>
        <w:trPr>
          <w:tblHeader/>
        </w:trPr>
        <w:tc>
          <w:tcPr>
            <w:tcW w:w="2000" w:type="dxa"/>
            <w:shd w:val="clear" w:color="auto" w:fill="DDEBF7"/>
            <w:vAlign w:val="center"/>
          </w:tcPr>
          <w:p>
            <w:pPr>
              <w:spacing w:before="0" w:after="0"/>
              <w:jc w:val="center"/>
            </w:pPr>
            <w:r>
              <w:rPr>
                <w:b/>
                <w:sz w:val="18"/>
                <w:szCs w:val="18"/>
              </w:rPr>
              <w:t xml:space="preserve">Date</w:t>
            </w:r>
          </w:p>
        </w:tc>
        <w:tc>
          <w:tcPr>
            <w:tcW w:w="7072" w:type="dxa"/>
            <w:shd w:val="clear" w:color="auto" w:fill="DDEBF7"/>
            <w:vAlign w:val="center"/>
          </w:tcPr>
          <w:p>
            <w:pPr>
              <w:spacing w:before="0" w:after="0"/>
              <w:jc w:val="center"/>
            </w:pPr>
            <w:r>
              <w:rPr>
                <w:b/>
                <w:sz w:val="18"/>
                <w:szCs w:val="18"/>
              </w:rPr>
              <w:t xml:space="preserve">Career summary</w:t>
            </w:r>
          </w:p>
        </w:tc>
      </w:tr>
      <w:tr>
        <w:tc>
          <w:tcPr>
            <w:tcW w:w="2000" w:type="dxa"/>
            <w:vAlign w:val="center"/>
          </w:tcPr>
          <w:p>
            <w:pPr>
              <w:spacing w:before="0" w:after="0"/>
              <w:jc w:val="left"/>
            </w:pPr>
            <w:r>
              <w:rPr>
                <w:sz w:val="18"/>
                <w:szCs w:val="18"/>
              </w:rPr>
              <w:t xml:space="preserve">1997-01</w:t>
            </w:r>
          </w:p>
        </w:tc>
        <w:tc>
          <w:tcPr>
            <w:tcW w:w="7072" w:type="dxa"/>
            <w:vAlign w:val="center"/>
          </w:tcPr>
          <w:p>
            <w:pPr>
              <w:spacing w:before="0" w:after="0"/>
              <w:jc w:val="left"/>
            </w:pPr>
            <w:r>
              <w:rPr>
                <w:sz w:val="18"/>
                <w:szCs w:val="18"/>
              </w:rPr>
              <w:t xml:space="preserve">Controller, Nimbus Coffee, Inc.</w:t>
            </w:r>
          </w:p>
        </w:tc>
      </w:tr>
      <w:tr>
        <w:tc>
          <w:tcPr>
            <w:tcW w:w="2000" w:type="dxa"/>
            <w:vAlign w:val="center"/>
          </w:tcPr>
          <w:p>
            <w:pPr>
              <w:spacing w:before="0" w:after="0"/>
              <w:jc w:val="left"/>
            </w:pPr>
            <w:r>
              <w:rPr>
                <w:sz w:val="18"/>
                <w:szCs w:val="18"/>
              </w:rPr>
              <w:t xml:space="preserve">1999-01</w:t>
            </w:r>
          </w:p>
        </w:tc>
        <w:tc>
          <w:tcPr>
            <w:tcW w:w="7072" w:type="dxa"/>
            <w:vAlign w:val="center"/>
          </w:tcPr>
          <w:p>
            <w:pPr>
              <w:spacing w:before="0" w:after="0"/>
              <w:jc w:val="left"/>
            </w:pPr>
            <w:r>
              <w:rPr>
                <w:sz w:val="18"/>
                <w:szCs w:val="18"/>
              </w:rPr>
              <w:t xml:space="preserve">District Manager, Nimbus Coffee, Inc.</w:t>
            </w:r>
          </w:p>
        </w:tc>
      </w:tr>
      <w:tr>
        <w:tc>
          <w:tcPr>
            <w:tcW w:w="2000" w:type="dxa"/>
            <w:vAlign w:val="center"/>
          </w:tcPr>
          <w:p>
            <w:pPr>
              <w:spacing w:before="0" w:after="0"/>
              <w:jc w:val="left"/>
            </w:pPr>
            <w:r>
              <w:rPr>
                <w:sz w:val="18"/>
                <w:szCs w:val="18"/>
              </w:rPr>
              <w:t xml:space="preserve">2002-07</w:t>
            </w:r>
          </w:p>
        </w:tc>
        <w:tc>
          <w:tcPr>
            <w:tcW w:w="7072" w:type="dxa"/>
            <w:vAlign w:val="center"/>
          </w:tcPr>
          <w:p>
            <w:pPr>
              <w:spacing w:before="0" w:after="0"/>
              <w:jc w:val="left"/>
            </w:pPr>
            <w:r>
              <w:rPr>
                <w:sz w:val="18"/>
                <w:szCs w:val="18"/>
              </w:rPr>
              <w:t xml:space="preserve">Director, Nimbus Coffee, Inc. (current)</w:t>
            </w:r>
          </w:p>
        </w:tc>
      </w:tr>
      <w:tr>
        <w:tc>
          <w:tcPr>
            <w:tcW w:w="2000" w:type="dxa"/>
            <w:vAlign w:val="center"/>
          </w:tcPr>
          <w:p>
            <w:pPr>
              <w:spacing w:before="0" w:after="0"/>
              <w:jc w:val="left"/>
            </w:pPr>
            <w:r>
              <w:rPr>
                <w:sz w:val="18"/>
                <w:szCs w:val="18"/>
              </w:rPr>
              <w:t xml:space="preserve">2008-10</w:t>
            </w:r>
          </w:p>
        </w:tc>
        <w:tc>
          <w:tcPr>
            <w:tcW w:w="7072" w:type="dxa"/>
            <w:vAlign w:val="center"/>
          </w:tcPr>
          <w:p>
            <w:pPr>
              <w:spacing w:before="0" w:after="0"/>
              <w:jc w:val="left"/>
            </w:pPr>
            <w:r>
              <w:rPr>
                <w:sz w:val="18"/>
                <w:szCs w:val="18"/>
              </w:rPr>
              <w:t xml:space="preserve">Regional Director, Harborview Bakeries Co. (fictional)</w:t>
            </w:r>
          </w:p>
        </w:tc>
      </w:tr>
      <w:tr>
        <w:tc>
          <w:tcPr>
            <w:tcW w:w="2000" w:type="dxa"/>
            <w:vAlign w:val="center"/>
          </w:tcPr>
          <w:p>
            <w:pPr>
              <w:spacing w:before="0" w:after="0"/>
              <w:jc w:val="left"/>
            </w:pPr>
            <w:r>
              <w:rPr>
                <w:sz w:val="18"/>
                <w:szCs w:val="18"/>
              </w:rPr>
              <w:t xml:space="preserve">2009-11</w:t>
            </w:r>
          </w:p>
        </w:tc>
        <w:tc>
          <w:tcPr>
            <w:tcW w:w="7072" w:type="dxa"/>
            <w:vAlign w:val="center"/>
          </w:tcPr>
          <w:p>
            <w:pPr>
              <w:spacing w:before="0" w:after="0"/>
              <w:jc w:val="left"/>
            </w:pPr>
            <w:r>
              <w:rPr>
                <w:sz w:val="18"/>
                <w:szCs w:val="18"/>
              </w:rPr>
              <w:t xml:space="preserve">Head Roaster, Nimbus Coffee, Inc.</w:t>
            </w:r>
          </w:p>
        </w:tc>
      </w:tr>
      <w:tr>
        <w:tc>
          <w:tcPr>
            <w:tcW w:w="2000" w:type="dxa"/>
            <w:vAlign w:val="center"/>
          </w:tcPr>
          <w:p>
            <w:pPr>
              <w:spacing w:before="0" w:after="0"/>
              <w:jc w:val="left"/>
            </w:pPr>
            <w:r>
              <w:rPr>
                <w:sz w:val="18"/>
                <w:szCs w:val="18"/>
              </w:rPr>
              <w:t xml:space="preserve">2012-10</w:t>
            </w:r>
          </w:p>
        </w:tc>
        <w:tc>
          <w:tcPr>
            <w:tcW w:w="7072" w:type="dxa"/>
            <w:vAlign w:val="center"/>
          </w:tcPr>
          <w:p>
            <w:pPr>
              <w:spacing w:before="0" w:after="0"/>
              <w:jc w:val="left"/>
            </w:pPr>
            <w:r>
              <w:rPr>
                <w:sz w:val="18"/>
                <w:szCs w:val="18"/>
              </w:rPr>
              <w:t xml:space="preserve">Professor of Business, Westridge State College (fictional)</w:t>
            </w:r>
          </w:p>
        </w:tc>
      </w:tr>
      <w:tr>
        <w:tc>
          <w:tcPr>
            <w:tcW w:w="2000" w:type="dxa"/>
            <w:vAlign w:val="center"/>
          </w:tcPr>
          <w:p>
            <w:pPr>
              <w:spacing w:before="0" w:after="0"/>
              <w:jc w:val="left"/>
            </w:pPr>
            <w:r>
              <w:rPr>
                <w:sz w:val="18"/>
                <w:szCs w:val="18"/>
              </w:rPr>
              <w:t xml:space="preserve">2014-05</w:t>
            </w:r>
          </w:p>
        </w:tc>
        <w:tc>
          <w:tcPr>
            <w:tcW w:w="7072" w:type="dxa"/>
            <w:vAlign w:val="center"/>
          </w:tcPr>
          <w:p>
            <w:pPr>
              <w:spacing w:before="0" w:after="0"/>
              <w:jc w:val="left"/>
            </w:pPr>
            <w:r>
              <w:rPr>
                <w:sz w:val="18"/>
                <w:szCs w:val="18"/>
              </w:rPr>
              <w:t xml:space="preserve">Certified public accountant</w:t>
            </w:r>
          </w:p>
        </w:tc>
      </w:tr>
      <w:tr>
        <w:tc>
          <w:tcPr>
            <w:tcW w:w="2000" w:type="dxa"/>
            <w:vAlign w:val="center"/>
          </w:tcPr>
          <w:p>
            <w:pPr>
              <w:spacing w:before="0" w:after="0"/>
              <w:jc w:val="left"/>
            </w:pPr>
            <w:r>
              <w:rPr>
                <w:sz w:val="18"/>
                <w:szCs w:val="18"/>
              </w:rPr>
              <w:t xml:space="preserve">2015-06</w:t>
            </w:r>
          </w:p>
        </w:tc>
        <w:tc>
          <w:tcPr>
            <w:tcW w:w="7072" w:type="dxa"/>
            <w:vAlign w:val="center"/>
          </w:tcPr>
          <w:p>
            <w:pPr>
              <w:spacing w:before="0" w:after="0"/>
              <w:jc w:val="left"/>
            </w:pPr>
            <w:r>
              <w:rPr>
                <w:sz w:val="18"/>
                <w:szCs w:val="18"/>
              </w:rPr>
              <w:t xml:space="preserve">Joined Nimbus Coffee, Inc. as store manager</w:t>
            </w:r>
          </w:p>
        </w:tc>
      </w:tr>
      <w:tr>
        <w:tc>
          <w:tcPr>
            <w:tcW w:w="2000" w:type="dxa"/>
            <w:vAlign w:val="center"/>
          </w:tcPr>
          <w:p>
            <w:pPr>
              <w:spacing w:before="0" w:after="0"/>
              <w:jc w:val="left"/>
            </w:pPr>
            <w:r>
              <w:rPr>
                <w:sz w:val="18"/>
                <w:szCs w:val="18"/>
              </w:rPr>
              <w:t xml:space="preserve">2017-03</w:t>
            </w:r>
          </w:p>
        </w:tc>
        <w:tc>
          <w:tcPr>
            <w:tcW w:w="7072" w:type="dxa"/>
            <w:vAlign w:val="center"/>
          </w:tcPr>
          <w:p>
            <w:pPr>
              <w:spacing w:before="0" w:after="0"/>
              <w:jc w:val="left"/>
            </w:pPr>
            <w:r>
              <w:rPr>
                <w:sz w:val="18"/>
                <w:szCs w:val="18"/>
              </w:rPr>
              <w:t xml:space="preserve">Admitted to the bar</w:t>
            </w:r>
          </w:p>
        </w:tc>
      </w:tr>
      <w:tr>
        <w:tc>
          <w:tcPr>
            <w:tcW w:w="2000" w:type="dxa"/>
            <w:vAlign w:val="center"/>
          </w:tcPr>
          <w:p>
            <w:pPr>
              <w:spacing w:before="0" w:after="0"/>
              <w:jc w:val="left"/>
            </w:pPr>
            <w:r>
              <w:rPr>
                <w:sz w:val="18"/>
                <w:szCs w:val="18"/>
              </w:rPr>
              <w:t xml:space="preserve">2025-04</w:t>
            </w:r>
          </w:p>
        </w:tc>
        <w:tc>
          <w:tcPr>
            <w:tcW w:w="7072" w:type="dxa"/>
            <w:vAlign w:val="center"/>
          </w:tcPr>
          <w:p>
            <w:pPr>
              <w:spacing w:before="0" w:after="0"/>
              <w:jc w:val="left"/>
            </w:pPr>
            <w:r>
              <w:rPr>
                <w:sz w:val="18"/>
                <w:szCs w:val="18"/>
              </w:rPr>
              <w:t xml:space="preserve">Director of Coffee Sourcing, Nimbus Coffee, Inc.</w:t>
            </w:r>
          </w:p>
        </w:tc>
      </w:tr>
    </w:tbl>
    <w:p>
      <w:pPr/>
    </w:p>
    <w:p>
      <w:pPr>
        <w:keepNext/>
      </w:pPr>
      <w:r>
        <w:rPr>
          <w:b/>
        </w:rPr>
        <w:t xml:space="preserve">Independent Director: Jordan Oakes (born March 1974)</w:t>
      </w:r>
    </w:p>
    <w:tbl>
      <w:tblPr>
        <w:tblW w:w="907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72" w:type="dxa"/>
          <w:right w:w="72" w:type="dxa"/>
        </w:tblCellMar>
      </w:tblPr>
      <w:tblGrid>
        <w:gridCol w:w="2000"/>
        <w:gridCol w:w="7072"/>
      </w:tblGrid>
      <w:tr>
        <w:trPr>
          <w:tblHeader/>
        </w:trPr>
        <w:tc>
          <w:tcPr>
            <w:tcW w:w="2000" w:type="dxa"/>
            <w:shd w:val="clear" w:color="auto" w:fill="DDEBF7"/>
            <w:vAlign w:val="center"/>
          </w:tcPr>
          <w:p>
            <w:pPr>
              <w:spacing w:before="0" w:after="0"/>
              <w:jc w:val="center"/>
            </w:pPr>
            <w:r>
              <w:rPr>
                <w:b/>
                <w:sz w:val="18"/>
                <w:szCs w:val="18"/>
              </w:rPr>
              <w:t xml:space="preserve">Date</w:t>
            </w:r>
          </w:p>
        </w:tc>
        <w:tc>
          <w:tcPr>
            <w:tcW w:w="7072" w:type="dxa"/>
            <w:shd w:val="clear" w:color="auto" w:fill="DDEBF7"/>
            <w:vAlign w:val="center"/>
          </w:tcPr>
          <w:p>
            <w:pPr>
              <w:spacing w:before="0" w:after="0"/>
              <w:jc w:val="center"/>
            </w:pPr>
            <w:r>
              <w:rPr>
                <w:b/>
                <w:sz w:val="18"/>
                <w:szCs w:val="18"/>
              </w:rPr>
              <w:t xml:space="preserve">Career summary</w:t>
            </w:r>
          </w:p>
        </w:tc>
      </w:tr>
      <w:tr>
        <w:tc>
          <w:tcPr>
            <w:tcW w:w="2000" w:type="dxa"/>
            <w:vAlign w:val="center"/>
          </w:tcPr>
          <w:p>
            <w:pPr>
              <w:spacing w:before="0" w:after="0"/>
              <w:jc w:val="left"/>
            </w:pPr>
            <w:r>
              <w:rPr>
                <w:sz w:val="18"/>
                <w:szCs w:val="18"/>
              </w:rPr>
              <w:t xml:space="preserve">1986-06</w:t>
            </w:r>
          </w:p>
        </w:tc>
        <w:tc>
          <w:tcPr>
            <w:tcW w:w="7072" w:type="dxa"/>
            <w:vAlign w:val="center"/>
          </w:tcPr>
          <w:p>
            <w:pPr>
              <w:spacing w:before="0" w:after="0"/>
              <w:jc w:val="left"/>
            </w:pPr>
            <w:r>
              <w:rPr>
                <w:sz w:val="18"/>
                <w:szCs w:val="18"/>
              </w:rPr>
              <w:t xml:space="preserve">Professor of Business, Westridge State College (fictional)</w:t>
            </w:r>
          </w:p>
        </w:tc>
      </w:tr>
      <w:tr>
        <w:tc>
          <w:tcPr>
            <w:tcW w:w="2000" w:type="dxa"/>
            <w:vAlign w:val="center"/>
          </w:tcPr>
          <w:p>
            <w:pPr>
              <w:spacing w:before="0" w:after="0"/>
              <w:jc w:val="left"/>
            </w:pPr>
            <w:r>
              <w:rPr>
                <w:sz w:val="18"/>
                <w:szCs w:val="18"/>
              </w:rPr>
              <w:t xml:space="preserve">1988-02</w:t>
            </w:r>
          </w:p>
        </w:tc>
        <w:tc>
          <w:tcPr>
            <w:tcW w:w="7072" w:type="dxa"/>
            <w:vAlign w:val="center"/>
          </w:tcPr>
          <w:p>
            <w:pPr>
              <w:spacing w:before="0" w:after="0"/>
              <w:jc w:val="left"/>
            </w:pPr>
            <w:r>
              <w:rPr>
                <w:sz w:val="18"/>
                <w:szCs w:val="18"/>
              </w:rPr>
              <w:t xml:space="preserve">Regional Director, Harborview Bakeries Co. (fictional)</w:t>
            </w:r>
          </w:p>
        </w:tc>
      </w:tr>
      <w:tr>
        <w:tc>
          <w:tcPr>
            <w:tcW w:w="2000" w:type="dxa"/>
            <w:vAlign w:val="center"/>
          </w:tcPr>
          <w:p>
            <w:pPr>
              <w:spacing w:before="0" w:after="0"/>
              <w:jc w:val="left"/>
            </w:pPr>
            <w:r>
              <w:rPr>
                <w:sz w:val="18"/>
                <w:szCs w:val="18"/>
              </w:rPr>
              <w:t xml:space="preserve">1998-02</w:t>
            </w:r>
          </w:p>
        </w:tc>
        <w:tc>
          <w:tcPr>
            <w:tcW w:w="7072" w:type="dxa"/>
            <w:vAlign w:val="center"/>
          </w:tcPr>
          <w:p>
            <w:pPr>
              <w:spacing w:before="0" w:after="0"/>
              <w:jc w:val="left"/>
            </w:pPr>
            <w:r>
              <w:rPr>
                <w:sz w:val="18"/>
                <w:szCs w:val="18"/>
              </w:rPr>
              <w:t xml:space="preserve">District Manager, Nimbus Coffee, Inc.</w:t>
            </w:r>
          </w:p>
        </w:tc>
      </w:tr>
      <w:tr>
        <w:tc>
          <w:tcPr>
            <w:tcW w:w="2000" w:type="dxa"/>
            <w:vAlign w:val="center"/>
          </w:tcPr>
          <w:p>
            <w:pPr>
              <w:spacing w:before="0" w:after="0"/>
              <w:jc w:val="left"/>
            </w:pPr>
            <w:r>
              <w:rPr>
                <w:sz w:val="18"/>
                <w:szCs w:val="18"/>
              </w:rPr>
              <w:t xml:space="preserve">2002-08</w:t>
            </w:r>
          </w:p>
        </w:tc>
        <w:tc>
          <w:tcPr>
            <w:tcW w:w="7072" w:type="dxa"/>
            <w:vAlign w:val="center"/>
          </w:tcPr>
          <w:p>
            <w:pPr>
              <w:spacing w:before="0" w:after="0"/>
              <w:jc w:val="left"/>
            </w:pPr>
            <w:r>
              <w:rPr>
                <w:sz w:val="18"/>
                <w:szCs w:val="18"/>
              </w:rPr>
              <w:t xml:space="preserve">Director of Store Operations, Nimbus Coffee, Inc.</w:t>
            </w:r>
          </w:p>
        </w:tc>
      </w:tr>
      <w:tr>
        <w:tc>
          <w:tcPr>
            <w:tcW w:w="2000" w:type="dxa"/>
            <w:vAlign w:val="center"/>
          </w:tcPr>
          <w:p>
            <w:pPr>
              <w:spacing w:before="0" w:after="0"/>
              <w:jc w:val="left"/>
            </w:pPr>
            <w:r>
              <w:rPr>
                <w:sz w:val="18"/>
                <w:szCs w:val="18"/>
              </w:rPr>
              <w:t xml:space="preserve">2003-10</w:t>
            </w:r>
          </w:p>
        </w:tc>
        <w:tc>
          <w:tcPr>
            <w:tcW w:w="7072" w:type="dxa"/>
            <w:vAlign w:val="center"/>
          </w:tcPr>
          <w:p>
            <w:pPr>
              <w:spacing w:before="0" w:after="0"/>
              <w:jc w:val="left"/>
            </w:pPr>
            <w:r>
              <w:rPr>
                <w:sz w:val="18"/>
                <w:szCs w:val="18"/>
              </w:rPr>
              <w:t xml:space="preserve">Controller, Nimbus Coffee, Inc.</w:t>
            </w:r>
          </w:p>
        </w:tc>
      </w:tr>
      <w:tr>
        <w:tc>
          <w:tcPr>
            <w:tcW w:w="2000" w:type="dxa"/>
            <w:vAlign w:val="center"/>
          </w:tcPr>
          <w:p>
            <w:pPr>
              <w:spacing w:before="0" w:after="0"/>
              <w:jc w:val="left"/>
            </w:pPr>
            <w:r>
              <w:rPr>
                <w:sz w:val="18"/>
                <w:szCs w:val="18"/>
              </w:rPr>
              <w:t xml:space="preserve">2006-03</w:t>
            </w:r>
          </w:p>
        </w:tc>
        <w:tc>
          <w:tcPr>
            <w:tcW w:w="7072" w:type="dxa"/>
            <w:vAlign w:val="center"/>
          </w:tcPr>
          <w:p>
            <w:pPr>
              <w:spacing w:before="0" w:after="0"/>
              <w:jc w:val="left"/>
            </w:pPr>
            <w:r>
              <w:rPr>
                <w:sz w:val="18"/>
                <w:szCs w:val="18"/>
              </w:rPr>
              <w:t xml:space="preserve">Director, Nimbus Coffee, Inc. (current)</w:t>
            </w:r>
          </w:p>
        </w:tc>
      </w:tr>
      <w:tr>
        <w:tc>
          <w:tcPr>
            <w:tcW w:w="2000" w:type="dxa"/>
            <w:vAlign w:val="center"/>
          </w:tcPr>
          <w:p>
            <w:pPr>
              <w:spacing w:before="0" w:after="0"/>
              <w:jc w:val="left"/>
            </w:pPr>
            <w:r>
              <w:rPr>
                <w:sz w:val="18"/>
                <w:szCs w:val="18"/>
              </w:rPr>
              <w:t xml:space="preserve">2009-08</w:t>
            </w:r>
          </w:p>
        </w:tc>
        <w:tc>
          <w:tcPr>
            <w:tcW w:w="7072" w:type="dxa"/>
            <w:vAlign w:val="center"/>
          </w:tcPr>
          <w:p>
            <w:pPr>
              <w:spacing w:before="0" w:after="0"/>
              <w:jc w:val="left"/>
            </w:pPr>
            <w:r>
              <w:rPr>
                <w:sz w:val="18"/>
                <w:szCs w:val="18"/>
              </w:rPr>
              <w:t xml:space="preserve">Admitted to the bar</w:t>
            </w:r>
          </w:p>
        </w:tc>
      </w:tr>
      <w:tr>
        <w:tc>
          <w:tcPr>
            <w:tcW w:w="2000" w:type="dxa"/>
            <w:vAlign w:val="center"/>
          </w:tcPr>
          <w:p>
            <w:pPr>
              <w:spacing w:before="0" w:after="0"/>
              <w:jc w:val="left"/>
            </w:pPr>
            <w:r>
              <w:rPr>
                <w:sz w:val="18"/>
                <w:szCs w:val="18"/>
              </w:rPr>
              <w:t xml:space="preserve">2016-10</w:t>
            </w:r>
          </w:p>
        </w:tc>
        <w:tc>
          <w:tcPr>
            <w:tcW w:w="7072" w:type="dxa"/>
            <w:vAlign w:val="center"/>
          </w:tcPr>
          <w:p>
            <w:pPr>
              <w:spacing w:before="0" w:after="0"/>
              <w:jc w:val="left"/>
            </w:pPr>
            <w:r>
              <w:rPr>
                <w:sz w:val="18"/>
                <w:szCs w:val="18"/>
              </w:rPr>
              <w:t xml:space="preserve">Certified public accountant</w:t>
            </w:r>
          </w:p>
        </w:tc>
      </w:tr>
    </w:tbl>
    <w:p>
      <w:pPr/>
    </w:p>
    <w:p>
      <w:pPr>
        <w:keepNext/>
      </w:pPr>
      <w:r>
        <w:rPr>
          <w:b/>
        </w:rPr>
        <w:t xml:space="preserve">Independent Director: Avery Ellery (born December 1961)</w:t>
      </w:r>
    </w:p>
    <w:tbl>
      <w:tblPr>
        <w:tblW w:w="907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72" w:type="dxa"/>
          <w:right w:w="72" w:type="dxa"/>
        </w:tblCellMar>
      </w:tblPr>
      <w:tblGrid>
        <w:gridCol w:w="2000"/>
        <w:gridCol w:w="7072"/>
      </w:tblGrid>
      <w:tr>
        <w:trPr>
          <w:tblHeader/>
        </w:trPr>
        <w:tc>
          <w:tcPr>
            <w:tcW w:w="2000" w:type="dxa"/>
            <w:shd w:val="clear" w:color="auto" w:fill="DDEBF7"/>
            <w:vAlign w:val="center"/>
          </w:tcPr>
          <w:p>
            <w:pPr>
              <w:spacing w:before="0" w:after="0"/>
              <w:jc w:val="center"/>
            </w:pPr>
            <w:r>
              <w:rPr>
                <w:b/>
                <w:sz w:val="18"/>
                <w:szCs w:val="18"/>
              </w:rPr>
              <w:t xml:space="preserve">Date</w:t>
            </w:r>
          </w:p>
        </w:tc>
        <w:tc>
          <w:tcPr>
            <w:tcW w:w="7072" w:type="dxa"/>
            <w:shd w:val="clear" w:color="auto" w:fill="DDEBF7"/>
            <w:vAlign w:val="center"/>
          </w:tcPr>
          <w:p>
            <w:pPr>
              <w:spacing w:before="0" w:after="0"/>
              <w:jc w:val="center"/>
            </w:pPr>
            <w:r>
              <w:rPr>
                <w:b/>
                <w:sz w:val="18"/>
                <w:szCs w:val="18"/>
              </w:rPr>
              <w:t xml:space="preserve">Career summary</w:t>
            </w:r>
          </w:p>
        </w:tc>
      </w:tr>
      <w:tr>
        <w:tc>
          <w:tcPr>
            <w:tcW w:w="2000" w:type="dxa"/>
            <w:vAlign w:val="center"/>
          </w:tcPr>
          <w:p>
            <w:pPr>
              <w:spacing w:before="0" w:after="0"/>
              <w:jc w:val="left"/>
            </w:pPr>
            <w:r>
              <w:rPr>
                <w:sz w:val="18"/>
                <w:szCs w:val="18"/>
              </w:rPr>
              <w:t xml:space="preserve">1986-11</w:t>
            </w:r>
          </w:p>
        </w:tc>
        <w:tc>
          <w:tcPr>
            <w:tcW w:w="7072" w:type="dxa"/>
            <w:vAlign w:val="center"/>
          </w:tcPr>
          <w:p>
            <w:pPr>
              <w:spacing w:before="0" w:after="0"/>
              <w:jc w:val="left"/>
            </w:pPr>
            <w:r>
              <w:rPr>
                <w:sz w:val="18"/>
                <w:szCs w:val="18"/>
              </w:rPr>
              <w:t xml:space="preserve">Director of Coffee Sourcing, Nimbus Coffee, Inc.</w:t>
            </w:r>
          </w:p>
        </w:tc>
      </w:tr>
      <w:tr>
        <w:tc>
          <w:tcPr>
            <w:tcW w:w="2000" w:type="dxa"/>
            <w:vAlign w:val="center"/>
          </w:tcPr>
          <w:p>
            <w:pPr>
              <w:spacing w:before="0" w:after="0"/>
              <w:jc w:val="left"/>
            </w:pPr>
            <w:r>
              <w:rPr>
                <w:sz w:val="18"/>
                <w:szCs w:val="18"/>
              </w:rPr>
              <w:t xml:space="preserve">1991-10</w:t>
            </w:r>
          </w:p>
        </w:tc>
        <w:tc>
          <w:tcPr>
            <w:tcW w:w="7072" w:type="dxa"/>
            <w:vAlign w:val="center"/>
          </w:tcPr>
          <w:p>
            <w:pPr>
              <w:spacing w:before="0" w:after="0"/>
              <w:jc w:val="left"/>
            </w:pPr>
            <w:r>
              <w:rPr>
                <w:sz w:val="18"/>
                <w:szCs w:val="18"/>
              </w:rPr>
              <w:t xml:space="preserve">Regional Director, Harborview Bakeries Co. (fictional)</w:t>
            </w:r>
          </w:p>
        </w:tc>
      </w:tr>
      <w:tr>
        <w:tc>
          <w:tcPr>
            <w:tcW w:w="2000" w:type="dxa"/>
            <w:vAlign w:val="center"/>
          </w:tcPr>
          <w:p>
            <w:pPr>
              <w:spacing w:before="0" w:after="0"/>
              <w:jc w:val="left"/>
            </w:pPr>
            <w:r>
              <w:rPr>
                <w:sz w:val="18"/>
                <w:szCs w:val="18"/>
              </w:rPr>
              <w:t xml:space="preserve">1995-02</w:t>
            </w:r>
          </w:p>
        </w:tc>
        <w:tc>
          <w:tcPr>
            <w:tcW w:w="7072" w:type="dxa"/>
            <w:vAlign w:val="center"/>
          </w:tcPr>
          <w:p>
            <w:pPr>
              <w:spacing w:before="0" w:after="0"/>
              <w:jc w:val="left"/>
            </w:pPr>
            <w:r>
              <w:rPr>
                <w:sz w:val="18"/>
                <w:szCs w:val="18"/>
              </w:rPr>
              <w:t xml:space="preserve">Head Roaster, Nimbus Coffee, Inc.</w:t>
            </w:r>
          </w:p>
        </w:tc>
      </w:tr>
      <w:tr>
        <w:tc>
          <w:tcPr>
            <w:tcW w:w="2000" w:type="dxa"/>
            <w:vAlign w:val="center"/>
          </w:tcPr>
          <w:p>
            <w:pPr>
              <w:spacing w:before="0" w:after="0"/>
              <w:jc w:val="left"/>
            </w:pPr>
            <w:r>
              <w:rPr>
                <w:sz w:val="18"/>
                <w:szCs w:val="18"/>
              </w:rPr>
              <w:t xml:space="preserve">2008-08</w:t>
            </w:r>
          </w:p>
        </w:tc>
        <w:tc>
          <w:tcPr>
            <w:tcW w:w="7072" w:type="dxa"/>
            <w:vAlign w:val="center"/>
          </w:tcPr>
          <w:p>
            <w:pPr>
              <w:spacing w:before="0" w:after="0"/>
              <w:jc w:val="left"/>
            </w:pPr>
            <w:r>
              <w:rPr>
                <w:sz w:val="18"/>
                <w:szCs w:val="18"/>
              </w:rPr>
              <w:t xml:space="preserve">Vice President, Nimbus Coffee, Inc.</w:t>
            </w:r>
          </w:p>
        </w:tc>
      </w:tr>
      <w:tr>
        <w:tc>
          <w:tcPr>
            <w:tcW w:w="2000" w:type="dxa"/>
            <w:vAlign w:val="center"/>
          </w:tcPr>
          <w:p>
            <w:pPr>
              <w:spacing w:before="0" w:after="0"/>
              <w:jc w:val="left"/>
            </w:pPr>
            <w:r>
              <w:rPr>
                <w:sz w:val="18"/>
                <w:szCs w:val="18"/>
              </w:rPr>
              <w:t xml:space="preserve">2015-10</w:t>
            </w:r>
          </w:p>
        </w:tc>
        <w:tc>
          <w:tcPr>
            <w:tcW w:w="7072" w:type="dxa"/>
            <w:vAlign w:val="center"/>
          </w:tcPr>
          <w:p>
            <w:pPr>
              <w:spacing w:before="0" w:after="0"/>
              <w:jc w:val="left"/>
            </w:pPr>
            <w:r>
              <w:rPr>
                <w:sz w:val="18"/>
                <w:szCs w:val="18"/>
              </w:rPr>
              <w:t xml:space="preserve">Director, Nimbus Coffee, Inc. (current)</w:t>
            </w:r>
          </w:p>
        </w:tc>
      </w:tr>
      <w:tr>
        <w:tc>
          <w:tcPr>
            <w:tcW w:w="2000" w:type="dxa"/>
            <w:vAlign w:val="center"/>
          </w:tcPr>
          <w:p>
            <w:pPr>
              <w:spacing w:before="0" w:after="0"/>
              <w:jc w:val="left"/>
            </w:pPr>
            <w:r>
              <w:rPr>
                <w:sz w:val="18"/>
                <w:szCs w:val="18"/>
              </w:rPr>
              <w:t xml:space="preserve">2019-04</w:t>
            </w:r>
          </w:p>
        </w:tc>
        <w:tc>
          <w:tcPr>
            <w:tcW w:w="7072" w:type="dxa"/>
            <w:vAlign w:val="center"/>
          </w:tcPr>
          <w:p>
            <w:pPr>
              <w:spacing w:before="0" w:after="0"/>
              <w:jc w:val="left"/>
            </w:pPr>
            <w:r>
              <w:rPr>
                <w:sz w:val="18"/>
                <w:szCs w:val="18"/>
              </w:rPr>
              <w:t xml:space="preserve">Certified public accountant</w:t>
            </w:r>
          </w:p>
        </w:tc>
      </w:tr>
      <w:tr>
        <w:tc>
          <w:tcPr>
            <w:tcW w:w="2000" w:type="dxa"/>
            <w:vAlign w:val="center"/>
          </w:tcPr>
          <w:p>
            <w:pPr>
              <w:spacing w:before="0" w:after="0"/>
              <w:jc w:val="left"/>
            </w:pPr>
            <w:r>
              <w:rPr>
                <w:sz w:val="18"/>
                <w:szCs w:val="18"/>
              </w:rPr>
              <w:t xml:space="preserve">2021-02</w:t>
            </w:r>
          </w:p>
        </w:tc>
        <w:tc>
          <w:tcPr>
            <w:tcW w:w="7072" w:type="dxa"/>
            <w:vAlign w:val="center"/>
          </w:tcPr>
          <w:p>
            <w:pPr>
              <w:spacing w:before="0" w:after="0"/>
              <w:jc w:val="left"/>
            </w:pPr>
            <w:r>
              <w:rPr>
                <w:sz w:val="18"/>
                <w:szCs w:val="18"/>
              </w:rPr>
              <w:t xml:space="preserve">Director of Store Operations, Nimbus Coffee, Inc.</w:t>
            </w:r>
          </w:p>
        </w:tc>
      </w:tr>
      <w:tr>
        <w:tc>
          <w:tcPr>
            <w:tcW w:w="2000" w:type="dxa"/>
            <w:vAlign w:val="center"/>
          </w:tcPr>
          <w:p>
            <w:pPr>
              <w:spacing w:before="0" w:after="0"/>
              <w:jc w:val="left"/>
            </w:pPr>
            <w:r>
              <w:rPr>
                <w:sz w:val="18"/>
                <w:szCs w:val="18"/>
              </w:rPr>
              <w:t xml:space="preserve">2021-10</w:t>
            </w:r>
          </w:p>
        </w:tc>
        <w:tc>
          <w:tcPr>
            <w:tcW w:w="7072" w:type="dxa"/>
            <w:vAlign w:val="center"/>
          </w:tcPr>
          <w:p>
            <w:pPr>
              <w:spacing w:before="0" w:after="0"/>
              <w:jc w:val="left"/>
            </w:pPr>
            <w:r>
              <w:rPr>
                <w:sz w:val="18"/>
                <w:szCs w:val="18"/>
              </w:rPr>
              <w:t xml:space="preserve">Partner, Fenwick &amp; Oakes LLP (accounting firm, fictional)</w:t>
            </w:r>
          </w:p>
        </w:tc>
      </w:tr>
    </w:tbl>
    <w:p>
      <w:pPr/>
    </w:p>
    <w:p>
      <w:pPr>
        <w:keepNext/>
      </w:pPr>
      <w:r>
        <w:rPr>
          <w:b/>
        </w:rPr>
        <w:t xml:space="preserve">Independent Director (Audit Committee Chair): Finley Marlow (born May 1977)</w:t>
      </w:r>
    </w:p>
    <w:tbl>
      <w:tblPr>
        <w:tblW w:w="907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72" w:type="dxa"/>
          <w:right w:w="72" w:type="dxa"/>
        </w:tblCellMar>
      </w:tblPr>
      <w:tblGrid>
        <w:gridCol w:w="2000"/>
        <w:gridCol w:w="7072"/>
      </w:tblGrid>
      <w:tr>
        <w:trPr>
          <w:tblHeader/>
        </w:trPr>
        <w:tc>
          <w:tcPr>
            <w:tcW w:w="2000" w:type="dxa"/>
            <w:shd w:val="clear" w:color="auto" w:fill="DDEBF7"/>
            <w:vAlign w:val="center"/>
          </w:tcPr>
          <w:p>
            <w:pPr>
              <w:spacing w:before="0" w:after="0"/>
              <w:jc w:val="center"/>
            </w:pPr>
            <w:r>
              <w:rPr>
                <w:b/>
                <w:sz w:val="18"/>
                <w:szCs w:val="18"/>
              </w:rPr>
              <w:t xml:space="preserve">Date</w:t>
            </w:r>
          </w:p>
        </w:tc>
        <w:tc>
          <w:tcPr>
            <w:tcW w:w="7072" w:type="dxa"/>
            <w:shd w:val="clear" w:color="auto" w:fill="DDEBF7"/>
            <w:vAlign w:val="center"/>
          </w:tcPr>
          <w:p>
            <w:pPr>
              <w:spacing w:before="0" w:after="0"/>
              <w:jc w:val="center"/>
            </w:pPr>
            <w:r>
              <w:rPr>
                <w:b/>
                <w:sz w:val="18"/>
                <w:szCs w:val="18"/>
              </w:rPr>
              <w:t xml:space="preserve">Career summary</w:t>
            </w:r>
          </w:p>
        </w:tc>
      </w:tr>
      <w:tr>
        <w:tc>
          <w:tcPr>
            <w:tcW w:w="2000" w:type="dxa"/>
            <w:vAlign w:val="center"/>
          </w:tcPr>
          <w:p>
            <w:pPr>
              <w:spacing w:before="0" w:after="0"/>
              <w:jc w:val="left"/>
            </w:pPr>
            <w:r>
              <w:rPr>
                <w:sz w:val="18"/>
                <w:szCs w:val="18"/>
              </w:rPr>
              <w:t xml:space="preserve">1986-03</w:t>
            </w:r>
          </w:p>
        </w:tc>
        <w:tc>
          <w:tcPr>
            <w:tcW w:w="7072" w:type="dxa"/>
            <w:vAlign w:val="center"/>
          </w:tcPr>
          <w:p>
            <w:pPr>
              <w:spacing w:before="0" w:after="0"/>
              <w:jc w:val="left"/>
            </w:pPr>
            <w:r>
              <w:rPr>
                <w:sz w:val="18"/>
                <w:szCs w:val="18"/>
              </w:rPr>
              <w:t xml:space="preserve">Vice President, Nimbus Coffee, Inc.</w:t>
            </w:r>
          </w:p>
        </w:tc>
      </w:tr>
      <w:tr>
        <w:tc>
          <w:tcPr>
            <w:tcW w:w="2000" w:type="dxa"/>
            <w:vAlign w:val="center"/>
          </w:tcPr>
          <w:p>
            <w:pPr>
              <w:spacing w:before="0" w:after="0"/>
              <w:jc w:val="left"/>
            </w:pPr>
            <w:r>
              <w:rPr>
                <w:sz w:val="18"/>
                <w:szCs w:val="18"/>
              </w:rPr>
              <w:t xml:space="preserve">1990-08</w:t>
            </w:r>
          </w:p>
        </w:tc>
        <w:tc>
          <w:tcPr>
            <w:tcW w:w="7072" w:type="dxa"/>
            <w:vAlign w:val="center"/>
          </w:tcPr>
          <w:p>
            <w:pPr>
              <w:spacing w:before="0" w:after="0"/>
              <w:jc w:val="left"/>
            </w:pPr>
            <w:r>
              <w:rPr>
                <w:sz w:val="18"/>
                <w:szCs w:val="18"/>
              </w:rPr>
              <w:t xml:space="preserve">Professor of Business, Westridge State College (fictional)</w:t>
            </w:r>
          </w:p>
        </w:tc>
      </w:tr>
      <w:tr>
        <w:tc>
          <w:tcPr>
            <w:tcW w:w="2000" w:type="dxa"/>
            <w:vAlign w:val="center"/>
          </w:tcPr>
          <w:p>
            <w:pPr>
              <w:spacing w:before="0" w:after="0"/>
              <w:jc w:val="left"/>
            </w:pPr>
            <w:r>
              <w:rPr>
                <w:sz w:val="18"/>
                <w:szCs w:val="18"/>
              </w:rPr>
              <w:t xml:space="preserve">1991-11</w:t>
            </w:r>
          </w:p>
        </w:tc>
        <w:tc>
          <w:tcPr>
            <w:tcW w:w="7072" w:type="dxa"/>
            <w:vAlign w:val="center"/>
          </w:tcPr>
          <w:p>
            <w:pPr>
              <w:spacing w:before="0" w:after="0"/>
              <w:jc w:val="left"/>
            </w:pPr>
            <w:r>
              <w:rPr>
                <w:sz w:val="18"/>
                <w:szCs w:val="18"/>
              </w:rPr>
              <w:t xml:space="preserve">Buyer, Glenhaven Grocers Inc. (fictional)</w:t>
            </w:r>
          </w:p>
        </w:tc>
      </w:tr>
      <w:tr>
        <w:tc>
          <w:tcPr>
            <w:tcW w:w="2000" w:type="dxa"/>
            <w:vAlign w:val="center"/>
          </w:tcPr>
          <w:p>
            <w:pPr>
              <w:spacing w:before="0" w:after="0"/>
              <w:jc w:val="left"/>
            </w:pPr>
            <w:r>
              <w:rPr>
                <w:sz w:val="18"/>
                <w:szCs w:val="18"/>
              </w:rPr>
              <w:t xml:space="preserve">1999-10</w:t>
            </w:r>
          </w:p>
        </w:tc>
        <w:tc>
          <w:tcPr>
            <w:tcW w:w="7072" w:type="dxa"/>
            <w:vAlign w:val="center"/>
          </w:tcPr>
          <w:p>
            <w:pPr>
              <w:spacing w:before="0" w:after="0"/>
              <w:jc w:val="left"/>
            </w:pPr>
            <w:r>
              <w:rPr>
                <w:sz w:val="18"/>
                <w:szCs w:val="18"/>
              </w:rPr>
              <w:t xml:space="preserve">Partner, Fenwick &amp; Oakes LLP (accounting firm, fictional)</w:t>
            </w:r>
          </w:p>
        </w:tc>
      </w:tr>
      <w:tr>
        <w:tc>
          <w:tcPr>
            <w:tcW w:w="2000" w:type="dxa"/>
            <w:vAlign w:val="center"/>
          </w:tcPr>
          <w:p>
            <w:pPr>
              <w:spacing w:before="0" w:after="0"/>
              <w:jc w:val="left"/>
            </w:pPr>
            <w:r>
              <w:rPr>
                <w:sz w:val="18"/>
                <w:szCs w:val="18"/>
              </w:rPr>
              <w:t xml:space="preserve">2008-02</w:t>
            </w:r>
          </w:p>
        </w:tc>
        <w:tc>
          <w:tcPr>
            <w:tcW w:w="7072" w:type="dxa"/>
            <w:vAlign w:val="center"/>
          </w:tcPr>
          <w:p>
            <w:pPr>
              <w:spacing w:before="0" w:after="0"/>
              <w:jc w:val="left"/>
            </w:pPr>
            <w:r>
              <w:rPr>
                <w:sz w:val="18"/>
                <w:szCs w:val="18"/>
              </w:rPr>
              <w:t xml:space="preserve">Director of Store Operations, Nimbus Coffee, Inc.</w:t>
            </w:r>
          </w:p>
        </w:tc>
      </w:tr>
      <w:tr>
        <w:tc>
          <w:tcPr>
            <w:tcW w:w="2000" w:type="dxa"/>
            <w:vAlign w:val="center"/>
          </w:tcPr>
          <w:p>
            <w:pPr>
              <w:spacing w:before="0" w:after="0"/>
              <w:jc w:val="left"/>
            </w:pPr>
            <w:r>
              <w:rPr>
                <w:sz w:val="18"/>
                <w:szCs w:val="18"/>
              </w:rPr>
              <w:t xml:space="preserve">2008-09</w:t>
            </w:r>
          </w:p>
        </w:tc>
        <w:tc>
          <w:tcPr>
            <w:tcW w:w="7072" w:type="dxa"/>
            <w:vAlign w:val="center"/>
          </w:tcPr>
          <w:p>
            <w:pPr>
              <w:spacing w:before="0" w:after="0"/>
              <w:jc w:val="left"/>
            </w:pPr>
            <w:r>
              <w:rPr>
                <w:sz w:val="18"/>
                <w:szCs w:val="18"/>
              </w:rPr>
              <w:t xml:space="preserve">Regional Director, Harborview Bakeries Co. (fictional)</w:t>
            </w:r>
          </w:p>
        </w:tc>
      </w:tr>
      <w:tr>
        <w:tc>
          <w:tcPr>
            <w:tcW w:w="2000" w:type="dxa"/>
            <w:vAlign w:val="center"/>
          </w:tcPr>
          <w:p>
            <w:pPr>
              <w:spacing w:before="0" w:after="0"/>
              <w:jc w:val="left"/>
            </w:pPr>
            <w:r>
              <w:rPr>
                <w:sz w:val="18"/>
                <w:szCs w:val="18"/>
              </w:rPr>
              <w:t xml:space="preserve">2020-04</w:t>
            </w:r>
          </w:p>
        </w:tc>
        <w:tc>
          <w:tcPr>
            <w:tcW w:w="7072" w:type="dxa"/>
            <w:vAlign w:val="center"/>
          </w:tcPr>
          <w:p>
            <w:pPr>
              <w:spacing w:before="0" w:after="0"/>
              <w:jc w:val="left"/>
            </w:pPr>
            <w:r>
              <w:rPr>
                <w:sz w:val="18"/>
                <w:szCs w:val="18"/>
              </w:rPr>
              <w:t xml:space="preserve">Director, Nimbus Coffee, Inc. (current)</w:t>
            </w:r>
          </w:p>
        </w:tc>
      </w:tr>
    </w:tbl>
    <w:p>
      <w:pPr/>
    </w:p>
    <w:p>
      <w:pPr>
        <w:keepNext/>
      </w:pPr>
      <w:r>
        <w:rPr>
          <w:b/>
        </w:rPr>
        <w:t xml:space="preserve">Vice President, Roasting and Sourcing: Parker Pennick (born February 1967)</w:t>
      </w:r>
    </w:p>
    <w:tbl>
      <w:tblPr>
        <w:tblW w:w="907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72" w:type="dxa"/>
          <w:right w:w="72" w:type="dxa"/>
        </w:tblCellMar>
      </w:tblPr>
      <w:tblGrid>
        <w:gridCol w:w="2000"/>
        <w:gridCol w:w="7072"/>
      </w:tblGrid>
      <w:tr>
        <w:trPr>
          <w:tblHeader/>
        </w:trPr>
        <w:tc>
          <w:tcPr>
            <w:tcW w:w="2000" w:type="dxa"/>
            <w:shd w:val="clear" w:color="auto" w:fill="DDEBF7"/>
            <w:vAlign w:val="center"/>
          </w:tcPr>
          <w:p>
            <w:pPr>
              <w:spacing w:before="0" w:after="0"/>
              <w:jc w:val="center"/>
            </w:pPr>
            <w:r>
              <w:rPr>
                <w:b/>
                <w:sz w:val="18"/>
                <w:szCs w:val="18"/>
              </w:rPr>
              <w:t xml:space="preserve">Date</w:t>
            </w:r>
          </w:p>
        </w:tc>
        <w:tc>
          <w:tcPr>
            <w:tcW w:w="7072" w:type="dxa"/>
            <w:shd w:val="clear" w:color="auto" w:fill="DDEBF7"/>
            <w:vAlign w:val="center"/>
          </w:tcPr>
          <w:p>
            <w:pPr>
              <w:spacing w:before="0" w:after="0"/>
              <w:jc w:val="center"/>
            </w:pPr>
            <w:r>
              <w:rPr>
                <w:b/>
                <w:sz w:val="18"/>
                <w:szCs w:val="18"/>
              </w:rPr>
              <w:t xml:space="preserve">Career summary</w:t>
            </w:r>
          </w:p>
        </w:tc>
      </w:tr>
      <w:tr>
        <w:tc>
          <w:tcPr>
            <w:tcW w:w="2000" w:type="dxa"/>
            <w:vAlign w:val="center"/>
          </w:tcPr>
          <w:p>
            <w:pPr>
              <w:spacing w:before="0" w:after="0"/>
              <w:jc w:val="left"/>
            </w:pPr>
            <w:r>
              <w:rPr>
                <w:sz w:val="18"/>
                <w:szCs w:val="18"/>
              </w:rPr>
              <w:t xml:space="preserve">1990-06</w:t>
            </w:r>
          </w:p>
        </w:tc>
        <w:tc>
          <w:tcPr>
            <w:tcW w:w="7072" w:type="dxa"/>
            <w:vAlign w:val="center"/>
          </w:tcPr>
          <w:p>
            <w:pPr>
              <w:spacing w:before="0" w:after="0"/>
              <w:jc w:val="left"/>
            </w:pPr>
            <w:r>
              <w:rPr>
                <w:sz w:val="18"/>
                <w:szCs w:val="18"/>
              </w:rPr>
              <w:t xml:space="preserve">Joined Nimbus Coffee, Inc. as store manager</w:t>
            </w:r>
          </w:p>
        </w:tc>
      </w:tr>
      <w:tr>
        <w:tc>
          <w:tcPr>
            <w:tcW w:w="2000" w:type="dxa"/>
            <w:vAlign w:val="center"/>
          </w:tcPr>
          <w:p>
            <w:pPr>
              <w:spacing w:before="0" w:after="0"/>
              <w:jc w:val="left"/>
            </w:pPr>
            <w:r>
              <w:rPr>
                <w:sz w:val="18"/>
                <w:szCs w:val="18"/>
              </w:rPr>
              <w:t xml:space="preserve">1995-04</w:t>
            </w:r>
          </w:p>
        </w:tc>
        <w:tc>
          <w:tcPr>
            <w:tcW w:w="7072" w:type="dxa"/>
            <w:vAlign w:val="center"/>
          </w:tcPr>
          <w:p>
            <w:pPr>
              <w:spacing w:before="0" w:after="0"/>
              <w:jc w:val="left"/>
            </w:pPr>
            <w:r>
              <w:rPr>
                <w:sz w:val="18"/>
                <w:szCs w:val="18"/>
              </w:rPr>
              <w:t xml:space="preserve">Vice President, Nimbus Coffee, Inc.</w:t>
            </w:r>
          </w:p>
        </w:tc>
      </w:tr>
      <w:tr>
        <w:tc>
          <w:tcPr>
            <w:tcW w:w="2000" w:type="dxa"/>
            <w:vAlign w:val="center"/>
          </w:tcPr>
          <w:p>
            <w:pPr>
              <w:spacing w:before="0" w:after="0"/>
              <w:jc w:val="left"/>
            </w:pPr>
            <w:r>
              <w:rPr>
                <w:sz w:val="18"/>
                <w:szCs w:val="18"/>
              </w:rPr>
              <w:t xml:space="preserve">2008-04</w:t>
            </w:r>
          </w:p>
        </w:tc>
        <w:tc>
          <w:tcPr>
            <w:tcW w:w="7072" w:type="dxa"/>
            <w:vAlign w:val="center"/>
          </w:tcPr>
          <w:p>
            <w:pPr>
              <w:spacing w:before="0" w:after="0"/>
              <w:jc w:val="left"/>
            </w:pPr>
            <w:r>
              <w:rPr>
                <w:sz w:val="18"/>
                <w:szCs w:val="18"/>
              </w:rPr>
              <w:t xml:space="preserve">Director of Coffee Sourcing, Nimbus Coffee, Inc.</w:t>
            </w:r>
          </w:p>
        </w:tc>
      </w:tr>
      <w:tr>
        <w:tc>
          <w:tcPr>
            <w:tcW w:w="2000" w:type="dxa"/>
            <w:vAlign w:val="center"/>
          </w:tcPr>
          <w:p>
            <w:pPr>
              <w:spacing w:before="0" w:after="0"/>
              <w:jc w:val="left"/>
            </w:pPr>
            <w:r>
              <w:rPr>
                <w:sz w:val="18"/>
                <w:szCs w:val="18"/>
              </w:rPr>
              <w:t xml:space="preserve">2011-07</w:t>
            </w:r>
          </w:p>
        </w:tc>
        <w:tc>
          <w:tcPr>
            <w:tcW w:w="7072" w:type="dxa"/>
            <w:vAlign w:val="center"/>
          </w:tcPr>
          <w:p>
            <w:pPr>
              <w:spacing w:before="0" w:after="0"/>
              <w:jc w:val="left"/>
            </w:pPr>
            <w:r>
              <w:rPr>
                <w:sz w:val="18"/>
                <w:szCs w:val="18"/>
              </w:rPr>
              <w:t xml:space="preserve">Controller, Nimbus Coffee, Inc.</w:t>
            </w:r>
          </w:p>
        </w:tc>
      </w:tr>
      <w:tr>
        <w:tc>
          <w:tcPr>
            <w:tcW w:w="2000" w:type="dxa"/>
            <w:vAlign w:val="center"/>
          </w:tcPr>
          <w:p>
            <w:pPr>
              <w:spacing w:before="0" w:after="0"/>
              <w:jc w:val="left"/>
            </w:pPr>
            <w:r>
              <w:rPr>
                <w:sz w:val="18"/>
                <w:szCs w:val="18"/>
              </w:rPr>
              <w:t xml:space="preserve">2016-01</w:t>
            </w:r>
          </w:p>
        </w:tc>
        <w:tc>
          <w:tcPr>
            <w:tcW w:w="7072" w:type="dxa"/>
            <w:vAlign w:val="center"/>
          </w:tcPr>
          <w:p>
            <w:pPr>
              <w:spacing w:before="0" w:after="0"/>
              <w:jc w:val="left"/>
            </w:pPr>
            <w:r>
              <w:rPr>
                <w:sz w:val="18"/>
                <w:szCs w:val="18"/>
              </w:rPr>
              <w:t xml:space="preserve">Director of Store Operations, Nimbus Coffee, Inc.</w:t>
            </w:r>
          </w:p>
        </w:tc>
      </w:tr>
      <w:tr>
        <w:tc>
          <w:tcPr>
            <w:tcW w:w="2000" w:type="dxa"/>
            <w:vAlign w:val="center"/>
          </w:tcPr>
          <w:p>
            <w:pPr>
              <w:spacing w:before="0" w:after="0"/>
              <w:jc w:val="left"/>
            </w:pPr>
            <w:r>
              <w:rPr>
                <w:sz w:val="18"/>
                <w:szCs w:val="18"/>
              </w:rPr>
              <w:t xml:space="preserve">2020-08</w:t>
            </w:r>
          </w:p>
        </w:tc>
        <w:tc>
          <w:tcPr>
            <w:tcW w:w="7072" w:type="dxa"/>
            <w:vAlign w:val="center"/>
          </w:tcPr>
          <w:p>
            <w:pPr>
              <w:spacing w:before="0" w:after="0"/>
              <w:jc w:val="left"/>
            </w:pPr>
            <w:r>
              <w:rPr>
                <w:sz w:val="18"/>
                <w:szCs w:val="18"/>
              </w:rPr>
              <w:t xml:space="preserve">Regional Director, Harborview Bakeries Co. (fictional)</w:t>
            </w:r>
          </w:p>
        </w:tc>
      </w:tr>
    </w:tbl>
    <w:p>
      <w:pPr/>
    </w:p>
    <w:p>
      <w:pPr>
        <w:keepNext/>
      </w:pPr>
      <w:r>
        <w:rPr>
          <w:b/>
        </w:rPr>
        <w:t xml:space="preserve">Vice President, Store Operations: Harper Mercer (born February 1965)</w:t>
      </w:r>
    </w:p>
    <w:tbl>
      <w:tblPr>
        <w:tblW w:w="907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72" w:type="dxa"/>
          <w:right w:w="72" w:type="dxa"/>
        </w:tblCellMar>
      </w:tblPr>
      <w:tblGrid>
        <w:gridCol w:w="2000"/>
        <w:gridCol w:w="7072"/>
      </w:tblGrid>
      <w:tr>
        <w:trPr>
          <w:tblHeader/>
        </w:trPr>
        <w:tc>
          <w:tcPr>
            <w:tcW w:w="2000" w:type="dxa"/>
            <w:shd w:val="clear" w:color="auto" w:fill="DDEBF7"/>
            <w:vAlign w:val="center"/>
          </w:tcPr>
          <w:p>
            <w:pPr>
              <w:spacing w:before="0" w:after="0"/>
              <w:jc w:val="center"/>
            </w:pPr>
            <w:r>
              <w:rPr>
                <w:b/>
                <w:sz w:val="18"/>
                <w:szCs w:val="18"/>
              </w:rPr>
              <w:t xml:space="preserve">Date</w:t>
            </w:r>
          </w:p>
        </w:tc>
        <w:tc>
          <w:tcPr>
            <w:tcW w:w="7072" w:type="dxa"/>
            <w:shd w:val="clear" w:color="auto" w:fill="DDEBF7"/>
            <w:vAlign w:val="center"/>
          </w:tcPr>
          <w:p>
            <w:pPr>
              <w:spacing w:before="0" w:after="0"/>
              <w:jc w:val="center"/>
            </w:pPr>
            <w:r>
              <w:rPr>
                <w:b/>
                <w:sz w:val="18"/>
                <w:szCs w:val="18"/>
              </w:rPr>
              <w:t xml:space="preserve">Career summary</w:t>
            </w:r>
          </w:p>
        </w:tc>
      </w:tr>
      <w:tr>
        <w:tc>
          <w:tcPr>
            <w:tcW w:w="2000" w:type="dxa"/>
            <w:vAlign w:val="center"/>
          </w:tcPr>
          <w:p>
            <w:pPr>
              <w:spacing w:before="0" w:after="0"/>
              <w:jc w:val="left"/>
            </w:pPr>
            <w:r>
              <w:rPr>
                <w:sz w:val="18"/>
                <w:szCs w:val="18"/>
              </w:rPr>
              <w:t xml:space="preserve">1993-03</w:t>
            </w:r>
          </w:p>
        </w:tc>
        <w:tc>
          <w:tcPr>
            <w:tcW w:w="7072" w:type="dxa"/>
            <w:vAlign w:val="center"/>
          </w:tcPr>
          <w:p>
            <w:pPr>
              <w:spacing w:before="0" w:after="0"/>
              <w:jc w:val="left"/>
            </w:pPr>
            <w:r>
              <w:rPr>
                <w:sz w:val="18"/>
                <w:szCs w:val="18"/>
              </w:rPr>
              <w:t xml:space="preserve">Director, Nimbus Coffee, Inc. (current)</w:t>
            </w:r>
          </w:p>
        </w:tc>
      </w:tr>
      <w:tr>
        <w:tc>
          <w:tcPr>
            <w:tcW w:w="2000" w:type="dxa"/>
            <w:vAlign w:val="center"/>
          </w:tcPr>
          <w:p>
            <w:pPr>
              <w:spacing w:before="0" w:after="0"/>
              <w:jc w:val="left"/>
            </w:pPr>
            <w:r>
              <w:rPr>
                <w:sz w:val="18"/>
                <w:szCs w:val="18"/>
              </w:rPr>
              <w:t xml:space="preserve">1996-09</w:t>
            </w:r>
          </w:p>
        </w:tc>
        <w:tc>
          <w:tcPr>
            <w:tcW w:w="7072" w:type="dxa"/>
            <w:vAlign w:val="center"/>
          </w:tcPr>
          <w:p>
            <w:pPr>
              <w:spacing w:before="0" w:after="0"/>
              <w:jc w:val="left"/>
            </w:pPr>
            <w:r>
              <w:rPr>
                <w:sz w:val="18"/>
                <w:szCs w:val="18"/>
              </w:rPr>
              <w:t xml:space="preserve">Controller, Nimbus Coffee, Inc.</w:t>
            </w:r>
          </w:p>
        </w:tc>
      </w:tr>
      <w:tr>
        <w:tc>
          <w:tcPr>
            <w:tcW w:w="2000" w:type="dxa"/>
            <w:vAlign w:val="center"/>
          </w:tcPr>
          <w:p>
            <w:pPr>
              <w:spacing w:before="0" w:after="0"/>
              <w:jc w:val="left"/>
            </w:pPr>
            <w:r>
              <w:rPr>
                <w:sz w:val="18"/>
                <w:szCs w:val="18"/>
              </w:rPr>
              <w:t xml:space="preserve">1997-08</w:t>
            </w:r>
          </w:p>
        </w:tc>
        <w:tc>
          <w:tcPr>
            <w:tcW w:w="7072" w:type="dxa"/>
            <w:vAlign w:val="center"/>
          </w:tcPr>
          <w:p>
            <w:pPr>
              <w:spacing w:before="0" w:after="0"/>
              <w:jc w:val="left"/>
            </w:pPr>
            <w:r>
              <w:rPr>
                <w:sz w:val="18"/>
                <w:szCs w:val="18"/>
              </w:rPr>
              <w:t xml:space="preserve">Professor of Business, Westridge State College (fictional)</w:t>
            </w:r>
          </w:p>
        </w:tc>
      </w:tr>
      <w:tr>
        <w:tc>
          <w:tcPr>
            <w:tcW w:w="2000" w:type="dxa"/>
            <w:vAlign w:val="center"/>
          </w:tcPr>
          <w:p>
            <w:pPr>
              <w:spacing w:before="0" w:after="0"/>
              <w:jc w:val="left"/>
            </w:pPr>
            <w:r>
              <w:rPr>
                <w:sz w:val="18"/>
                <w:szCs w:val="18"/>
              </w:rPr>
              <w:t xml:space="preserve">1999-06</w:t>
            </w:r>
          </w:p>
        </w:tc>
        <w:tc>
          <w:tcPr>
            <w:tcW w:w="7072" w:type="dxa"/>
            <w:vAlign w:val="center"/>
          </w:tcPr>
          <w:p>
            <w:pPr>
              <w:spacing w:before="0" w:after="0"/>
              <w:jc w:val="left"/>
            </w:pPr>
            <w:r>
              <w:rPr>
                <w:sz w:val="18"/>
                <w:szCs w:val="18"/>
              </w:rPr>
              <w:t xml:space="preserve">Certified public accountant</w:t>
            </w:r>
          </w:p>
        </w:tc>
      </w:tr>
      <w:tr>
        <w:tc>
          <w:tcPr>
            <w:tcW w:w="2000" w:type="dxa"/>
            <w:vAlign w:val="center"/>
          </w:tcPr>
          <w:p>
            <w:pPr>
              <w:spacing w:before="0" w:after="0"/>
              <w:jc w:val="left"/>
            </w:pPr>
            <w:r>
              <w:rPr>
                <w:sz w:val="18"/>
                <w:szCs w:val="18"/>
              </w:rPr>
              <w:t xml:space="preserve">2004-09</w:t>
            </w:r>
          </w:p>
        </w:tc>
        <w:tc>
          <w:tcPr>
            <w:tcW w:w="7072" w:type="dxa"/>
            <w:vAlign w:val="center"/>
          </w:tcPr>
          <w:p>
            <w:pPr>
              <w:spacing w:before="0" w:after="0"/>
              <w:jc w:val="left"/>
            </w:pPr>
            <w:r>
              <w:rPr>
                <w:sz w:val="18"/>
                <w:szCs w:val="18"/>
              </w:rPr>
              <w:t xml:space="preserve">Vice President, Nimbus Coffee, Inc.</w:t>
            </w:r>
          </w:p>
        </w:tc>
      </w:tr>
      <w:tr>
        <w:tc>
          <w:tcPr>
            <w:tcW w:w="2000" w:type="dxa"/>
            <w:vAlign w:val="center"/>
          </w:tcPr>
          <w:p>
            <w:pPr>
              <w:spacing w:before="0" w:after="0"/>
              <w:jc w:val="left"/>
            </w:pPr>
            <w:r>
              <w:rPr>
                <w:sz w:val="18"/>
                <w:szCs w:val="18"/>
              </w:rPr>
              <w:t xml:space="preserve">2006-11</w:t>
            </w:r>
          </w:p>
        </w:tc>
        <w:tc>
          <w:tcPr>
            <w:tcW w:w="7072" w:type="dxa"/>
            <w:vAlign w:val="center"/>
          </w:tcPr>
          <w:p>
            <w:pPr>
              <w:spacing w:before="0" w:after="0"/>
              <w:jc w:val="left"/>
            </w:pPr>
            <w:r>
              <w:rPr>
                <w:sz w:val="18"/>
                <w:szCs w:val="18"/>
              </w:rPr>
              <w:t xml:space="preserve">Director of Store Operations, Nimbus Coffee, Inc.</w:t>
            </w:r>
          </w:p>
        </w:tc>
      </w:tr>
      <w:tr>
        <w:tc>
          <w:tcPr>
            <w:tcW w:w="2000" w:type="dxa"/>
            <w:vAlign w:val="center"/>
          </w:tcPr>
          <w:p>
            <w:pPr>
              <w:spacing w:before="0" w:after="0"/>
              <w:jc w:val="left"/>
            </w:pPr>
            <w:r>
              <w:rPr>
                <w:sz w:val="18"/>
                <w:szCs w:val="18"/>
              </w:rPr>
              <w:t xml:space="preserve">2007-02</w:t>
            </w:r>
          </w:p>
        </w:tc>
        <w:tc>
          <w:tcPr>
            <w:tcW w:w="7072" w:type="dxa"/>
            <w:vAlign w:val="center"/>
          </w:tcPr>
          <w:p>
            <w:pPr>
              <w:spacing w:before="0" w:after="0"/>
              <w:jc w:val="left"/>
            </w:pPr>
            <w:r>
              <w:rPr>
                <w:sz w:val="18"/>
                <w:szCs w:val="18"/>
              </w:rPr>
              <w:t xml:space="preserve">Director of Coffee Sourcing, Nimbus Coffee, Inc.</w:t>
            </w:r>
          </w:p>
        </w:tc>
      </w:tr>
      <w:tr>
        <w:tc>
          <w:tcPr>
            <w:tcW w:w="2000" w:type="dxa"/>
            <w:vAlign w:val="center"/>
          </w:tcPr>
          <w:p>
            <w:pPr>
              <w:spacing w:before="0" w:after="0"/>
              <w:jc w:val="left"/>
            </w:pPr>
            <w:r>
              <w:rPr>
                <w:sz w:val="18"/>
                <w:szCs w:val="18"/>
              </w:rPr>
              <w:t xml:space="preserve">2008-04</w:t>
            </w:r>
          </w:p>
        </w:tc>
        <w:tc>
          <w:tcPr>
            <w:tcW w:w="7072" w:type="dxa"/>
            <w:vAlign w:val="center"/>
          </w:tcPr>
          <w:p>
            <w:pPr>
              <w:spacing w:before="0" w:after="0"/>
              <w:jc w:val="left"/>
            </w:pPr>
            <w:r>
              <w:rPr>
                <w:sz w:val="18"/>
                <w:szCs w:val="18"/>
              </w:rPr>
              <w:t xml:space="preserve">Head Roaster, Nimbus Coffee, Inc.</w:t>
            </w:r>
          </w:p>
        </w:tc>
      </w:tr>
      <w:tr>
        <w:tc>
          <w:tcPr>
            <w:tcW w:w="2000" w:type="dxa"/>
            <w:vAlign w:val="center"/>
          </w:tcPr>
          <w:p>
            <w:pPr>
              <w:spacing w:before="0" w:after="0"/>
              <w:jc w:val="left"/>
            </w:pPr>
            <w:r>
              <w:rPr>
                <w:sz w:val="18"/>
                <w:szCs w:val="18"/>
              </w:rPr>
              <w:t xml:space="preserve">2009-06</w:t>
            </w:r>
          </w:p>
        </w:tc>
        <w:tc>
          <w:tcPr>
            <w:tcW w:w="7072" w:type="dxa"/>
            <w:vAlign w:val="center"/>
          </w:tcPr>
          <w:p>
            <w:pPr>
              <w:spacing w:before="0" w:after="0"/>
              <w:jc w:val="left"/>
            </w:pPr>
            <w:r>
              <w:rPr>
                <w:sz w:val="18"/>
                <w:szCs w:val="18"/>
              </w:rPr>
              <w:t xml:space="preserve">Partner, Fenwick &amp; Oakes LLP (accounting firm, fictional)</w:t>
            </w:r>
          </w:p>
        </w:tc>
      </w:tr>
      <w:tr>
        <w:tc>
          <w:tcPr>
            <w:tcW w:w="2000" w:type="dxa"/>
            <w:vAlign w:val="center"/>
          </w:tcPr>
          <w:p>
            <w:pPr>
              <w:spacing w:before="0" w:after="0"/>
              <w:jc w:val="left"/>
            </w:pPr>
            <w:r>
              <w:rPr>
                <w:sz w:val="18"/>
                <w:szCs w:val="18"/>
              </w:rPr>
              <w:t xml:space="preserve">2022-12</w:t>
            </w:r>
          </w:p>
        </w:tc>
        <w:tc>
          <w:tcPr>
            <w:tcW w:w="7072" w:type="dxa"/>
            <w:vAlign w:val="center"/>
          </w:tcPr>
          <w:p>
            <w:pPr>
              <w:spacing w:before="0" w:after="0"/>
              <w:jc w:val="left"/>
            </w:pPr>
            <w:r>
              <w:rPr>
                <w:sz w:val="18"/>
                <w:szCs w:val="18"/>
              </w:rPr>
              <w:t xml:space="preserve">Buyer, Glenhaven Grocers Inc. (fictional)</w:t>
            </w:r>
          </w:p>
        </w:tc>
      </w:tr>
    </w:tbl>
    <w:p>
      <w:pPr/>
    </w:p>
    <w:p>
      <w:pPr>
        <w:keepNext/>
      </w:pPr>
      <w:r>
        <w:rPr>
          <w:b/>
        </w:rPr>
        <w:t xml:space="preserve">Vice President, Supply Chain: Rowan Corwin (born July 1975)</w:t>
      </w:r>
    </w:p>
    <w:tbl>
      <w:tblPr>
        <w:tblW w:w="907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72" w:type="dxa"/>
          <w:right w:w="72" w:type="dxa"/>
        </w:tblCellMar>
      </w:tblPr>
      <w:tblGrid>
        <w:gridCol w:w="2000"/>
        <w:gridCol w:w="7072"/>
      </w:tblGrid>
      <w:tr>
        <w:trPr>
          <w:tblHeader/>
        </w:trPr>
        <w:tc>
          <w:tcPr>
            <w:tcW w:w="2000" w:type="dxa"/>
            <w:shd w:val="clear" w:color="auto" w:fill="DDEBF7"/>
            <w:vAlign w:val="center"/>
          </w:tcPr>
          <w:p>
            <w:pPr>
              <w:spacing w:before="0" w:after="0"/>
              <w:jc w:val="center"/>
            </w:pPr>
            <w:r>
              <w:rPr>
                <w:b/>
                <w:sz w:val="18"/>
                <w:szCs w:val="18"/>
              </w:rPr>
              <w:t xml:space="preserve">Date</w:t>
            </w:r>
          </w:p>
        </w:tc>
        <w:tc>
          <w:tcPr>
            <w:tcW w:w="7072" w:type="dxa"/>
            <w:shd w:val="clear" w:color="auto" w:fill="DDEBF7"/>
            <w:vAlign w:val="center"/>
          </w:tcPr>
          <w:p>
            <w:pPr>
              <w:spacing w:before="0" w:after="0"/>
              <w:jc w:val="center"/>
            </w:pPr>
            <w:r>
              <w:rPr>
                <w:b/>
                <w:sz w:val="18"/>
                <w:szCs w:val="18"/>
              </w:rPr>
              <w:t xml:space="preserve">Career summary</w:t>
            </w:r>
          </w:p>
        </w:tc>
      </w:tr>
      <w:tr>
        <w:tc>
          <w:tcPr>
            <w:tcW w:w="2000" w:type="dxa"/>
            <w:vAlign w:val="center"/>
          </w:tcPr>
          <w:p>
            <w:pPr>
              <w:spacing w:before="0" w:after="0"/>
              <w:jc w:val="left"/>
            </w:pPr>
            <w:r>
              <w:rPr>
                <w:sz w:val="18"/>
                <w:szCs w:val="18"/>
              </w:rPr>
              <w:t xml:space="preserve">1991-06</w:t>
            </w:r>
          </w:p>
        </w:tc>
        <w:tc>
          <w:tcPr>
            <w:tcW w:w="7072" w:type="dxa"/>
            <w:vAlign w:val="center"/>
          </w:tcPr>
          <w:p>
            <w:pPr>
              <w:spacing w:before="0" w:after="0"/>
              <w:jc w:val="left"/>
            </w:pPr>
            <w:r>
              <w:rPr>
                <w:sz w:val="18"/>
                <w:szCs w:val="18"/>
              </w:rPr>
              <w:t xml:space="preserve">Joined Nimbus Coffee, Inc. as store manager</w:t>
            </w:r>
          </w:p>
        </w:tc>
      </w:tr>
      <w:tr>
        <w:tc>
          <w:tcPr>
            <w:tcW w:w="2000" w:type="dxa"/>
            <w:vAlign w:val="center"/>
          </w:tcPr>
          <w:p>
            <w:pPr>
              <w:spacing w:before="0" w:after="0"/>
              <w:jc w:val="left"/>
            </w:pPr>
            <w:r>
              <w:rPr>
                <w:sz w:val="18"/>
                <w:szCs w:val="18"/>
              </w:rPr>
              <w:t xml:space="preserve">1997-12</w:t>
            </w:r>
          </w:p>
        </w:tc>
        <w:tc>
          <w:tcPr>
            <w:tcW w:w="7072" w:type="dxa"/>
            <w:vAlign w:val="center"/>
          </w:tcPr>
          <w:p>
            <w:pPr>
              <w:spacing w:before="0" w:after="0"/>
              <w:jc w:val="left"/>
            </w:pPr>
            <w:r>
              <w:rPr>
                <w:sz w:val="18"/>
                <w:szCs w:val="18"/>
              </w:rPr>
              <w:t xml:space="preserve">Director of Coffee Sourcing, Nimbus Coffee, Inc.</w:t>
            </w:r>
          </w:p>
        </w:tc>
      </w:tr>
      <w:tr>
        <w:tc>
          <w:tcPr>
            <w:tcW w:w="2000" w:type="dxa"/>
            <w:vAlign w:val="center"/>
          </w:tcPr>
          <w:p>
            <w:pPr>
              <w:spacing w:before="0" w:after="0"/>
              <w:jc w:val="left"/>
            </w:pPr>
            <w:r>
              <w:rPr>
                <w:sz w:val="18"/>
                <w:szCs w:val="18"/>
              </w:rPr>
              <w:t xml:space="preserve">2000-10</w:t>
            </w:r>
          </w:p>
        </w:tc>
        <w:tc>
          <w:tcPr>
            <w:tcW w:w="7072" w:type="dxa"/>
            <w:vAlign w:val="center"/>
          </w:tcPr>
          <w:p>
            <w:pPr>
              <w:spacing w:before="0" w:after="0"/>
              <w:jc w:val="left"/>
            </w:pPr>
            <w:r>
              <w:rPr>
                <w:sz w:val="18"/>
                <w:szCs w:val="18"/>
              </w:rPr>
              <w:t xml:space="preserve">Partner, Fenwick &amp; Oakes LLP (accounting firm, fictional)</w:t>
            </w:r>
          </w:p>
        </w:tc>
      </w:tr>
      <w:tr>
        <w:tc>
          <w:tcPr>
            <w:tcW w:w="2000" w:type="dxa"/>
            <w:vAlign w:val="center"/>
          </w:tcPr>
          <w:p>
            <w:pPr>
              <w:spacing w:before="0" w:after="0"/>
              <w:jc w:val="left"/>
            </w:pPr>
            <w:r>
              <w:rPr>
                <w:sz w:val="18"/>
                <w:szCs w:val="18"/>
              </w:rPr>
              <w:t xml:space="preserve">2001-08</w:t>
            </w:r>
          </w:p>
        </w:tc>
        <w:tc>
          <w:tcPr>
            <w:tcW w:w="7072" w:type="dxa"/>
            <w:vAlign w:val="center"/>
          </w:tcPr>
          <w:p>
            <w:pPr>
              <w:spacing w:before="0" w:after="0"/>
              <w:jc w:val="left"/>
            </w:pPr>
            <w:r>
              <w:rPr>
                <w:sz w:val="18"/>
                <w:szCs w:val="18"/>
              </w:rPr>
              <w:t xml:space="preserve">Buyer, Glenhaven Grocers Inc. (fictional)</w:t>
            </w:r>
          </w:p>
        </w:tc>
      </w:tr>
      <w:tr>
        <w:tc>
          <w:tcPr>
            <w:tcW w:w="2000" w:type="dxa"/>
            <w:vAlign w:val="center"/>
          </w:tcPr>
          <w:p>
            <w:pPr>
              <w:spacing w:before="0" w:after="0"/>
              <w:jc w:val="left"/>
            </w:pPr>
            <w:r>
              <w:rPr>
                <w:sz w:val="18"/>
                <w:szCs w:val="18"/>
              </w:rPr>
              <w:t xml:space="preserve">2011-08</w:t>
            </w:r>
          </w:p>
        </w:tc>
        <w:tc>
          <w:tcPr>
            <w:tcW w:w="7072" w:type="dxa"/>
            <w:vAlign w:val="center"/>
          </w:tcPr>
          <w:p>
            <w:pPr>
              <w:spacing w:before="0" w:after="0"/>
              <w:jc w:val="left"/>
            </w:pPr>
            <w:r>
              <w:rPr>
                <w:sz w:val="18"/>
                <w:szCs w:val="18"/>
              </w:rPr>
              <w:t xml:space="preserve">Professor of Business, Westridge State College (fictional)</w:t>
            </w:r>
          </w:p>
        </w:tc>
      </w:tr>
      <w:tr>
        <w:tc>
          <w:tcPr>
            <w:tcW w:w="2000" w:type="dxa"/>
            <w:vAlign w:val="center"/>
          </w:tcPr>
          <w:p>
            <w:pPr>
              <w:spacing w:before="0" w:after="0"/>
              <w:jc w:val="left"/>
            </w:pPr>
            <w:r>
              <w:rPr>
                <w:sz w:val="18"/>
                <w:szCs w:val="18"/>
              </w:rPr>
              <w:t xml:space="preserve">2022-10</w:t>
            </w:r>
          </w:p>
        </w:tc>
        <w:tc>
          <w:tcPr>
            <w:tcW w:w="7072" w:type="dxa"/>
            <w:vAlign w:val="center"/>
          </w:tcPr>
          <w:p>
            <w:pPr>
              <w:spacing w:before="0" w:after="0"/>
              <w:jc w:val="left"/>
            </w:pPr>
            <w:r>
              <w:rPr>
                <w:sz w:val="18"/>
                <w:szCs w:val="18"/>
              </w:rPr>
              <w:t xml:space="preserve">Director of Store Operations, Nimbus Coffee, Inc.</w:t>
            </w:r>
          </w:p>
        </w:tc>
      </w:tr>
    </w:tbl>
    <w:p>
      <w:pPr/>
    </w:p>
    <w:p>
      <w:pPr>
        <w:keepNext/>
      </w:pPr>
      <w:r>
        <w:rPr>
          <w:b/>
        </w:rPr>
        <w:t xml:space="preserve">General Counsel and Corporate Secretary: Dana Vance (born November 1962)</w:t>
      </w:r>
    </w:p>
    <w:tbl>
      <w:tblPr>
        <w:tblW w:w="907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72" w:type="dxa"/>
          <w:right w:w="72" w:type="dxa"/>
        </w:tblCellMar>
      </w:tblPr>
      <w:tblGrid>
        <w:gridCol w:w="2000"/>
        <w:gridCol w:w="7072"/>
      </w:tblGrid>
      <w:tr>
        <w:trPr>
          <w:tblHeader/>
        </w:trPr>
        <w:tc>
          <w:tcPr>
            <w:tcW w:w="2000" w:type="dxa"/>
            <w:shd w:val="clear" w:color="auto" w:fill="DDEBF7"/>
            <w:vAlign w:val="center"/>
          </w:tcPr>
          <w:p>
            <w:pPr>
              <w:spacing w:before="0" w:after="0"/>
              <w:jc w:val="center"/>
            </w:pPr>
            <w:r>
              <w:rPr>
                <w:b/>
                <w:sz w:val="18"/>
                <w:szCs w:val="18"/>
              </w:rPr>
              <w:t xml:space="preserve">Date</w:t>
            </w:r>
          </w:p>
        </w:tc>
        <w:tc>
          <w:tcPr>
            <w:tcW w:w="7072" w:type="dxa"/>
            <w:shd w:val="clear" w:color="auto" w:fill="DDEBF7"/>
            <w:vAlign w:val="center"/>
          </w:tcPr>
          <w:p>
            <w:pPr>
              <w:spacing w:before="0" w:after="0"/>
              <w:jc w:val="center"/>
            </w:pPr>
            <w:r>
              <w:rPr>
                <w:b/>
                <w:sz w:val="18"/>
                <w:szCs w:val="18"/>
              </w:rPr>
              <w:t xml:space="preserve">Career summary</w:t>
            </w:r>
          </w:p>
        </w:tc>
      </w:tr>
      <w:tr>
        <w:tc>
          <w:tcPr>
            <w:tcW w:w="2000" w:type="dxa"/>
            <w:vAlign w:val="center"/>
          </w:tcPr>
          <w:p>
            <w:pPr>
              <w:spacing w:before="0" w:after="0"/>
              <w:jc w:val="left"/>
            </w:pPr>
            <w:r>
              <w:rPr>
                <w:sz w:val="18"/>
                <w:szCs w:val="18"/>
              </w:rPr>
              <w:t xml:space="preserve">1986-11</w:t>
            </w:r>
          </w:p>
        </w:tc>
        <w:tc>
          <w:tcPr>
            <w:tcW w:w="7072" w:type="dxa"/>
            <w:vAlign w:val="center"/>
          </w:tcPr>
          <w:p>
            <w:pPr>
              <w:spacing w:before="0" w:after="0"/>
              <w:jc w:val="left"/>
            </w:pPr>
            <w:r>
              <w:rPr>
                <w:sz w:val="18"/>
                <w:szCs w:val="18"/>
              </w:rPr>
              <w:t xml:space="preserve">Admitted to the bar</w:t>
            </w:r>
          </w:p>
        </w:tc>
      </w:tr>
      <w:tr>
        <w:tc>
          <w:tcPr>
            <w:tcW w:w="2000" w:type="dxa"/>
            <w:vAlign w:val="center"/>
          </w:tcPr>
          <w:p>
            <w:pPr>
              <w:spacing w:before="0" w:after="0"/>
              <w:jc w:val="left"/>
            </w:pPr>
            <w:r>
              <w:rPr>
                <w:sz w:val="18"/>
                <w:szCs w:val="18"/>
              </w:rPr>
              <w:t xml:space="preserve">1992-06</w:t>
            </w:r>
          </w:p>
        </w:tc>
        <w:tc>
          <w:tcPr>
            <w:tcW w:w="7072" w:type="dxa"/>
            <w:vAlign w:val="center"/>
          </w:tcPr>
          <w:p>
            <w:pPr>
              <w:spacing w:before="0" w:after="0"/>
              <w:jc w:val="left"/>
            </w:pPr>
            <w:r>
              <w:rPr>
                <w:sz w:val="18"/>
                <w:szCs w:val="18"/>
              </w:rPr>
              <w:t xml:space="preserve">Director, Nimbus Coffee, Inc. (current)</w:t>
            </w:r>
          </w:p>
        </w:tc>
      </w:tr>
      <w:tr>
        <w:tc>
          <w:tcPr>
            <w:tcW w:w="2000" w:type="dxa"/>
            <w:vAlign w:val="center"/>
          </w:tcPr>
          <w:p>
            <w:pPr>
              <w:spacing w:before="0" w:after="0"/>
              <w:jc w:val="left"/>
            </w:pPr>
            <w:r>
              <w:rPr>
                <w:sz w:val="18"/>
                <w:szCs w:val="18"/>
              </w:rPr>
              <w:t xml:space="preserve">1992-11</w:t>
            </w:r>
          </w:p>
        </w:tc>
        <w:tc>
          <w:tcPr>
            <w:tcW w:w="7072" w:type="dxa"/>
            <w:vAlign w:val="center"/>
          </w:tcPr>
          <w:p>
            <w:pPr>
              <w:spacing w:before="0" w:after="0"/>
              <w:jc w:val="left"/>
            </w:pPr>
            <w:r>
              <w:rPr>
                <w:sz w:val="18"/>
                <w:szCs w:val="18"/>
              </w:rPr>
              <w:t xml:space="preserve">District Manager, Nimbus Coffee, Inc.</w:t>
            </w:r>
          </w:p>
        </w:tc>
      </w:tr>
      <w:tr>
        <w:tc>
          <w:tcPr>
            <w:tcW w:w="2000" w:type="dxa"/>
            <w:vAlign w:val="center"/>
          </w:tcPr>
          <w:p>
            <w:pPr>
              <w:spacing w:before="0" w:after="0"/>
              <w:jc w:val="left"/>
            </w:pPr>
            <w:r>
              <w:rPr>
                <w:sz w:val="18"/>
                <w:szCs w:val="18"/>
              </w:rPr>
              <w:t xml:space="preserve">1996-03</w:t>
            </w:r>
          </w:p>
        </w:tc>
        <w:tc>
          <w:tcPr>
            <w:tcW w:w="7072" w:type="dxa"/>
            <w:vAlign w:val="center"/>
          </w:tcPr>
          <w:p>
            <w:pPr>
              <w:spacing w:before="0" w:after="0"/>
              <w:jc w:val="left"/>
            </w:pPr>
            <w:r>
              <w:rPr>
                <w:sz w:val="18"/>
                <w:szCs w:val="18"/>
              </w:rPr>
              <w:t xml:space="preserve">Director of Store Operations, Nimbus Coffee, Inc.</w:t>
            </w:r>
          </w:p>
        </w:tc>
      </w:tr>
      <w:tr>
        <w:tc>
          <w:tcPr>
            <w:tcW w:w="2000" w:type="dxa"/>
            <w:vAlign w:val="center"/>
          </w:tcPr>
          <w:p>
            <w:pPr>
              <w:spacing w:before="0" w:after="0"/>
              <w:jc w:val="left"/>
            </w:pPr>
            <w:r>
              <w:rPr>
                <w:sz w:val="18"/>
                <w:szCs w:val="18"/>
              </w:rPr>
              <w:t xml:space="preserve">1997-11</w:t>
            </w:r>
          </w:p>
        </w:tc>
        <w:tc>
          <w:tcPr>
            <w:tcW w:w="7072" w:type="dxa"/>
            <w:vAlign w:val="center"/>
          </w:tcPr>
          <w:p>
            <w:pPr>
              <w:spacing w:before="0" w:after="0"/>
              <w:jc w:val="left"/>
            </w:pPr>
            <w:r>
              <w:rPr>
                <w:sz w:val="18"/>
                <w:szCs w:val="18"/>
              </w:rPr>
              <w:t xml:space="preserve">Buyer, Glenhaven Grocers Inc. (fictional)</w:t>
            </w:r>
          </w:p>
        </w:tc>
      </w:tr>
      <w:tr>
        <w:tc>
          <w:tcPr>
            <w:tcW w:w="2000" w:type="dxa"/>
            <w:vAlign w:val="center"/>
          </w:tcPr>
          <w:p>
            <w:pPr>
              <w:spacing w:before="0" w:after="0"/>
              <w:jc w:val="left"/>
            </w:pPr>
            <w:r>
              <w:rPr>
                <w:sz w:val="18"/>
                <w:szCs w:val="18"/>
              </w:rPr>
              <w:t xml:space="preserve">2000-03</w:t>
            </w:r>
          </w:p>
        </w:tc>
        <w:tc>
          <w:tcPr>
            <w:tcW w:w="7072" w:type="dxa"/>
            <w:vAlign w:val="center"/>
          </w:tcPr>
          <w:p>
            <w:pPr>
              <w:spacing w:before="0" w:after="0"/>
              <w:jc w:val="left"/>
            </w:pPr>
            <w:r>
              <w:rPr>
                <w:sz w:val="18"/>
                <w:szCs w:val="18"/>
              </w:rPr>
              <w:t xml:space="preserve">Regional Director, Harborview Bakeries Co. (fictional)</w:t>
            </w:r>
          </w:p>
        </w:tc>
      </w:tr>
      <w:tr>
        <w:tc>
          <w:tcPr>
            <w:tcW w:w="2000" w:type="dxa"/>
            <w:vAlign w:val="center"/>
          </w:tcPr>
          <w:p>
            <w:pPr>
              <w:spacing w:before="0" w:after="0"/>
              <w:jc w:val="left"/>
            </w:pPr>
            <w:r>
              <w:rPr>
                <w:sz w:val="18"/>
                <w:szCs w:val="18"/>
              </w:rPr>
              <w:t xml:space="preserve">2002-07</w:t>
            </w:r>
          </w:p>
        </w:tc>
        <w:tc>
          <w:tcPr>
            <w:tcW w:w="7072" w:type="dxa"/>
            <w:vAlign w:val="center"/>
          </w:tcPr>
          <w:p>
            <w:pPr>
              <w:spacing w:before="0" w:after="0"/>
              <w:jc w:val="left"/>
            </w:pPr>
            <w:r>
              <w:rPr>
                <w:sz w:val="18"/>
                <w:szCs w:val="18"/>
              </w:rPr>
              <w:t xml:space="preserve">Director of Coffee Sourcing, Nimbus Coffee, Inc.</w:t>
            </w:r>
          </w:p>
        </w:tc>
      </w:tr>
      <w:tr>
        <w:tc>
          <w:tcPr>
            <w:tcW w:w="2000" w:type="dxa"/>
            <w:vAlign w:val="center"/>
          </w:tcPr>
          <w:p>
            <w:pPr>
              <w:spacing w:before="0" w:after="0"/>
              <w:jc w:val="left"/>
            </w:pPr>
            <w:r>
              <w:rPr>
                <w:sz w:val="18"/>
                <w:szCs w:val="18"/>
              </w:rPr>
              <w:t xml:space="preserve">2003-08</w:t>
            </w:r>
          </w:p>
        </w:tc>
        <w:tc>
          <w:tcPr>
            <w:tcW w:w="7072" w:type="dxa"/>
            <w:vAlign w:val="center"/>
          </w:tcPr>
          <w:p>
            <w:pPr>
              <w:spacing w:before="0" w:after="0"/>
              <w:jc w:val="left"/>
            </w:pPr>
            <w:r>
              <w:rPr>
                <w:sz w:val="18"/>
                <w:szCs w:val="18"/>
              </w:rPr>
              <w:t xml:space="preserve">Certified public accountant</w:t>
            </w:r>
          </w:p>
        </w:tc>
      </w:tr>
      <w:tr>
        <w:tc>
          <w:tcPr>
            <w:tcW w:w="2000" w:type="dxa"/>
            <w:vAlign w:val="center"/>
          </w:tcPr>
          <w:p>
            <w:pPr>
              <w:spacing w:before="0" w:after="0"/>
              <w:jc w:val="left"/>
            </w:pPr>
            <w:r>
              <w:rPr>
                <w:sz w:val="18"/>
                <w:szCs w:val="18"/>
              </w:rPr>
              <w:t xml:space="preserve">2006-04</w:t>
            </w:r>
          </w:p>
        </w:tc>
        <w:tc>
          <w:tcPr>
            <w:tcW w:w="7072" w:type="dxa"/>
            <w:vAlign w:val="center"/>
          </w:tcPr>
          <w:p>
            <w:pPr>
              <w:spacing w:before="0" w:after="0"/>
              <w:jc w:val="left"/>
            </w:pPr>
            <w:r>
              <w:rPr>
                <w:sz w:val="18"/>
                <w:szCs w:val="18"/>
              </w:rPr>
              <w:t xml:space="preserve">Partner, Fenwick &amp; Oakes LLP (accounting firm, fictional)</w:t>
            </w:r>
          </w:p>
        </w:tc>
      </w:tr>
      <w:tr>
        <w:tc>
          <w:tcPr>
            <w:tcW w:w="2000" w:type="dxa"/>
            <w:vAlign w:val="center"/>
          </w:tcPr>
          <w:p>
            <w:pPr>
              <w:spacing w:before="0" w:after="0"/>
              <w:jc w:val="left"/>
            </w:pPr>
            <w:r>
              <w:rPr>
                <w:sz w:val="18"/>
                <w:szCs w:val="18"/>
              </w:rPr>
              <w:t xml:space="preserve">2006-10</w:t>
            </w:r>
          </w:p>
        </w:tc>
        <w:tc>
          <w:tcPr>
            <w:tcW w:w="7072" w:type="dxa"/>
            <w:vAlign w:val="center"/>
          </w:tcPr>
          <w:p>
            <w:pPr>
              <w:spacing w:before="0" w:after="0"/>
              <w:jc w:val="left"/>
            </w:pPr>
            <w:r>
              <w:rPr>
                <w:sz w:val="18"/>
                <w:szCs w:val="18"/>
              </w:rPr>
              <w:t xml:space="preserve">Head Roaster, Nimbus Coffee, Inc.</w:t>
            </w:r>
          </w:p>
        </w:tc>
      </w:tr>
      <w:tr>
        <w:tc>
          <w:tcPr>
            <w:tcW w:w="2000" w:type="dxa"/>
            <w:vAlign w:val="center"/>
          </w:tcPr>
          <w:p>
            <w:pPr>
              <w:spacing w:before="0" w:after="0"/>
              <w:jc w:val="left"/>
            </w:pPr>
            <w:r>
              <w:rPr>
                <w:sz w:val="18"/>
                <w:szCs w:val="18"/>
              </w:rPr>
              <w:t xml:space="preserve">2024-05</w:t>
            </w:r>
          </w:p>
        </w:tc>
        <w:tc>
          <w:tcPr>
            <w:tcW w:w="7072" w:type="dxa"/>
            <w:vAlign w:val="center"/>
          </w:tcPr>
          <w:p>
            <w:pPr>
              <w:spacing w:before="0" w:after="0"/>
              <w:jc w:val="left"/>
            </w:pPr>
            <w:r>
              <w:rPr>
                <w:sz w:val="18"/>
                <w:szCs w:val="18"/>
              </w:rPr>
              <w:t xml:space="preserve">Professor of Business, Westridge State College (fictional)</w:t>
            </w:r>
          </w:p>
        </w:tc>
      </w:tr>
    </w:tbl>
    <w:p>
      <w:pPr/>
    </w:p>
    <w:p>
      <w:pPr>
        <w:keepNext/>
      </w:pPr>
      <w:r>
        <w:rPr>
          <w:b/>
        </w:rPr>
        <w:t xml:space="preserve">Chief Executive Officer and Director: Logan Tate (born July 1981)</w:t>
      </w:r>
    </w:p>
    <w:tbl>
      <w:tblPr>
        <w:tblW w:w="907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72" w:type="dxa"/>
          <w:right w:w="72" w:type="dxa"/>
        </w:tblCellMar>
      </w:tblPr>
      <w:tblGrid>
        <w:gridCol w:w="2000"/>
        <w:gridCol w:w="7072"/>
      </w:tblGrid>
      <w:tr>
        <w:trPr>
          <w:tblHeader/>
        </w:trPr>
        <w:tc>
          <w:tcPr>
            <w:tcW w:w="2000" w:type="dxa"/>
            <w:shd w:val="clear" w:color="auto" w:fill="DDEBF7"/>
            <w:vAlign w:val="center"/>
          </w:tcPr>
          <w:p>
            <w:pPr>
              <w:spacing w:before="0" w:after="0"/>
              <w:jc w:val="center"/>
            </w:pPr>
            <w:r>
              <w:rPr>
                <w:b/>
                <w:sz w:val="18"/>
                <w:szCs w:val="18"/>
              </w:rPr>
              <w:t xml:space="preserve">Date</w:t>
            </w:r>
          </w:p>
        </w:tc>
        <w:tc>
          <w:tcPr>
            <w:tcW w:w="7072" w:type="dxa"/>
            <w:shd w:val="clear" w:color="auto" w:fill="DDEBF7"/>
            <w:vAlign w:val="center"/>
          </w:tcPr>
          <w:p>
            <w:pPr>
              <w:spacing w:before="0" w:after="0"/>
              <w:jc w:val="center"/>
            </w:pPr>
            <w:r>
              <w:rPr>
                <w:b/>
                <w:sz w:val="18"/>
                <w:szCs w:val="18"/>
              </w:rPr>
              <w:t xml:space="preserve">Career summary</w:t>
            </w:r>
          </w:p>
        </w:tc>
      </w:tr>
      <w:tr>
        <w:tc>
          <w:tcPr>
            <w:tcW w:w="2000" w:type="dxa"/>
            <w:vAlign w:val="center"/>
          </w:tcPr>
          <w:p>
            <w:pPr>
              <w:spacing w:before="0" w:after="0"/>
              <w:jc w:val="left"/>
            </w:pPr>
            <w:r>
              <w:rPr>
                <w:sz w:val="18"/>
                <w:szCs w:val="18"/>
              </w:rPr>
              <w:t xml:space="preserve">1986-06</w:t>
            </w:r>
          </w:p>
        </w:tc>
        <w:tc>
          <w:tcPr>
            <w:tcW w:w="7072" w:type="dxa"/>
            <w:vAlign w:val="center"/>
          </w:tcPr>
          <w:p>
            <w:pPr>
              <w:spacing w:before="0" w:after="0"/>
              <w:jc w:val="left"/>
            </w:pPr>
            <w:r>
              <w:rPr>
                <w:sz w:val="18"/>
                <w:szCs w:val="18"/>
              </w:rPr>
              <w:t xml:space="preserve">District Manager, Nimbus Coffee, Inc.</w:t>
            </w:r>
          </w:p>
        </w:tc>
      </w:tr>
      <w:tr>
        <w:tc>
          <w:tcPr>
            <w:tcW w:w="2000" w:type="dxa"/>
            <w:vAlign w:val="center"/>
          </w:tcPr>
          <w:p>
            <w:pPr>
              <w:spacing w:before="0" w:after="0"/>
              <w:jc w:val="left"/>
            </w:pPr>
            <w:r>
              <w:rPr>
                <w:sz w:val="18"/>
                <w:szCs w:val="18"/>
              </w:rPr>
              <w:t xml:space="preserve">1995-09</w:t>
            </w:r>
          </w:p>
        </w:tc>
        <w:tc>
          <w:tcPr>
            <w:tcW w:w="7072" w:type="dxa"/>
            <w:vAlign w:val="center"/>
          </w:tcPr>
          <w:p>
            <w:pPr>
              <w:spacing w:before="0" w:after="0"/>
              <w:jc w:val="left"/>
            </w:pPr>
            <w:r>
              <w:rPr>
                <w:sz w:val="18"/>
                <w:szCs w:val="18"/>
              </w:rPr>
              <w:t xml:space="preserve">Controller, Nimbus Coffee, Inc.</w:t>
            </w:r>
          </w:p>
        </w:tc>
      </w:tr>
      <w:tr>
        <w:tc>
          <w:tcPr>
            <w:tcW w:w="2000" w:type="dxa"/>
            <w:vAlign w:val="center"/>
          </w:tcPr>
          <w:p>
            <w:pPr>
              <w:spacing w:before="0" w:after="0"/>
              <w:jc w:val="left"/>
            </w:pPr>
            <w:r>
              <w:rPr>
                <w:sz w:val="18"/>
                <w:szCs w:val="18"/>
              </w:rPr>
              <w:t xml:space="preserve">1996-04</w:t>
            </w:r>
          </w:p>
        </w:tc>
        <w:tc>
          <w:tcPr>
            <w:tcW w:w="7072" w:type="dxa"/>
            <w:vAlign w:val="center"/>
          </w:tcPr>
          <w:p>
            <w:pPr>
              <w:spacing w:before="0" w:after="0"/>
              <w:jc w:val="left"/>
            </w:pPr>
            <w:r>
              <w:rPr>
                <w:sz w:val="18"/>
                <w:szCs w:val="18"/>
              </w:rPr>
              <w:t xml:space="preserve">Buyer, Glenhaven Grocers Inc. (fictional)</w:t>
            </w:r>
          </w:p>
        </w:tc>
      </w:tr>
      <w:tr>
        <w:tc>
          <w:tcPr>
            <w:tcW w:w="2000" w:type="dxa"/>
            <w:vAlign w:val="center"/>
          </w:tcPr>
          <w:p>
            <w:pPr>
              <w:spacing w:before="0" w:after="0"/>
              <w:jc w:val="left"/>
            </w:pPr>
            <w:r>
              <w:rPr>
                <w:sz w:val="18"/>
                <w:szCs w:val="18"/>
              </w:rPr>
              <w:t xml:space="preserve">2002-03</w:t>
            </w:r>
          </w:p>
        </w:tc>
        <w:tc>
          <w:tcPr>
            <w:tcW w:w="7072" w:type="dxa"/>
            <w:vAlign w:val="center"/>
          </w:tcPr>
          <w:p>
            <w:pPr>
              <w:spacing w:before="0" w:after="0"/>
              <w:jc w:val="left"/>
            </w:pPr>
            <w:r>
              <w:rPr>
                <w:sz w:val="18"/>
                <w:szCs w:val="18"/>
              </w:rPr>
              <w:t xml:space="preserve">Certified public accountant</w:t>
            </w:r>
          </w:p>
        </w:tc>
      </w:tr>
      <w:tr>
        <w:tc>
          <w:tcPr>
            <w:tcW w:w="2000" w:type="dxa"/>
            <w:vAlign w:val="center"/>
          </w:tcPr>
          <w:p>
            <w:pPr>
              <w:spacing w:before="0" w:after="0"/>
              <w:jc w:val="left"/>
            </w:pPr>
            <w:r>
              <w:rPr>
                <w:sz w:val="18"/>
                <w:szCs w:val="18"/>
              </w:rPr>
              <w:t xml:space="preserve">2004-06</w:t>
            </w:r>
          </w:p>
        </w:tc>
        <w:tc>
          <w:tcPr>
            <w:tcW w:w="7072" w:type="dxa"/>
            <w:vAlign w:val="center"/>
          </w:tcPr>
          <w:p>
            <w:pPr>
              <w:spacing w:before="0" w:after="0"/>
              <w:jc w:val="left"/>
            </w:pPr>
            <w:r>
              <w:rPr>
                <w:sz w:val="18"/>
                <w:szCs w:val="18"/>
              </w:rPr>
              <w:t xml:space="preserve">Head Roaster, Nimbus Coffee, Inc.</w:t>
            </w:r>
          </w:p>
        </w:tc>
      </w:tr>
      <w:tr>
        <w:tc>
          <w:tcPr>
            <w:tcW w:w="2000" w:type="dxa"/>
            <w:vAlign w:val="center"/>
          </w:tcPr>
          <w:p>
            <w:pPr>
              <w:spacing w:before="0" w:after="0"/>
              <w:jc w:val="left"/>
            </w:pPr>
            <w:r>
              <w:rPr>
                <w:sz w:val="18"/>
                <w:szCs w:val="18"/>
              </w:rPr>
              <w:t xml:space="preserve">2009-08</w:t>
            </w:r>
          </w:p>
        </w:tc>
        <w:tc>
          <w:tcPr>
            <w:tcW w:w="7072" w:type="dxa"/>
            <w:vAlign w:val="center"/>
          </w:tcPr>
          <w:p>
            <w:pPr>
              <w:spacing w:before="0" w:after="0"/>
              <w:jc w:val="left"/>
            </w:pPr>
            <w:r>
              <w:rPr>
                <w:sz w:val="18"/>
                <w:szCs w:val="18"/>
              </w:rPr>
              <w:t xml:space="preserve">Vice President, Nimbus Coffee, Inc.</w:t>
            </w:r>
          </w:p>
        </w:tc>
      </w:tr>
      <w:tr>
        <w:tc>
          <w:tcPr>
            <w:tcW w:w="2000" w:type="dxa"/>
            <w:vAlign w:val="center"/>
          </w:tcPr>
          <w:p>
            <w:pPr>
              <w:spacing w:before="0" w:after="0"/>
              <w:jc w:val="left"/>
            </w:pPr>
            <w:r>
              <w:rPr>
                <w:sz w:val="18"/>
                <w:szCs w:val="18"/>
              </w:rPr>
              <w:t xml:space="preserve">2012-06</w:t>
            </w:r>
          </w:p>
        </w:tc>
        <w:tc>
          <w:tcPr>
            <w:tcW w:w="7072" w:type="dxa"/>
            <w:vAlign w:val="center"/>
          </w:tcPr>
          <w:p>
            <w:pPr>
              <w:spacing w:before="0" w:after="0"/>
              <w:jc w:val="left"/>
            </w:pPr>
            <w:r>
              <w:rPr>
                <w:sz w:val="18"/>
                <w:szCs w:val="18"/>
              </w:rPr>
              <w:t xml:space="preserve">Admitted to the bar</w:t>
            </w:r>
          </w:p>
        </w:tc>
      </w:tr>
      <w:tr>
        <w:tc>
          <w:tcPr>
            <w:tcW w:w="2000" w:type="dxa"/>
            <w:vAlign w:val="center"/>
          </w:tcPr>
          <w:p>
            <w:pPr>
              <w:spacing w:before="0" w:after="0"/>
              <w:jc w:val="left"/>
            </w:pPr>
            <w:r>
              <w:rPr>
                <w:sz w:val="18"/>
                <w:szCs w:val="18"/>
              </w:rPr>
              <w:t xml:space="preserve">2012-12</w:t>
            </w:r>
          </w:p>
        </w:tc>
        <w:tc>
          <w:tcPr>
            <w:tcW w:w="7072" w:type="dxa"/>
            <w:vAlign w:val="center"/>
          </w:tcPr>
          <w:p>
            <w:pPr>
              <w:spacing w:before="0" w:after="0"/>
              <w:jc w:val="left"/>
            </w:pPr>
            <w:r>
              <w:rPr>
                <w:sz w:val="18"/>
                <w:szCs w:val="18"/>
              </w:rPr>
              <w:t xml:space="preserve">Director of Store Operations, Nimbus Coffee, Inc.</w:t>
            </w:r>
          </w:p>
        </w:tc>
      </w:tr>
      <w:tr>
        <w:tc>
          <w:tcPr>
            <w:tcW w:w="2000" w:type="dxa"/>
            <w:vAlign w:val="center"/>
          </w:tcPr>
          <w:p>
            <w:pPr>
              <w:spacing w:before="0" w:after="0"/>
              <w:jc w:val="left"/>
            </w:pPr>
            <w:r>
              <w:rPr>
                <w:sz w:val="18"/>
                <w:szCs w:val="18"/>
              </w:rPr>
              <w:t xml:space="preserve">2023-06</w:t>
            </w:r>
          </w:p>
        </w:tc>
        <w:tc>
          <w:tcPr>
            <w:tcW w:w="7072" w:type="dxa"/>
            <w:vAlign w:val="center"/>
          </w:tcPr>
          <w:p>
            <w:pPr>
              <w:spacing w:before="0" w:after="0"/>
              <w:jc w:val="left"/>
            </w:pPr>
            <w:r>
              <w:rPr>
                <w:sz w:val="18"/>
                <w:szCs w:val="18"/>
              </w:rPr>
              <w:t xml:space="preserve">Director of Coffee Sourcing, Nimbus Coffee, Inc.</w:t>
            </w:r>
          </w:p>
        </w:tc>
      </w:tr>
      <w:tr>
        <w:tc>
          <w:tcPr>
            <w:tcW w:w="2000" w:type="dxa"/>
            <w:vAlign w:val="center"/>
          </w:tcPr>
          <w:p>
            <w:pPr>
              <w:spacing w:before="0" w:after="0"/>
              <w:jc w:val="left"/>
            </w:pPr>
            <w:r>
              <w:rPr>
                <w:sz w:val="18"/>
                <w:szCs w:val="18"/>
              </w:rPr>
              <w:t xml:space="preserve">2025-09</w:t>
            </w:r>
          </w:p>
        </w:tc>
        <w:tc>
          <w:tcPr>
            <w:tcW w:w="7072" w:type="dxa"/>
            <w:vAlign w:val="center"/>
          </w:tcPr>
          <w:p>
            <w:pPr>
              <w:spacing w:before="0" w:after="0"/>
              <w:jc w:val="left"/>
            </w:pPr>
            <w:r>
              <w:rPr>
                <w:sz w:val="18"/>
                <w:szCs w:val="18"/>
              </w:rPr>
              <w:t xml:space="preserve">Director, Nimbus Coffee, Inc. (current)</w:t>
            </w:r>
          </w:p>
        </w:tc>
      </w:tr>
    </w:tbl>
    <w:p>
      <w:pPr/>
    </w:p>
    <w:p>
      <w:pPr>
        <w:keepNext/>
      </w:pPr>
      <w:r>
        <w:rPr>
          <w:b/>
        </w:rPr>
        <w:t xml:space="preserve">President and Chief Operating Officer: Quinn Vance (born February 1965)</w:t>
      </w:r>
    </w:p>
    <w:tbl>
      <w:tblPr>
        <w:tblW w:w="907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72" w:type="dxa"/>
          <w:right w:w="72" w:type="dxa"/>
        </w:tblCellMar>
      </w:tblPr>
      <w:tblGrid>
        <w:gridCol w:w="2000"/>
        <w:gridCol w:w="7072"/>
      </w:tblGrid>
      <w:tr>
        <w:trPr>
          <w:tblHeader/>
        </w:trPr>
        <w:tc>
          <w:tcPr>
            <w:tcW w:w="2000" w:type="dxa"/>
            <w:shd w:val="clear" w:color="auto" w:fill="DDEBF7"/>
            <w:vAlign w:val="center"/>
          </w:tcPr>
          <w:p>
            <w:pPr>
              <w:spacing w:before="0" w:after="0"/>
              <w:jc w:val="center"/>
            </w:pPr>
            <w:r>
              <w:rPr>
                <w:b/>
                <w:sz w:val="18"/>
                <w:szCs w:val="18"/>
              </w:rPr>
              <w:t xml:space="preserve">Date</w:t>
            </w:r>
          </w:p>
        </w:tc>
        <w:tc>
          <w:tcPr>
            <w:tcW w:w="7072" w:type="dxa"/>
            <w:shd w:val="clear" w:color="auto" w:fill="DDEBF7"/>
            <w:vAlign w:val="center"/>
          </w:tcPr>
          <w:p>
            <w:pPr>
              <w:spacing w:before="0" w:after="0"/>
              <w:jc w:val="center"/>
            </w:pPr>
            <w:r>
              <w:rPr>
                <w:b/>
                <w:sz w:val="18"/>
                <w:szCs w:val="18"/>
              </w:rPr>
              <w:t xml:space="preserve">Career summary</w:t>
            </w:r>
          </w:p>
        </w:tc>
      </w:tr>
      <w:tr>
        <w:tc>
          <w:tcPr>
            <w:tcW w:w="2000" w:type="dxa"/>
            <w:vAlign w:val="center"/>
          </w:tcPr>
          <w:p>
            <w:pPr>
              <w:spacing w:before="0" w:after="0"/>
              <w:jc w:val="left"/>
            </w:pPr>
            <w:r>
              <w:rPr>
                <w:sz w:val="18"/>
                <w:szCs w:val="18"/>
              </w:rPr>
              <w:t xml:space="preserve">1987-10</w:t>
            </w:r>
          </w:p>
        </w:tc>
        <w:tc>
          <w:tcPr>
            <w:tcW w:w="7072" w:type="dxa"/>
            <w:vAlign w:val="center"/>
          </w:tcPr>
          <w:p>
            <w:pPr>
              <w:spacing w:before="0" w:after="0"/>
              <w:jc w:val="left"/>
            </w:pPr>
            <w:r>
              <w:rPr>
                <w:sz w:val="18"/>
                <w:szCs w:val="18"/>
              </w:rPr>
              <w:t xml:space="preserve">Vice President, Nimbus Coffee, Inc.</w:t>
            </w:r>
          </w:p>
        </w:tc>
      </w:tr>
      <w:tr>
        <w:tc>
          <w:tcPr>
            <w:tcW w:w="2000" w:type="dxa"/>
            <w:vAlign w:val="center"/>
          </w:tcPr>
          <w:p>
            <w:pPr>
              <w:spacing w:before="0" w:after="0"/>
              <w:jc w:val="left"/>
            </w:pPr>
            <w:r>
              <w:rPr>
                <w:sz w:val="18"/>
                <w:szCs w:val="18"/>
              </w:rPr>
              <w:t xml:space="preserve">1989-03</w:t>
            </w:r>
          </w:p>
        </w:tc>
        <w:tc>
          <w:tcPr>
            <w:tcW w:w="7072" w:type="dxa"/>
            <w:vAlign w:val="center"/>
          </w:tcPr>
          <w:p>
            <w:pPr>
              <w:spacing w:before="0" w:after="0"/>
              <w:jc w:val="left"/>
            </w:pPr>
            <w:r>
              <w:rPr>
                <w:sz w:val="18"/>
                <w:szCs w:val="18"/>
              </w:rPr>
              <w:t xml:space="preserve">Joined Nimbus Coffee, Inc. as store manager</w:t>
            </w:r>
          </w:p>
        </w:tc>
      </w:tr>
      <w:tr>
        <w:tc>
          <w:tcPr>
            <w:tcW w:w="2000" w:type="dxa"/>
            <w:vAlign w:val="center"/>
          </w:tcPr>
          <w:p>
            <w:pPr>
              <w:spacing w:before="0" w:after="0"/>
              <w:jc w:val="left"/>
            </w:pPr>
            <w:r>
              <w:rPr>
                <w:sz w:val="18"/>
                <w:szCs w:val="18"/>
              </w:rPr>
              <w:t xml:space="preserve">1992-01</w:t>
            </w:r>
          </w:p>
        </w:tc>
        <w:tc>
          <w:tcPr>
            <w:tcW w:w="7072" w:type="dxa"/>
            <w:vAlign w:val="center"/>
          </w:tcPr>
          <w:p>
            <w:pPr>
              <w:spacing w:before="0" w:after="0"/>
              <w:jc w:val="left"/>
            </w:pPr>
            <w:r>
              <w:rPr>
                <w:sz w:val="18"/>
                <w:szCs w:val="18"/>
              </w:rPr>
              <w:t xml:space="preserve">Certified public accountant</w:t>
            </w:r>
          </w:p>
        </w:tc>
      </w:tr>
      <w:tr>
        <w:tc>
          <w:tcPr>
            <w:tcW w:w="2000" w:type="dxa"/>
            <w:vAlign w:val="center"/>
          </w:tcPr>
          <w:p>
            <w:pPr>
              <w:spacing w:before="0" w:after="0"/>
              <w:jc w:val="left"/>
            </w:pPr>
            <w:r>
              <w:rPr>
                <w:sz w:val="18"/>
                <w:szCs w:val="18"/>
              </w:rPr>
              <w:t xml:space="preserve">1992-10</w:t>
            </w:r>
          </w:p>
        </w:tc>
        <w:tc>
          <w:tcPr>
            <w:tcW w:w="7072" w:type="dxa"/>
            <w:vAlign w:val="center"/>
          </w:tcPr>
          <w:p>
            <w:pPr>
              <w:spacing w:before="0" w:after="0"/>
              <w:jc w:val="left"/>
            </w:pPr>
            <w:r>
              <w:rPr>
                <w:sz w:val="18"/>
                <w:szCs w:val="18"/>
              </w:rPr>
              <w:t xml:space="preserve">Head Roaster, Nimbus Coffee, Inc.</w:t>
            </w:r>
          </w:p>
        </w:tc>
      </w:tr>
      <w:tr>
        <w:tc>
          <w:tcPr>
            <w:tcW w:w="2000" w:type="dxa"/>
            <w:vAlign w:val="center"/>
          </w:tcPr>
          <w:p>
            <w:pPr>
              <w:spacing w:before="0" w:after="0"/>
              <w:jc w:val="left"/>
            </w:pPr>
            <w:r>
              <w:rPr>
                <w:sz w:val="18"/>
                <w:szCs w:val="18"/>
              </w:rPr>
              <w:t xml:space="preserve">1994-06</w:t>
            </w:r>
          </w:p>
        </w:tc>
        <w:tc>
          <w:tcPr>
            <w:tcW w:w="7072" w:type="dxa"/>
            <w:vAlign w:val="center"/>
          </w:tcPr>
          <w:p>
            <w:pPr>
              <w:spacing w:before="0" w:after="0"/>
              <w:jc w:val="left"/>
            </w:pPr>
            <w:r>
              <w:rPr>
                <w:sz w:val="18"/>
                <w:szCs w:val="18"/>
              </w:rPr>
              <w:t xml:space="preserve">Partner, Fenwick &amp; Oakes LLP (accounting firm, fictional)</w:t>
            </w:r>
          </w:p>
        </w:tc>
      </w:tr>
      <w:tr>
        <w:tc>
          <w:tcPr>
            <w:tcW w:w="2000" w:type="dxa"/>
            <w:vAlign w:val="center"/>
          </w:tcPr>
          <w:p>
            <w:pPr>
              <w:spacing w:before="0" w:after="0"/>
              <w:jc w:val="left"/>
            </w:pPr>
            <w:r>
              <w:rPr>
                <w:sz w:val="18"/>
                <w:szCs w:val="18"/>
              </w:rPr>
              <w:t xml:space="preserve">1995-11</w:t>
            </w:r>
          </w:p>
        </w:tc>
        <w:tc>
          <w:tcPr>
            <w:tcW w:w="7072" w:type="dxa"/>
            <w:vAlign w:val="center"/>
          </w:tcPr>
          <w:p>
            <w:pPr>
              <w:spacing w:before="0" w:after="0"/>
              <w:jc w:val="left"/>
            </w:pPr>
            <w:r>
              <w:rPr>
                <w:sz w:val="18"/>
                <w:szCs w:val="18"/>
              </w:rPr>
              <w:t xml:space="preserve">Buyer, Glenhaven Grocers Inc. (fictional)</w:t>
            </w:r>
          </w:p>
        </w:tc>
      </w:tr>
      <w:tr>
        <w:tc>
          <w:tcPr>
            <w:tcW w:w="2000" w:type="dxa"/>
            <w:vAlign w:val="center"/>
          </w:tcPr>
          <w:p>
            <w:pPr>
              <w:spacing w:before="0" w:after="0"/>
              <w:jc w:val="left"/>
            </w:pPr>
            <w:r>
              <w:rPr>
                <w:sz w:val="18"/>
                <w:szCs w:val="18"/>
              </w:rPr>
              <w:t xml:space="preserve">2000-12</w:t>
            </w:r>
          </w:p>
        </w:tc>
        <w:tc>
          <w:tcPr>
            <w:tcW w:w="7072" w:type="dxa"/>
            <w:vAlign w:val="center"/>
          </w:tcPr>
          <w:p>
            <w:pPr>
              <w:spacing w:before="0" w:after="0"/>
              <w:jc w:val="left"/>
            </w:pPr>
            <w:r>
              <w:rPr>
                <w:sz w:val="18"/>
                <w:szCs w:val="18"/>
              </w:rPr>
              <w:t xml:space="preserve">Professor of Business, Westridge State College (fictional)</w:t>
            </w:r>
          </w:p>
        </w:tc>
      </w:tr>
      <w:tr>
        <w:tc>
          <w:tcPr>
            <w:tcW w:w="2000" w:type="dxa"/>
            <w:vAlign w:val="center"/>
          </w:tcPr>
          <w:p>
            <w:pPr>
              <w:spacing w:before="0" w:after="0"/>
              <w:jc w:val="left"/>
            </w:pPr>
            <w:r>
              <w:rPr>
                <w:sz w:val="18"/>
                <w:szCs w:val="18"/>
              </w:rPr>
              <w:t xml:space="preserve">2002-04</w:t>
            </w:r>
          </w:p>
        </w:tc>
        <w:tc>
          <w:tcPr>
            <w:tcW w:w="7072" w:type="dxa"/>
            <w:vAlign w:val="center"/>
          </w:tcPr>
          <w:p>
            <w:pPr>
              <w:spacing w:before="0" w:after="0"/>
              <w:jc w:val="left"/>
            </w:pPr>
            <w:r>
              <w:rPr>
                <w:sz w:val="18"/>
                <w:szCs w:val="18"/>
              </w:rPr>
              <w:t xml:space="preserve">Admitted to the bar</w:t>
            </w:r>
          </w:p>
        </w:tc>
      </w:tr>
      <w:tr>
        <w:tc>
          <w:tcPr>
            <w:tcW w:w="2000" w:type="dxa"/>
            <w:vAlign w:val="center"/>
          </w:tcPr>
          <w:p>
            <w:pPr>
              <w:spacing w:before="0" w:after="0"/>
              <w:jc w:val="left"/>
            </w:pPr>
            <w:r>
              <w:rPr>
                <w:sz w:val="18"/>
                <w:szCs w:val="18"/>
              </w:rPr>
              <w:t xml:space="preserve">2007-11</w:t>
            </w:r>
          </w:p>
        </w:tc>
        <w:tc>
          <w:tcPr>
            <w:tcW w:w="7072" w:type="dxa"/>
            <w:vAlign w:val="center"/>
          </w:tcPr>
          <w:p>
            <w:pPr>
              <w:spacing w:before="0" w:after="0"/>
              <w:jc w:val="left"/>
            </w:pPr>
            <w:r>
              <w:rPr>
                <w:sz w:val="18"/>
                <w:szCs w:val="18"/>
              </w:rPr>
              <w:t xml:space="preserve">District Manager, Nimbus Coffee, Inc.</w:t>
            </w:r>
          </w:p>
        </w:tc>
      </w:tr>
      <w:tr>
        <w:tc>
          <w:tcPr>
            <w:tcW w:w="2000" w:type="dxa"/>
            <w:vAlign w:val="center"/>
          </w:tcPr>
          <w:p>
            <w:pPr>
              <w:spacing w:before="0" w:after="0"/>
              <w:jc w:val="left"/>
            </w:pPr>
            <w:r>
              <w:rPr>
                <w:sz w:val="18"/>
                <w:szCs w:val="18"/>
              </w:rPr>
              <w:t xml:space="preserve">2011-12</w:t>
            </w:r>
          </w:p>
        </w:tc>
        <w:tc>
          <w:tcPr>
            <w:tcW w:w="7072" w:type="dxa"/>
            <w:vAlign w:val="center"/>
          </w:tcPr>
          <w:p>
            <w:pPr>
              <w:spacing w:before="0" w:after="0"/>
              <w:jc w:val="left"/>
            </w:pPr>
            <w:r>
              <w:rPr>
                <w:sz w:val="18"/>
                <w:szCs w:val="18"/>
              </w:rPr>
              <w:t xml:space="preserve">Director of Store Operations, Nimbus Coffee, Inc.</w:t>
            </w:r>
          </w:p>
        </w:tc>
      </w:tr>
      <w:tr>
        <w:tc>
          <w:tcPr>
            <w:tcW w:w="2000" w:type="dxa"/>
            <w:vAlign w:val="center"/>
          </w:tcPr>
          <w:p>
            <w:pPr>
              <w:spacing w:before="0" w:after="0"/>
              <w:jc w:val="left"/>
            </w:pPr>
            <w:r>
              <w:rPr>
                <w:sz w:val="18"/>
                <w:szCs w:val="18"/>
              </w:rPr>
              <w:t xml:space="preserve">2012-05</w:t>
            </w:r>
          </w:p>
        </w:tc>
        <w:tc>
          <w:tcPr>
            <w:tcW w:w="7072" w:type="dxa"/>
            <w:vAlign w:val="center"/>
          </w:tcPr>
          <w:p>
            <w:pPr>
              <w:spacing w:before="0" w:after="0"/>
              <w:jc w:val="left"/>
            </w:pPr>
            <w:r>
              <w:rPr>
                <w:sz w:val="18"/>
                <w:szCs w:val="18"/>
              </w:rPr>
              <w:t xml:space="preserve">Regional Director, Harborview Bakeries Co. (fictional)</w:t>
            </w:r>
          </w:p>
        </w:tc>
      </w:tr>
      <w:tr>
        <w:tc>
          <w:tcPr>
            <w:tcW w:w="2000" w:type="dxa"/>
            <w:vAlign w:val="center"/>
          </w:tcPr>
          <w:p>
            <w:pPr>
              <w:spacing w:before="0" w:after="0"/>
              <w:jc w:val="left"/>
            </w:pPr>
            <w:r>
              <w:rPr>
                <w:sz w:val="18"/>
                <w:szCs w:val="18"/>
              </w:rPr>
              <w:t xml:space="preserve">2025-05</w:t>
            </w:r>
          </w:p>
        </w:tc>
        <w:tc>
          <w:tcPr>
            <w:tcW w:w="7072" w:type="dxa"/>
            <w:vAlign w:val="center"/>
          </w:tcPr>
          <w:p>
            <w:pPr>
              <w:spacing w:before="0" w:after="0"/>
              <w:jc w:val="left"/>
            </w:pPr>
            <w:r>
              <w:rPr>
                <w:sz w:val="18"/>
                <w:szCs w:val="18"/>
              </w:rPr>
              <w:t xml:space="preserve">Director of Coffee Sourcing, Nimbus Coffee, Inc.</w:t>
            </w:r>
          </w:p>
        </w:tc>
      </w:tr>
    </w:tbl>
    <w:p>
      <w:pPr/>
    </w:p>
    <w:p>
      <w:pPr>
        <w:keepNext/>
      </w:pPr>
      <w:r>
        <w:rPr>
          <w:b/>
        </w:rPr>
        <w:t xml:space="preserve">Chief Financial Officer and Director: Finley Kessler (born June 1988)</w:t>
      </w:r>
    </w:p>
    <w:tbl>
      <w:tblPr>
        <w:tblW w:w="907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72" w:type="dxa"/>
          <w:right w:w="72" w:type="dxa"/>
        </w:tblCellMar>
      </w:tblPr>
      <w:tblGrid>
        <w:gridCol w:w="2000"/>
        <w:gridCol w:w="7072"/>
      </w:tblGrid>
      <w:tr>
        <w:trPr>
          <w:tblHeader/>
        </w:trPr>
        <w:tc>
          <w:tcPr>
            <w:tcW w:w="2000" w:type="dxa"/>
            <w:shd w:val="clear" w:color="auto" w:fill="DDEBF7"/>
            <w:vAlign w:val="center"/>
          </w:tcPr>
          <w:p>
            <w:pPr>
              <w:spacing w:before="0" w:after="0"/>
              <w:jc w:val="center"/>
            </w:pPr>
            <w:r>
              <w:rPr>
                <w:b/>
                <w:sz w:val="18"/>
                <w:szCs w:val="18"/>
              </w:rPr>
              <w:t xml:space="preserve">Date</w:t>
            </w:r>
          </w:p>
        </w:tc>
        <w:tc>
          <w:tcPr>
            <w:tcW w:w="7072" w:type="dxa"/>
            <w:shd w:val="clear" w:color="auto" w:fill="DDEBF7"/>
            <w:vAlign w:val="center"/>
          </w:tcPr>
          <w:p>
            <w:pPr>
              <w:spacing w:before="0" w:after="0"/>
              <w:jc w:val="center"/>
            </w:pPr>
            <w:r>
              <w:rPr>
                <w:b/>
                <w:sz w:val="18"/>
                <w:szCs w:val="18"/>
              </w:rPr>
              <w:t xml:space="preserve">Career summary</w:t>
            </w:r>
          </w:p>
        </w:tc>
      </w:tr>
      <w:tr>
        <w:tc>
          <w:tcPr>
            <w:tcW w:w="2000" w:type="dxa"/>
            <w:vAlign w:val="center"/>
          </w:tcPr>
          <w:p>
            <w:pPr>
              <w:spacing w:before="0" w:after="0"/>
              <w:jc w:val="left"/>
            </w:pPr>
            <w:r>
              <w:rPr>
                <w:sz w:val="18"/>
                <w:szCs w:val="18"/>
              </w:rPr>
              <w:t xml:space="preserve">1985-11</w:t>
            </w:r>
          </w:p>
        </w:tc>
        <w:tc>
          <w:tcPr>
            <w:tcW w:w="7072" w:type="dxa"/>
            <w:vAlign w:val="center"/>
          </w:tcPr>
          <w:p>
            <w:pPr>
              <w:spacing w:before="0" w:after="0"/>
              <w:jc w:val="left"/>
            </w:pPr>
            <w:r>
              <w:rPr>
                <w:sz w:val="18"/>
                <w:szCs w:val="18"/>
              </w:rPr>
              <w:t xml:space="preserve">Certified public accountant</w:t>
            </w:r>
          </w:p>
        </w:tc>
      </w:tr>
      <w:tr>
        <w:tc>
          <w:tcPr>
            <w:tcW w:w="2000" w:type="dxa"/>
            <w:vAlign w:val="center"/>
          </w:tcPr>
          <w:p>
            <w:pPr>
              <w:spacing w:before="0" w:after="0"/>
              <w:jc w:val="left"/>
            </w:pPr>
            <w:r>
              <w:rPr>
                <w:sz w:val="18"/>
                <w:szCs w:val="18"/>
              </w:rPr>
              <w:t xml:space="preserve">1988-02</w:t>
            </w:r>
          </w:p>
        </w:tc>
        <w:tc>
          <w:tcPr>
            <w:tcW w:w="7072" w:type="dxa"/>
            <w:vAlign w:val="center"/>
          </w:tcPr>
          <w:p>
            <w:pPr>
              <w:spacing w:before="0" w:after="0"/>
              <w:jc w:val="left"/>
            </w:pPr>
            <w:r>
              <w:rPr>
                <w:sz w:val="18"/>
                <w:szCs w:val="18"/>
              </w:rPr>
              <w:t xml:space="preserve">Joined Nimbus Coffee, Inc. as store manager</w:t>
            </w:r>
          </w:p>
        </w:tc>
      </w:tr>
      <w:tr>
        <w:tc>
          <w:tcPr>
            <w:tcW w:w="2000" w:type="dxa"/>
            <w:vAlign w:val="center"/>
          </w:tcPr>
          <w:p>
            <w:pPr>
              <w:spacing w:before="0" w:after="0"/>
              <w:jc w:val="left"/>
            </w:pPr>
            <w:r>
              <w:rPr>
                <w:sz w:val="18"/>
                <w:szCs w:val="18"/>
              </w:rPr>
              <w:t xml:space="preserve">1991-04</w:t>
            </w:r>
          </w:p>
        </w:tc>
        <w:tc>
          <w:tcPr>
            <w:tcW w:w="7072" w:type="dxa"/>
            <w:vAlign w:val="center"/>
          </w:tcPr>
          <w:p>
            <w:pPr>
              <w:spacing w:before="0" w:after="0"/>
              <w:jc w:val="left"/>
            </w:pPr>
            <w:r>
              <w:rPr>
                <w:sz w:val="18"/>
                <w:szCs w:val="18"/>
              </w:rPr>
              <w:t xml:space="preserve">District Manager, Nimbus Coffee, Inc.</w:t>
            </w:r>
          </w:p>
        </w:tc>
      </w:tr>
      <w:tr>
        <w:tc>
          <w:tcPr>
            <w:tcW w:w="2000" w:type="dxa"/>
            <w:vAlign w:val="center"/>
          </w:tcPr>
          <w:p>
            <w:pPr>
              <w:spacing w:before="0" w:after="0"/>
              <w:jc w:val="left"/>
            </w:pPr>
            <w:r>
              <w:rPr>
                <w:sz w:val="18"/>
                <w:szCs w:val="18"/>
              </w:rPr>
              <w:t xml:space="preserve">1998-08</w:t>
            </w:r>
          </w:p>
        </w:tc>
        <w:tc>
          <w:tcPr>
            <w:tcW w:w="7072" w:type="dxa"/>
            <w:vAlign w:val="center"/>
          </w:tcPr>
          <w:p>
            <w:pPr>
              <w:spacing w:before="0" w:after="0"/>
              <w:jc w:val="left"/>
            </w:pPr>
            <w:r>
              <w:rPr>
                <w:sz w:val="18"/>
                <w:szCs w:val="18"/>
              </w:rPr>
              <w:t xml:space="preserve">Head Roaster, Nimbus Coffee, Inc.</w:t>
            </w:r>
          </w:p>
        </w:tc>
      </w:tr>
      <w:tr>
        <w:tc>
          <w:tcPr>
            <w:tcW w:w="2000" w:type="dxa"/>
            <w:vAlign w:val="center"/>
          </w:tcPr>
          <w:p>
            <w:pPr>
              <w:spacing w:before="0" w:after="0"/>
              <w:jc w:val="left"/>
            </w:pPr>
            <w:r>
              <w:rPr>
                <w:sz w:val="18"/>
                <w:szCs w:val="18"/>
              </w:rPr>
              <w:t xml:space="preserve">2002-11</w:t>
            </w:r>
          </w:p>
        </w:tc>
        <w:tc>
          <w:tcPr>
            <w:tcW w:w="7072" w:type="dxa"/>
            <w:vAlign w:val="center"/>
          </w:tcPr>
          <w:p>
            <w:pPr>
              <w:spacing w:before="0" w:after="0"/>
              <w:jc w:val="left"/>
            </w:pPr>
            <w:r>
              <w:rPr>
                <w:sz w:val="18"/>
                <w:szCs w:val="18"/>
              </w:rPr>
              <w:t xml:space="preserve">Director, Nimbus Coffee, Inc. (current)</w:t>
            </w:r>
          </w:p>
        </w:tc>
      </w:tr>
      <w:tr>
        <w:tc>
          <w:tcPr>
            <w:tcW w:w="2000" w:type="dxa"/>
            <w:vAlign w:val="center"/>
          </w:tcPr>
          <w:p>
            <w:pPr>
              <w:spacing w:before="0" w:after="0"/>
              <w:jc w:val="left"/>
            </w:pPr>
            <w:r>
              <w:rPr>
                <w:sz w:val="18"/>
                <w:szCs w:val="18"/>
              </w:rPr>
              <w:t xml:space="preserve">2005-06</w:t>
            </w:r>
          </w:p>
        </w:tc>
        <w:tc>
          <w:tcPr>
            <w:tcW w:w="7072" w:type="dxa"/>
            <w:vAlign w:val="center"/>
          </w:tcPr>
          <w:p>
            <w:pPr>
              <w:spacing w:before="0" w:after="0"/>
              <w:jc w:val="left"/>
            </w:pPr>
            <w:r>
              <w:rPr>
                <w:sz w:val="18"/>
                <w:szCs w:val="18"/>
              </w:rPr>
              <w:t xml:space="preserve">Regional Director, Harborview Bakeries Co. (fictional)</w:t>
            </w:r>
          </w:p>
        </w:tc>
      </w:tr>
      <w:tr>
        <w:tc>
          <w:tcPr>
            <w:tcW w:w="2000" w:type="dxa"/>
            <w:vAlign w:val="center"/>
          </w:tcPr>
          <w:p>
            <w:pPr>
              <w:spacing w:before="0" w:after="0"/>
              <w:jc w:val="left"/>
            </w:pPr>
            <w:r>
              <w:rPr>
                <w:sz w:val="18"/>
                <w:szCs w:val="18"/>
              </w:rPr>
              <w:t xml:space="preserve">2014-05</w:t>
            </w:r>
          </w:p>
        </w:tc>
        <w:tc>
          <w:tcPr>
            <w:tcW w:w="7072" w:type="dxa"/>
            <w:vAlign w:val="center"/>
          </w:tcPr>
          <w:p>
            <w:pPr>
              <w:spacing w:before="0" w:after="0"/>
              <w:jc w:val="left"/>
            </w:pPr>
            <w:r>
              <w:rPr>
                <w:sz w:val="18"/>
                <w:szCs w:val="18"/>
              </w:rPr>
              <w:t xml:space="preserve">Professor of Business, Westridge State College (fictional)</w:t>
            </w:r>
          </w:p>
        </w:tc>
      </w:tr>
      <w:tr>
        <w:tc>
          <w:tcPr>
            <w:tcW w:w="2000" w:type="dxa"/>
            <w:vAlign w:val="center"/>
          </w:tcPr>
          <w:p>
            <w:pPr>
              <w:spacing w:before="0" w:after="0"/>
              <w:jc w:val="left"/>
            </w:pPr>
            <w:r>
              <w:rPr>
                <w:sz w:val="18"/>
                <w:szCs w:val="18"/>
              </w:rPr>
              <w:t xml:space="preserve">2016-11</w:t>
            </w:r>
          </w:p>
        </w:tc>
        <w:tc>
          <w:tcPr>
            <w:tcW w:w="7072" w:type="dxa"/>
            <w:vAlign w:val="center"/>
          </w:tcPr>
          <w:p>
            <w:pPr>
              <w:spacing w:before="0" w:after="0"/>
              <w:jc w:val="left"/>
            </w:pPr>
            <w:r>
              <w:rPr>
                <w:sz w:val="18"/>
                <w:szCs w:val="18"/>
              </w:rPr>
              <w:t xml:space="preserve">Partner, Fenwick &amp; Oakes LLP (accounting firm, fictional)</w:t>
            </w:r>
          </w:p>
        </w:tc>
      </w:tr>
      <w:tr>
        <w:tc>
          <w:tcPr>
            <w:tcW w:w="2000" w:type="dxa"/>
            <w:vAlign w:val="center"/>
          </w:tcPr>
          <w:p>
            <w:pPr>
              <w:spacing w:before="0" w:after="0"/>
              <w:jc w:val="left"/>
            </w:pPr>
            <w:r>
              <w:rPr>
                <w:sz w:val="18"/>
                <w:szCs w:val="18"/>
              </w:rPr>
              <w:t xml:space="preserve">2019-09</w:t>
            </w:r>
          </w:p>
        </w:tc>
        <w:tc>
          <w:tcPr>
            <w:tcW w:w="7072" w:type="dxa"/>
            <w:vAlign w:val="center"/>
          </w:tcPr>
          <w:p>
            <w:pPr>
              <w:spacing w:before="0" w:after="0"/>
              <w:jc w:val="left"/>
            </w:pPr>
            <w:r>
              <w:rPr>
                <w:sz w:val="18"/>
                <w:szCs w:val="18"/>
              </w:rPr>
              <w:t xml:space="preserve">Buyer, Glenhaven Grocers Inc. (fictional)</w:t>
            </w:r>
          </w:p>
        </w:tc>
      </w:tr>
      <w:tr>
        <w:tc>
          <w:tcPr>
            <w:tcW w:w="2000" w:type="dxa"/>
            <w:vAlign w:val="center"/>
          </w:tcPr>
          <w:p>
            <w:pPr>
              <w:spacing w:before="0" w:after="0"/>
              <w:jc w:val="left"/>
            </w:pPr>
            <w:r>
              <w:rPr>
                <w:sz w:val="18"/>
                <w:szCs w:val="18"/>
              </w:rPr>
              <w:t xml:space="preserve">2021-01</w:t>
            </w:r>
          </w:p>
        </w:tc>
        <w:tc>
          <w:tcPr>
            <w:tcW w:w="7072" w:type="dxa"/>
            <w:vAlign w:val="center"/>
          </w:tcPr>
          <w:p>
            <w:pPr>
              <w:spacing w:before="0" w:after="0"/>
              <w:jc w:val="left"/>
            </w:pPr>
            <w:r>
              <w:rPr>
                <w:sz w:val="18"/>
                <w:szCs w:val="18"/>
              </w:rPr>
              <w:t xml:space="preserve">Vice President, Nimbus Coffee, Inc.</w:t>
            </w:r>
          </w:p>
        </w:tc>
      </w:tr>
      <w:tr>
        <w:tc>
          <w:tcPr>
            <w:tcW w:w="2000" w:type="dxa"/>
            <w:vAlign w:val="center"/>
          </w:tcPr>
          <w:p>
            <w:pPr>
              <w:spacing w:before="0" w:after="0"/>
              <w:jc w:val="left"/>
            </w:pPr>
            <w:r>
              <w:rPr>
                <w:sz w:val="18"/>
                <w:szCs w:val="18"/>
              </w:rPr>
              <w:t xml:space="preserve">2024-02</w:t>
            </w:r>
          </w:p>
        </w:tc>
        <w:tc>
          <w:tcPr>
            <w:tcW w:w="7072" w:type="dxa"/>
            <w:vAlign w:val="center"/>
          </w:tcPr>
          <w:p>
            <w:pPr>
              <w:spacing w:before="0" w:after="0"/>
              <w:jc w:val="left"/>
            </w:pPr>
            <w:r>
              <w:rPr>
                <w:sz w:val="18"/>
                <w:szCs w:val="18"/>
              </w:rPr>
              <w:t xml:space="preserve">Controller, Nimbus Coffee, Inc.</w:t>
            </w:r>
          </w:p>
        </w:tc>
      </w:tr>
    </w:tbl>
    <w:p>
      <w:pPr/>
    </w:p>
    <w:p>
      <w:pPr>
        <w:keepNext/>
      </w:pPr>
      <w:r>
        <w:rPr>
          <w:b/>
        </w:rPr>
        <w:t xml:space="preserve">Director: Kendall Marlow (born April 1974)</w:t>
      </w:r>
    </w:p>
    <w:tbl>
      <w:tblPr>
        <w:tblW w:w="907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72" w:type="dxa"/>
          <w:right w:w="72" w:type="dxa"/>
        </w:tblCellMar>
      </w:tblPr>
      <w:tblGrid>
        <w:gridCol w:w="2000"/>
        <w:gridCol w:w="7072"/>
      </w:tblGrid>
      <w:tr>
        <w:trPr>
          <w:tblHeader/>
        </w:trPr>
        <w:tc>
          <w:tcPr>
            <w:tcW w:w="2000" w:type="dxa"/>
            <w:shd w:val="clear" w:color="auto" w:fill="DDEBF7"/>
            <w:vAlign w:val="center"/>
          </w:tcPr>
          <w:p>
            <w:pPr>
              <w:spacing w:before="0" w:after="0"/>
              <w:jc w:val="center"/>
            </w:pPr>
            <w:r>
              <w:rPr>
                <w:b/>
                <w:sz w:val="18"/>
                <w:szCs w:val="18"/>
              </w:rPr>
              <w:t xml:space="preserve">Date</w:t>
            </w:r>
          </w:p>
        </w:tc>
        <w:tc>
          <w:tcPr>
            <w:tcW w:w="7072" w:type="dxa"/>
            <w:shd w:val="clear" w:color="auto" w:fill="DDEBF7"/>
            <w:vAlign w:val="center"/>
          </w:tcPr>
          <w:p>
            <w:pPr>
              <w:spacing w:before="0" w:after="0"/>
              <w:jc w:val="center"/>
            </w:pPr>
            <w:r>
              <w:rPr>
                <w:b/>
                <w:sz w:val="18"/>
                <w:szCs w:val="18"/>
              </w:rPr>
              <w:t xml:space="preserve">Career summary</w:t>
            </w:r>
          </w:p>
        </w:tc>
      </w:tr>
      <w:tr>
        <w:tc>
          <w:tcPr>
            <w:tcW w:w="2000" w:type="dxa"/>
            <w:vAlign w:val="center"/>
          </w:tcPr>
          <w:p>
            <w:pPr>
              <w:spacing w:before="0" w:after="0"/>
              <w:jc w:val="left"/>
            </w:pPr>
            <w:r>
              <w:rPr>
                <w:sz w:val="18"/>
                <w:szCs w:val="18"/>
              </w:rPr>
              <w:t xml:space="preserve">1990-09</w:t>
            </w:r>
          </w:p>
        </w:tc>
        <w:tc>
          <w:tcPr>
            <w:tcW w:w="7072" w:type="dxa"/>
            <w:vAlign w:val="center"/>
          </w:tcPr>
          <w:p>
            <w:pPr>
              <w:spacing w:before="0" w:after="0"/>
              <w:jc w:val="left"/>
            </w:pPr>
            <w:r>
              <w:rPr>
                <w:sz w:val="18"/>
                <w:szCs w:val="18"/>
              </w:rPr>
              <w:t xml:space="preserve">Regional Director, Harborview Bakeries Co. (fictional)</w:t>
            </w:r>
          </w:p>
        </w:tc>
      </w:tr>
      <w:tr>
        <w:tc>
          <w:tcPr>
            <w:tcW w:w="2000" w:type="dxa"/>
            <w:vAlign w:val="center"/>
          </w:tcPr>
          <w:p>
            <w:pPr>
              <w:spacing w:before="0" w:after="0"/>
              <w:jc w:val="left"/>
            </w:pPr>
            <w:r>
              <w:rPr>
                <w:sz w:val="18"/>
                <w:szCs w:val="18"/>
              </w:rPr>
              <w:t xml:space="preserve">1994-03</w:t>
            </w:r>
          </w:p>
        </w:tc>
        <w:tc>
          <w:tcPr>
            <w:tcW w:w="7072" w:type="dxa"/>
            <w:vAlign w:val="center"/>
          </w:tcPr>
          <w:p>
            <w:pPr>
              <w:spacing w:before="0" w:after="0"/>
              <w:jc w:val="left"/>
            </w:pPr>
            <w:r>
              <w:rPr>
                <w:sz w:val="18"/>
                <w:szCs w:val="18"/>
              </w:rPr>
              <w:t xml:space="preserve">Admitted to the bar</w:t>
            </w:r>
          </w:p>
        </w:tc>
      </w:tr>
      <w:tr>
        <w:tc>
          <w:tcPr>
            <w:tcW w:w="2000" w:type="dxa"/>
            <w:vAlign w:val="center"/>
          </w:tcPr>
          <w:p>
            <w:pPr>
              <w:spacing w:before="0" w:after="0"/>
              <w:jc w:val="left"/>
            </w:pPr>
            <w:r>
              <w:rPr>
                <w:sz w:val="18"/>
                <w:szCs w:val="18"/>
              </w:rPr>
              <w:t xml:space="preserve">1999-04</w:t>
            </w:r>
          </w:p>
        </w:tc>
        <w:tc>
          <w:tcPr>
            <w:tcW w:w="7072" w:type="dxa"/>
            <w:vAlign w:val="center"/>
          </w:tcPr>
          <w:p>
            <w:pPr>
              <w:spacing w:before="0" w:after="0"/>
              <w:jc w:val="left"/>
            </w:pPr>
            <w:r>
              <w:rPr>
                <w:sz w:val="18"/>
                <w:szCs w:val="18"/>
              </w:rPr>
              <w:t xml:space="preserve">District Manager, Nimbus Coffee, Inc.</w:t>
            </w:r>
          </w:p>
        </w:tc>
      </w:tr>
      <w:tr>
        <w:tc>
          <w:tcPr>
            <w:tcW w:w="2000" w:type="dxa"/>
            <w:vAlign w:val="center"/>
          </w:tcPr>
          <w:p>
            <w:pPr>
              <w:spacing w:before="0" w:after="0"/>
              <w:jc w:val="left"/>
            </w:pPr>
            <w:r>
              <w:rPr>
                <w:sz w:val="18"/>
                <w:szCs w:val="18"/>
              </w:rPr>
              <w:t xml:space="preserve">1999-05</w:t>
            </w:r>
          </w:p>
        </w:tc>
        <w:tc>
          <w:tcPr>
            <w:tcW w:w="7072" w:type="dxa"/>
            <w:vAlign w:val="center"/>
          </w:tcPr>
          <w:p>
            <w:pPr>
              <w:spacing w:before="0" w:after="0"/>
              <w:jc w:val="left"/>
            </w:pPr>
            <w:r>
              <w:rPr>
                <w:sz w:val="18"/>
                <w:szCs w:val="18"/>
              </w:rPr>
              <w:t xml:space="preserve">Director of Store Operations, Nimbus Coffee, Inc.</w:t>
            </w:r>
          </w:p>
        </w:tc>
      </w:tr>
      <w:tr>
        <w:tc>
          <w:tcPr>
            <w:tcW w:w="2000" w:type="dxa"/>
            <w:vAlign w:val="center"/>
          </w:tcPr>
          <w:p>
            <w:pPr>
              <w:spacing w:before="0" w:after="0"/>
              <w:jc w:val="left"/>
            </w:pPr>
            <w:r>
              <w:rPr>
                <w:sz w:val="18"/>
                <w:szCs w:val="18"/>
              </w:rPr>
              <w:t xml:space="preserve">2007-07</w:t>
            </w:r>
          </w:p>
        </w:tc>
        <w:tc>
          <w:tcPr>
            <w:tcW w:w="7072" w:type="dxa"/>
            <w:vAlign w:val="center"/>
          </w:tcPr>
          <w:p>
            <w:pPr>
              <w:spacing w:before="0" w:after="0"/>
              <w:jc w:val="left"/>
            </w:pPr>
            <w:r>
              <w:rPr>
                <w:sz w:val="18"/>
                <w:szCs w:val="18"/>
              </w:rPr>
              <w:t xml:space="preserve">Vice President, Nimbus Coffee, Inc.</w:t>
            </w:r>
          </w:p>
        </w:tc>
      </w:tr>
      <w:tr>
        <w:tc>
          <w:tcPr>
            <w:tcW w:w="2000" w:type="dxa"/>
            <w:vAlign w:val="center"/>
          </w:tcPr>
          <w:p>
            <w:pPr>
              <w:spacing w:before="0" w:after="0"/>
              <w:jc w:val="left"/>
            </w:pPr>
            <w:r>
              <w:rPr>
                <w:sz w:val="18"/>
                <w:szCs w:val="18"/>
              </w:rPr>
              <w:t xml:space="preserve">2009-08</w:t>
            </w:r>
          </w:p>
        </w:tc>
        <w:tc>
          <w:tcPr>
            <w:tcW w:w="7072" w:type="dxa"/>
            <w:vAlign w:val="center"/>
          </w:tcPr>
          <w:p>
            <w:pPr>
              <w:spacing w:before="0" w:after="0"/>
              <w:jc w:val="left"/>
            </w:pPr>
            <w:r>
              <w:rPr>
                <w:sz w:val="18"/>
                <w:szCs w:val="18"/>
              </w:rPr>
              <w:t xml:space="preserve">Partner, Fenwick &amp; Oakes LLP (accounting firm, fictional)</w:t>
            </w:r>
          </w:p>
        </w:tc>
      </w:tr>
      <w:tr>
        <w:tc>
          <w:tcPr>
            <w:tcW w:w="2000" w:type="dxa"/>
            <w:vAlign w:val="center"/>
          </w:tcPr>
          <w:p>
            <w:pPr>
              <w:spacing w:before="0" w:after="0"/>
              <w:jc w:val="left"/>
            </w:pPr>
            <w:r>
              <w:rPr>
                <w:sz w:val="18"/>
                <w:szCs w:val="18"/>
              </w:rPr>
              <w:t xml:space="preserve">2016-03</w:t>
            </w:r>
          </w:p>
        </w:tc>
        <w:tc>
          <w:tcPr>
            <w:tcW w:w="7072" w:type="dxa"/>
            <w:vAlign w:val="center"/>
          </w:tcPr>
          <w:p>
            <w:pPr>
              <w:spacing w:before="0" w:after="0"/>
              <w:jc w:val="left"/>
            </w:pPr>
            <w:r>
              <w:rPr>
                <w:sz w:val="18"/>
                <w:szCs w:val="18"/>
              </w:rPr>
              <w:t xml:space="preserve">Joined Nimbus Coffee, Inc. as store manager</w:t>
            </w:r>
          </w:p>
        </w:tc>
      </w:tr>
    </w:tbl>
    <w:p>
      <w:pPr/>
    </w:p>
    <w:p>
      <w:pPr>
        <w:keepNext/>
      </w:pPr>
      <w:r>
        <w:rPr>
          <w:b/>
        </w:rPr>
        <w:t xml:space="preserve">Director: Logan Kessler (born September 1962)</w:t>
      </w:r>
    </w:p>
    <w:tbl>
      <w:tblPr>
        <w:tblW w:w="907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72" w:type="dxa"/>
          <w:right w:w="72" w:type="dxa"/>
        </w:tblCellMar>
      </w:tblPr>
      <w:tblGrid>
        <w:gridCol w:w="2000"/>
        <w:gridCol w:w="7072"/>
      </w:tblGrid>
      <w:tr>
        <w:trPr>
          <w:tblHeader/>
        </w:trPr>
        <w:tc>
          <w:tcPr>
            <w:tcW w:w="2000" w:type="dxa"/>
            <w:shd w:val="clear" w:color="auto" w:fill="DDEBF7"/>
            <w:vAlign w:val="center"/>
          </w:tcPr>
          <w:p>
            <w:pPr>
              <w:spacing w:before="0" w:after="0"/>
              <w:jc w:val="center"/>
            </w:pPr>
            <w:r>
              <w:rPr>
                <w:b/>
                <w:sz w:val="18"/>
                <w:szCs w:val="18"/>
              </w:rPr>
              <w:t xml:space="preserve">Date</w:t>
            </w:r>
          </w:p>
        </w:tc>
        <w:tc>
          <w:tcPr>
            <w:tcW w:w="7072" w:type="dxa"/>
            <w:shd w:val="clear" w:color="auto" w:fill="DDEBF7"/>
            <w:vAlign w:val="center"/>
          </w:tcPr>
          <w:p>
            <w:pPr>
              <w:spacing w:before="0" w:after="0"/>
              <w:jc w:val="center"/>
            </w:pPr>
            <w:r>
              <w:rPr>
                <w:b/>
                <w:sz w:val="18"/>
                <w:szCs w:val="18"/>
              </w:rPr>
              <w:t xml:space="preserve">Career summary</w:t>
            </w:r>
          </w:p>
        </w:tc>
      </w:tr>
      <w:tr>
        <w:tc>
          <w:tcPr>
            <w:tcW w:w="2000" w:type="dxa"/>
            <w:vAlign w:val="center"/>
          </w:tcPr>
          <w:p>
            <w:pPr>
              <w:spacing w:before="0" w:after="0"/>
              <w:jc w:val="left"/>
            </w:pPr>
            <w:r>
              <w:rPr>
                <w:sz w:val="18"/>
                <w:szCs w:val="18"/>
              </w:rPr>
              <w:t xml:space="preserve">2004-03</w:t>
            </w:r>
          </w:p>
        </w:tc>
        <w:tc>
          <w:tcPr>
            <w:tcW w:w="7072" w:type="dxa"/>
            <w:vAlign w:val="center"/>
          </w:tcPr>
          <w:p>
            <w:pPr>
              <w:spacing w:before="0" w:after="0"/>
              <w:jc w:val="left"/>
            </w:pPr>
            <w:r>
              <w:rPr>
                <w:sz w:val="18"/>
                <w:szCs w:val="18"/>
              </w:rPr>
              <w:t xml:space="preserve">Partner, Fenwick &amp; Oakes LLP (accounting firm, fictional)</w:t>
            </w:r>
          </w:p>
        </w:tc>
      </w:tr>
      <w:tr>
        <w:tc>
          <w:tcPr>
            <w:tcW w:w="2000" w:type="dxa"/>
            <w:vAlign w:val="center"/>
          </w:tcPr>
          <w:p>
            <w:pPr>
              <w:spacing w:before="0" w:after="0"/>
              <w:jc w:val="left"/>
            </w:pPr>
            <w:r>
              <w:rPr>
                <w:sz w:val="18"/>
                <w:szCs w:val="18"/>
              </w:rPr>
              <w:t xml:space="preserve">2008-04</w:t>
            </w:r>
          </w:p>
        </w:tc>
        <w:tc>
          <w:tcPr>
            <w:tcW w:w="7072" w:type="dxa"/>
            <w:vAlign w:val="center"/>
          </w:tcPr>
          <w:p>
            <w:pPr>
              <w:spacing w:before="0" w:after="0"/>
              <w:jc w:val="left"/>
            </w:pPr>
            <w:r>
              <w:rPr>
                <w:sz w:val="18"/>
                <w:szCs w:val="18"/>
              </w:rPr>
              <w:t xml:space="preserve">Professor of Business, Westridge State College (fictional)</w:t>
            </w:r>
          </w:p>
        </w:tc>
      </w:tr>
      <w:tr>
        <w:tc>
          <w:tcPr>
            <w:tcW w:w="2000" w:type="dxa"/>
            <w:vAlign w:val="center"/>
          </w:tcPr>
          <w:p>
            <w:pPr>
              <w:spacing w:before="0" w:after="0"/>
              <w:jc w:val="left"/>
            </w:pPr>
            <w:r>
              <w:rPr>
                <w:sz w:val="18"/>
                <w:szCs w:val="18"/>
              </w:rPr>
              <w:t xml:space="preserve">2010-06</w:t>
            </w:r>
          </w:p>
        </w:tc>
        <w:tc>
          <w:tcPr>
            <w:tcW w:w="7072" w:type="dxa"/>
            <w:vAlign w:val="center"/>
          </w:tcPr>
          <w:p>
            <w:pPr>
              <w:spacing w:before="0" w:after="0"/>
              <w:jc w:val="left"/>
            </w:pPr>
            <w:r>
              <w:rPr>
                <w:sz w:val="18"/>
                <w:szCs w:val="18"/>
              </w:rPr>
              <w:t xml:space="preserve">Director of Coffee Sourcing, Nimbus Coffee, Inc.</w:t>
            </w:r>
          </w:p>
        </w:tc>
      </w:tr>
      <w:tr>
        <w:tc>
          <w:tcPr>
            <w:tcW w:w="2000" w:type="dxa"/>
            <w:vAlign w:val="center"/>
          </w:tcPr>
          <w:p>
            <w:pPr>
              <w:spacing w:before="0" w:after="0"/>
              <w:jc w:val="left"/>
            </w:pPr>
            <w:r>
              <w:rPr>
                <w:sz w:val="18"/>
                <w:szCs w:val="18"/>
              </w:rPr>
              <w:t xml:space="preserve">2011-04</w:t>
            </w:r>
          </w:p>
        </w:tc>
        <w:tc>
          <w:tcPr>
            <w:tcW w:w="7072" w:type="dxa"/>
            <w:vAlign w:val="center"/>
          </w:tcPr>
          <w:p>
            <w:pPr>
              <w:spacing w:before="0" w:after="0"/>
              <w:jc w:val="left"/>
            </w:pPr>
            <w:r>
              <w:rPr>
                <w:sz w:val="18"/>
                <w:szCs w:val="18"/>
              </w:rPr>
              <w:t xml:space="preserve">Director, Nimbus Coffee, Inc. (current)</w:t>
            </w:r>
          </w:p>
        </w:tc>
      </w:tr>
      <w:tr>
        <w:tc>
          <w:tcPr>
            <w:tcW w:w="2000" w:type="dxa"/>
            <w:vAlign w:val="center"/>
          </w:tcPr>
          <w:p>
            <w:pPr>
              <w:spacing w:before="0" w:after="0"/>
              <w:jc w:val="left"/>
            </w:pPr>
            <w:r>
              <w:rPr>
                <w:sz w:val="18"/>
                <w:szCs w:val="18"/>
              </w:rPr>
              <w:t xml:space="preserve">2011-07</w:t>
            </w:r>
          </w:p>
        </w:tc>
        <w:tc>
          <w:tcPr>
            <w:tcW w:w="7072" w:type="dxa"/>
            <w:vAlign w:val="center"/>
          </w:tcPr>
          <w:p>
            <w:pPr>
              <w:spacing w:before="0" w:after="0"/>
              <w:jc w:val="left"/>
            </w:pPr>
            <w:r>
              <w:rPr>
                <w:sz w:val="18"/>
                <w:szCs w:val="18"/>
              </w:rPr>
              <w:t xml:space="preserve">Joined Nimbus Coffee, Inc. as store manager</w:t>
            </w:r>
          </w:p>
        </w:tc>
      </w:tr>
      <w:tr>
        <w:tc>
          <w:tcPr>
            <w:tcW w:w="2000" w:type="dxa"/>
            <w:vAlign w:val="center"/>
          </w:tcPr>
          <w:p>
            <w:pPr>
              <w:spacing w:before="0" w:after="0"/>
              <w:jc w:val="left"/>
            </w:pPr>
            <w:r>
              <w:rPr>
                <w:sz w:val="18"/>
                <w:szCs w:val="18"/>
              </w:rPr>
              <w:t xml:space="preserve">2018-07</w:t>
            </w:r>
          </w:p>
        </w:tc>
        <w:tc>
          <w:tcPr>
            <w:tcW w:w="7072" w:type="dxa"/>
            <w:vAlign w:val="center"/>
          </w:tcPr>
          <w:p>
            <w:pPr>
              <w:spacing w:before="0" w:after="0"/>
              <w:jc w:val="left"/>
            </w:pPr>
            <w:r>
              <w:rPr>
                <w:sz w:val="18"/>
                <w:szCs w:val="18"/>
              </w:rPr>
              <w:t xml:space="preserve">Controller, Nimbus Coffee, Inc.</w:t>
            </w:r>
          </w:p>
        </w:tc>
      </w:tr>
      <w:tr>
        <w:tc>
          <w:tcPr>
            <w:tcW w:w="2000" w:type="dxa"/>
            <w:vAlign w:val="center"/>
          </w:tcPr>
          <w:p>
            <w:pPr>
              <w:spacing w:before="0" w:after="0"/>
              <w:jc w:val="left"/>
            </w:pPr>
            <w:r>
              <w:rPr>
                <w:sz w:val="18"/>
                <w:szCs w:val="18"/>
              </w:rPr>
              <w:t xml:space="preserve">2018-12</w:t>
            </w:r>
          </w:p>
        </w:tc>
        <w:tc>
          <w:tcPr>
            <w:tcW w:w="7072" w:type="dxa"/>
            <w:vAlign w:val="center"/>
          </w:tcPr>
          <w:p>
            <w:pPr>
              <w:spacing w:before="0" w:after="0"/>
              <w:jc w:val="left"/>
            </w:pPr>
            <w:r>
              <w:rPr>
                <w:sz w:val="18"/>
                <w:szCs w:val="18"/>
              </w:rPr>
              <w:t xml:space="preserve">Vice President, Nimbus Coffee, Inc.</w:t>
            </w:r>
          </w:p>
        </w:tc>
      </w:tr>
      <w:tr>
        <w:tc>
          <w:tcPr>
            <w:tcW w:w="2000" w:type="dxa"/>
            <w:vAlign w:val="center"/>
          </w:tcPr>
          <w:p>
            <w:pPr>
              <w:spacing w:before="0" w:after="0"/>
              <w:jc w:val="left"/>
            </w:pPr>
            <w:r>
              <w:rPr>
                <w:sz w:val="18"/>
                <w:szCs w:val="18"/>
              </w:rPr>
              <w:t xml:space="preserve">2019-03</w:t>
            </w:r>
          </w:p>
        </w:tc>
        <w:tc>
          <w:tcPr>
            <w:tcW w:w="7072" w:type="dxa"/>
            <w:vAlign w:val="center"/>
          </w:tcPr>
          <w:p>
            <w:pPr>
              <w:spacing w:before="0" w:after="0"/>
              <w:jc w:val="left"/>
            </w:pPr>
            <w:r>
              <w:rPr>
                <w:sz w:val="18"/>
                <w:szCs w:val="18"/>
              </w:rPr>
              <w:t xml:space="preserve">Buyer, Glenhaven Grocers Inc. (fictional)</w:t>
            </w:r>
          </w:p>
        </w:tc>
      </w:tr>
      <w:tr>
        <w:tc>
          <w:tcPr>
            <w:tcW w:w="2000" w:type="dxa"/>
            <w:vAlign w:val="center"/>
          </w:tcPr>
          <w:p>
            <w:pPr>
              <w:spacing w:before="0" w:after="0"/>
              <w:jc w:val="left"/>
            </w:pPr>
            <w:r>
              <w:rPr>
                <w:sz w:val="18"/>
                <w:szCs w:val="18"/>
              </w:rPr>
              <w:t xml:space="preserve">2019-03</w:t>
            </w:r>
          </w:p>
        </w:tc>
        <w:tc>
          <w:tcPr>
            <w:tcW w:w="7072" w:type="dxa"/>
            <w:vAlign w:val="center"/>
          </w:tcPr>
          <w:p>
            <w:pPr>
              <w:spacing w:before="0" w:after="0"/>
              <w:jc w:val="left"/>
            </w:pPr>
            <w:r>
              <w:rPr>
                <w:sz w:val="18"/>
                <w:szCs w:val="18"/>
              </w:rPr>
              <w:t xml:space="preserve">Regional Director, Harborview Bakeries Co. (fictional)</w:t>
            </w:r>
          </w:p>
        </w:tc>
      </w:tr>
      <w:tr>
        <w:tc>
          <w:tcPr>
            <w:tcW w:w="2000" w:type="dxa"/>
            <w:vAlign w:val="center"/>
          </w:tcPr>
          <w:p>
            <w:pPr>
              <w:spacing w:before="0" w:after="0"/>
              <w:jc w:val="left"/>
            </w:pPr>
            <w:r>
              <w:rPr>
                <w:sz w:val="18"/>
                <w:szCs w:val="18"/>
              </w:rPr>
              <w:t xml:space="preserve">2020-07</w:t>
            </w:r>
          </w:p>
        </w:tc>
        <w:tc>
          <w:tcPr>
            <w:tcW w:w="7072" w:type="dxa"/>
            <w:vAlign w:val="center"/>
          </w:tcPr>
          <w:p>
            <w:pPr>
              <w:spacing w:before="0" w:after="0"/>
              <w:jc w:val="left"/>
            </w:pPr>
            <w:r>
              <w:rPr>
                <w:sz w:val="18"/>
                <w:szCs w:val="18"/>
              </w:rPr>
              <w:t xml:space="preserve">Certified public accountant</w:t>
            </w:r>
          </w:p>
        </w:tc>
      </w:tr>
      <w:tr>
        <w:tc>
          <w:tcPr>
            <w:tcW w:w="2000" w:type="dxa"/>
            <w:vAlign w:val="center"/>
          </w:tcPr>
          <w:p>
            <w:pPr>
              <w:spacing w:before="0" w:after="0"/>
              <w:jc w:val="left"/>
            </w:pPr>
            <w:r>
              <w:rPr>
                <w:sz w:val="18"/>
                <w:szCs w:val="18"/>
              </w:rPr>
              <w:t xml:space="preserve">2024-02</w:t>
            </w:r>
          </w:p>
        </w:tc>
        <w:tc>
          <w:tcPr>
            <w:tcW w:w="7072" w:type="dxa"/>
            <w:vAlign w:val="center"/>
          </w:tcPr>
          <w:p>
            <w:pPr>
              <w:spacing w:before="0" w:after="0"/>
              <w:jc w:val="left"/>
            </w:pPr>
            <w:r>
              <w:rPr>
                <w:sz w:val="18"/>
                <w:szCs w:val="18"/>
              </w:rPr>
              <w:t xml:space="preserve">Head Roaster, Nimbus Coffee, Inc.</w:t>
            </w:r>
          </w:p>
        </w:tc>
      </w:tr>
    </w:tbl>
    <w:p>
      <w:pPr/>
    </w:p>
    <w:p>
      <w:pPr>
        <w:keepNext/>
      </w:pPr>
      <w:r>
        <w:rPr>
          <w:b/>
        </w:rPr>
        <w:t xml:space="preserve">Independent Director: Blake Tate (born January 1981)</w:t>
      </w:r>
    </w:p>
    <w:tbl>
      <w:tblPr>
        <w:tblW w:w="907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72" w:type="dxa"/>
          <w:right w:w="72" w:type="dxa"/>
        </w:tblCellMar>
      </w:tblPr>
      <w:tblGrid>
        <w:gridCol w:w="2000"/>
        <w:gridCol w:w="7072"/>
      </w:tblGrid>
      <w:tr>
        <w:trPr>
          <w:tblHeader/>
        </w:trPr>
        <w:tc>
          <w:tcPr>
            <w:tcW w:w="2000" w:type="dxa"/>
            <w:shd w:val="clear" w:color="auto" w:fill="DDEBF7"/>
            <w:vAlign w:val="center"/>
          </w:tcPr>
          <w:p>
            <w:pPr>
              <w:spacing w:before="0" w:after="0"/>
              <w:jc w:val="center"/>
            </w:pPr>
            <w:r>
              <w:rPr>
                <w:b/>
                <w:sz w:val="18"/>
                <w:szCs w:val="18"/>
              </w:rPr>
              <w:t xml:space="preserve">Date</w:t>
            </w:r>
          </w:p>
        </w:tc>
        <w:tc>
          <w:tcPr>
            <w:tcW w:w="7072" w:type="dxa"/>
            <w:shd w:val="clear" w:color="auto" w:fill="DDEBF7"/>
            <w:vAlign w:val="center"/>
          </w:tcPr>
          <w:p>
            <w:pPr>
              <w:spacing w:before="0" w:after="0"/>
              <w:jc w:val="center"/>
            </w:pPr>
            <w:r>
              <w:rPr>
                <w:b/>
                <w:sz w:val="18"/>
                <w:szCs w:val="18"/>
              </w:rPr>
              <w:t xml:space="preserve">Career summary</w:t>
            </w:r>
          </w:p>
        </w:tc>
      </w:tr>
      <w:tr>
        <w:tc>
          <w:tcPr>
            <w:tcW w:w="2000" w:type="dxa"/>
            <w:vAlign w:val="center"/>
          </w:tcPr>
          <w:p>
            <w:pPr>
              <w:spacing w:before="0" w:after="0"/>
              <w:jc w:val="left"/>
            </w:pPr>
            <w:r>
              <w:rPr>
                <w:sz w:val="18"/>
                <w:szCs w:val="18"/>
              </w:rPr>
              <w:t xml:space="preserve">1985-04</w:t>
            </w:r>
          </w:p>
        </w:tc>
        <w:tc>
          <w:tcPr>
            <w:tcW w:w="7072" w:type="dxa"/>
            <w:vAlign w:val="center"/>
          </w:tcPr>
          <w:p>
            <w:pPr>
              <w:spacing w:before="0" w:after="0"/>
              <w:jc w:val="left"/>
            </w:pPr>
            <w:r>
              <w:rPr>
                <w:sz w:val="18"/>
                <w:szCs w:val="18"/>
              </w:rPr>
              <w:t xml:space="preserve">District Manager, Nimbus Coffee, Inc.</w:t>
            </w:r>
          </w:p>
        </w:tc>
      </w:tr>
      <w:tr>
        <w:tc>
          <w:tcPr>
            <w:tcW w:w="2000" w:type="dxa"/>
            <w:vAlign w:val="center"/>
          </w:tcPr>
          <w:p>
            <w:pPr>
              <w:spacing w:before="0" w:after="0"/>
              <w:jc w:val="left"/>
            </w:pPr>
            <w:r>
              <w:rPr>
                <w:sz w:val="18"/>
                <w:szCs w:val="18"/>
              </w:rPr>
              <w:t xml:space="preserve">1986-10</w:t>
            </w:r>
          </w:p>
        </w:tc>
        <w:tc>
          <w:tcPr>
            <w:tcW w:w="7072" w:type="dxa"/>
            <w:vAlign w:val="center"/>
          </w:tcPr>
          <w:p>
            <w:pPr>
              <w:spacing w:before="0" w:after="0"/>
              <w:jc w:val="left"/>
            </w:pPr>
            <w:r>
              <w:rPr>
                <w:sz w:val="18"/>
                <w:szCs w:val="18"/>
              </w:rPr>
              <w:t xml:space="preserve">Buyer, Glenhaven Grocers Inc. (fictional)</w:t>
            </w:r>
          </w:p>
        </w:tc>
      </w:tr>
      <w:tr>
        <w:tc>
          <w:tcPr>
            <w:tcW w:w="2000" w:type="dxa"/>
            <w:vAlign w:val="center"/>
          </w:tcPr>
          <w:p>
            <w:pPr>
              <w:spacing w:before="0" w:after="0"/>
              <w:jc w:val="left"/>
            </w:pPr>
            <w:r>
              <w:rPr>
                <w:sz w:val="18"/>
                <w:szCs w:val="18"/>
              </w:rPr>
              <w:t xml:space="preserve">1988-05</w:t>
            </w:r>
          </w:p>
        </w:tc>
        <w:tc>
          <w:tcPr>
            <w:tcW w:w="7072" w:type="dxa"/>
            <w:vAlign w:val="center"/>
          </w:tcPr>
          <w:p>
            <w:pPr>
              <w:spacing w:before="0" w:after="0"/>
              <w:jc w:val="left"/>
            </w:pPr>
            <w:r>
              <w:rPr>
                <w:sz w:val="18"/>
                <w:szCs w:val="18"/>
              </w:rPr>
              <w:t xml:space="preserve">Joined Nimbus Coffee, Inc. as store manager</w:t>
            </w:r>
          </w:p>
        </w:tc>
      </w:tr>
      <w:tr>
        <w:tc>
          <w:tcPr>
            <w:tcW w:w="2000" w:type="dxa"/>
            <w:vAlign w:val="center"/>
          </w:tcPr>
          <w:p>
            <w:pPr>
              <w:spacing w:before="0" w:after="0"/>
              <w:jc w:val="left"/>
            </w:pPr>
            <w:r>
              <w:rPr>
                <w:sz w:val="18"/>
                <w:szCs w:val="18"/>
              </w:rPr>
              <w:t xml:space="preserve">1990-09</w:t>
            </w:r>
          </w:p>
        </w:tc>
        <w:tc>
          <w:tcPr>
            <w:tcW w:w="7072" w:type="dxa"/>
            <w:vAlign w:val="center"/>
          </w:tcPr>
          <w:p>
            <w:pPr>
              <w:spacing w:before="0" w:after="0"/>
              <w:jc w:val="left"/>
            </w:pPr>
            <w:r>
              <w:rPr>
                <w:sz w:val="18"/>
                <w:szCs w:val="18"/>
              </w:rPr>
              <w:t xml:space="preserve">Regional Director, Harborview Bakeries Co. (fictional)</w:t>
            </w:r>
          </w:p>
        </w:tc>
      </w:tr>
      <w:tr>
        <w:tc>
          <w:tcPr>
            <w:tcW w:w="2000" w:type="dxa"/>
            <w:vAlign w:val="center"/>
          </w:tcPr>
          <w:p>
            <w:pPr>
              <w:spacing w:before="0" w:after="0"/>
              <w:jc w:val="left"/>
            </w:pPr>
            <w:r>
              <w:rPr>
                <w:sz w:val="18"/>
                <w:szCs w:val="18"/>
              </w:rPr>
              <w:t xml:space="preserve">2000-10</w:t>
            </w:r>
          </w:p>
        </w:tc>
        <w:tc>
          <w:tcPr>
            <w:tcW w:w="7072" w:type="dxa"/>
            <w:vAlign w:val="center"/>
          </w:tcPr>
          <w:p>
            <w:pPr>
              <w:spacing w:before="0" w:after="0"/>
              <w:jc w:val="left"/>
            </w:pPr>
            <w:r>
              <w:rPr>
                <w:sz w:val="18"/>
                <w:szCs w:val="18"/>
              </w:rPr>
              <w:t xml:space="preserve">Head Roaster, Nimbus Coffee, Inc.</w:t>
            </w:r>
          </w:p>
        </w:tc>
      </w:tr>
      <w:tr>
        <w:tc>
          <w:tcPr>
            <w:tcW w:w="2000" w:type="dxa"/>
            <w:vAlign w:val="center"/>
          </w:tcPr>
          <w:p>
            <w:pPr>
              <w:spacing w:before="0" w:after="0"/>
              <w:jc w:val="left"/>
            </w:pPr>
            <w:r>
              <w:rPr>
                <w:sz w:val="18"/>
                <w:szCs w:val="18"/>
              </w:rPr>
              <w:t xml:space="preserve">2009-08</w:t>
            </w:r>
          </w:p>
        </w:tc>
        <w:tc>
          <w:tcPr>
            <w:tcW w:w="7072" w:type="dxa"/>
            <w:vAlign w:val="center"/>
          </w:tcPr>
          <w:p>
            <w:pPr>
              <w:spacing w:before="0" w:after="0"/>
              <w:jc w:val="left"/>
            </w:pPr>
            <w:r>
              <w:rPr>
                <w:sz w:val="18"/>
                <w:szCs w:val="18"/>
              </w:rPr>
              <w:t xml:space="preserve">Professor of Business, Westridge State College (fictional)</w:t>
            </w:r>
          </w:p>
        </w:tc>
      </w:tr>
      <w:tr>
        <w:tc>
          <w:tcPr>
            <w:tcW w:w="2000" w:type="dxa"/>
            <w:vAlign w:val="center"/>
          </w:tcPr>
          <w:p>
            <w:pPr>
              <w:spacing w:before="0" w:after="0"/>
              <w:jc w:val="left"/>
            </w:pPr>
            <w:r>
              <w:rPr>
                <w:sz w:val="18"/>
                <w:szCs w:val="18"/>
              </w:rPr>
              <w:t xml:space="preserve">2021-02</w:t>
            </w:r>
          </w:p>
        </w:tc>
        <w:tc>
          <w:tcPr>
            <w:tcW w:w="7072" w:type="dxa"/>
            <w:vAlign w:val="center"/>
          </w:tcPr>
          <w:p>
            <w:pPr>
              <w:spacing w:before="0" w:after="0"/>
              <w:jc w:val="left"/>
            </w:pPr>
            <w:r>
              <w:rPr>
                <w:sz w:val="18"/>
                <w:szCs w:val="18"/>
              </w:rPr>
              <w:t xml:space="preserve">Controller, Nimbus Coffee, Inc.</w:t>
            </w:r>
          </w:p>
        </w:tc>
      </w:tr>
    </w:tbl>
    <w:p>
      <w:pPr/>
    </w:p>
    <w:p>
      <w:pPr>
        <w:keepNext/>
      </w:pPr>
      <w:r>
        <w:rPr>
          <w:b/>
        </w:rPr>
        <w:t xml:space="preserve">Independent Director: Dana Greer (born February 1982)</w:t>
      </w:r>
    </w:p>
    <w:tbl>
      <w:tblPr>
        <w:tblW w:w="907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72" w:type="dxa"/>
          <w:right w:w="72" w:type="dxa"/>
        </w:tblCellMar>
      </w:tblPr>
      <w:tblGrid>
        <w:gridCol w:w="2000"/>
        <w:gridCol w:w="7072"/>
      </w:tblGrid>
      <w:tr>
        <w:trPr>
          <w:tblHeader/>
        </w:trPr>
        <w:tc>
          <w:tcPr>
            <w:tcW w:w="2000" w:type="dxa"/>
            <w:shd w:val="clear" w:color="auto" w:fill="DDEBF7"/>
            <w:vAlign w:val="center"/>
          </w:tcPr>
          <w:p>
            <w:pPr>
              <w:spacing w:before="0" w:after="0"/>
              <w:jc w:val="center"/>
            </w:pPr>
            <w:r>
              <w:rPr>
                <w:b/>
                <w:sz w:val="18"/>
                <w:szCs w:val="18"/>
              </w:rPr>
              <w:t xml:space="preserve">Date</w:t>
            </w:r>
          </w:p>
        </w:tc>
        <w:tc>
          <w:tcPr>
            <w:tcW w:w="7072" w:type="dxa"/>
            <w:shd w:val="clear" w:color="auto" w:fill="DDEBF7"/>
            <w:vAlign w:val="center"/>
          </w:tcPr>
          <w:p>
            <w:pPr>
              <w:spacing w:before="0" w:after="0"/>
              <w:jc w:val="center"/>
            </w:pPr>
            <w:r>
              <w:rPr>
                <w:b/>
                <w:sz w:val="18"/>
                <w:szCs w:val="18"/>
              </w:rPr>
              <w:t xml:space="preserve">Career summary</w:t>
            </w:r>
          </w:p>
        </w:tc>
      </w:tr>
      <w:tr>
        <w:tc>
          <w:tcPr>
            <w:tcW w:w="2000" w:type="dxa"/>
            <w:vAlign w:val="center"/>
          </w:tcPr>
          <w:p>
            <w:pPr>
              <w:spacing w:before="0" w:after="0"/>
              <w:jc w:val="left"/>
            </w:pPr>
            <w:r>
              <w:rPr>
                <w:sz w:val="18"/>
                <w:szCs w:val="18"/>
              </w:rPr>
              <w:t xml:space="preserve">1986-05</w:t>
            </w:r>
          </w:p>
        </w:tc>
        <w:tc>
          <w:tcPr>
            <w:tcW w:w="7072" w:type="dxa"/>
            <w:vAlign w:val="center"/>
          </w:tcPr>
          <w:p>
            <w:pPr>
              <w:spacing w:before="0" w:after="0"/>
              <w:jc w:val="left"/>
            </w:pPr>
            <w:r>
              <w:rPr>
                <w:sz w:val="18"/>
                <w:szCs w:val="18"/>
              </w:rPr>
              <w:t xml:space="preserve">Controller, Nimbus Coffee, Inc.</w:t>
            </w:r>
          </w:p>
        </w:tc>
      </w:tr>
      <w:tr>
        <w:tc>
          <w:tcPr>
            <w:tcW w:w="2000" w:type="dxa"/>
            <w:vAlign w:val="center"/>
          </w:tcPr>
          <w:p>
            <w:pPr>
              <w:spacing w:before="0" w:after="0"/>
              <w:jc w:val="left"/>
            </w:pPr>
            <w:r>
              <w:rPr>
                <w:sz w:val="18"/>
                <w:szCs w:val="18"/>
              </w:rPr>
              <w:t xml:space="preserve">1988-05</w:t>
            </w:r>
          </w:p>
        </w:tc>
        <w:tc>
          <w:tcPr>
            <w:tcW w:w="7072" w:type="dxa"/>
            <w:vAlign w:val="center"/>
          </w:tcPr>
          <w:p>
            <w:pPr>
              <w:spacing w:before="0" w:after="0"/>
              <w:jc w:val="left"/>
            </w:pPr>
            <w:r>
              <w:rPr>
                <w:sz w:val="18"/>
                <w:szCs w:val="18"/>
              </w:rPr>
              <w:t xml:space="preserve">Buyer, Glenhaven Grocers Inc. (fictional)</w:t>
            </w:r>
          </w:p>
        </w:tc>
      </w:tr>
      <w:tr>
        <w:tc>
          <w:tcPr>
            <w:tcW w:w="2000" w:type="dxa"/>
            <w:vAlign w:val="center"/>
          </w:tcPr>
          <w:p>
            <w:pPr>
              <w:spacing w:before="0" w:after="0"/>
              <w:jc w:val="left"/>
            </w:pPr>
            <w:r>
              <w:rPr>
                <w:sz w:val="18"/>
                <w:szCs w:val="18"/>
              </w:rPr>
              <w:t xml:space="preserve">1992-05</w:t>
            </w:r>
          </w:p>
        </w:tc>
        <w:tc>
          <w:tcPr>
            <w:tcW w:w="7072" w:type="dxa"/>
            <w:vAlign w:val="center"/>
          </w:tcPr>
          <w:p>
            <w:pPr>
              <w:spacing w:before="0" w:after="0"/>
              <w:jc w:val="left"/>
            </w:pPr>
            <w:r>
              <w:rPr>
                <w:sz w:val="18"/>
                <w:szCs w:val="18"/>
              </w:rPr>
              <w:t xml:space="preserve">Professor of Business, Westridge State College (fictional)</w:t>
            </w:r>
          </w:p>
        </w:tc>
      </w:tr>
      <w:tr>
        <w:tc>
          <w:tcPr>
            <w:tcW w:w="2000" w:type="dxa"/>
            <w:vAlign w:val="center"/>
          </w:tcPr>
          <w:p>
            <w:pPr>
              <w:spacing w:before="0" w:after="0"/>
              <w:jc w:val="left"/>
            </w:pPr>
            <w:r>
              <w:rPr>
                <w:sz w:val="18"/>
                <w:szCs w:val="18"/>
              </w:rPr>
              <w:t xml:space="preserve">1995-12</w:t>
            </w:r>
          </w:p>
        </w:tc>
        <w:tc>
          <w:tcPr>
            <w:tcW w:w="7072" w:type="dxa"/>
            <w:vAlign w:val="center"/>
          </w:tcPr>
          <w:p>
            <w:pPr>
              <w:spacing w:before="0" w:after="0"/>
              <w:jc w:val="left"/>
            </w:pPr>
            <w:r>
              <w:rPr>
                <w:sz w:val="18"/>
                <w:szCs w:val="18"/>
              </w:rPr>
              <w:t xml:space="preserve">Vice President, Nimbus Coffee, Inc.</w:t>
            </w:r>
          </w:p>
        </w:tc>
      </w:tr>
      <w:tr>
        <w:tc>
          <w:tcPr>
            <w:tcW w:w="2000" w:type="dxa"/>
            <w:vAlign w:val="center"/>
          </w:tcPr>
          <w:p>
            <w:pPr>
              <w:spacing w:before="0" w:after="0"/>
              <w:jc w:val="left"/>
            </w:pPr>
            <w:r>
              <w:rPr>
                <w:sz w:val="18"/>
                <w:szCs w:val="18"/>
              </w:rPr>
              <w:t xml:space="preserve">1996-04</w:t>
            </w:r>
          </w:p>
        </w:tc>
        <w:tc>
          <w:tcPr>
            <w:tcW w:w="7072" w:type="dxa"/>
            <w:vAlign w:val="center"/>
          </w:tcPr>
          <w:p>
            <w:pPr>
              <w:spacing w:before="0" w:after="0"/>
              <w:jc w:val="left"/>
            </w:pPr>
            <w:r>
              <w:rPr>
                <w:sz w:val="18"/>
                <w:szCs w:val="18"/>
              </w:rPr>
              <w:t xml:space="preserve">Director of Store Operations, Nimbus Coffee, Inc.</w:t>
            </w:r>
          </w:p>
        </w:tc>
      </w:tr>
      <w:tr>
        <w:tc>
          <w:tcPr>
            <w:tcW w:w="2000" w:type="dxa"/>
            <w:vAlign w:val="center"/>
          </w:tcPr>
          <w:p>
            <w:pPr>
              <w:spacing w:before="0" w:after="0"/>
              <w:jc w:val="left"/>
            </w:pPr>
            <w:r>
              <w:rPr>
                <w:sz w:val="18"/>
                <w:szCs w:val="18"/>
              </w:rPr>
              <w:t xml:space="preserve">1999-06</w:t>
            </w:r>
          </w:p>
        </w:tc>
        <w:tc>
          <w:tcPr>
            <w:tcW w:w="7072" w:type="dxa"/>
            <w:vAlign w:val="center"/>
          </w:tcPr>
          <w:p>
            <w:pPr>
              <w:spacing w:before="0" w:after="0"/>
              <w:jc w:val="left"/>
            </w:pPr>
            <w:r>
              <w:rPr>
                <w:sz w:val="18"/>
                <w:szCs w:val="18"/>
              </w:rPr>
              <w:t xml:space="preserve">Director, Nimbus Coffee, Inc. (current)</w:t>
            </w:r>
          </w:p>
        </w:tc>
      </w:tr>
      <w:tr>
        <w:tc>
          <w:tcPr>
            <w:tcW w:w="2000" w:type="dxa"/>
            <w:vAlign w:val="center"/>
          </w:tcPr>
          <w:p>
            <w:pPr>
              <w:spacing w:before="0" w:after="0"/>
              <w:jc w:val="left"/>
            </w:pPr>
            <w:r>
              <w:rPr>
                <w:sz w:val="18"/>
                <w:szCs w:val="18"/>
              </w:rPr>
              <w:t xml:space="preserve">2000-10</w:t>
            </w:r>
          </w:p>
        </w:tc>
        <w:tc>
          <w:tcPr>
            <w:tcW w:w="7072" w:type="dxa"/>
            <w:vAlign w:val="center"/>
          </w:tcPr>
          <w:p>
            <w:pPr>
              <w:spacing w:before="0" w:after="0"/>
              <w:jc w:val="left"/>
            </w:pPr>
            <w:r>
              <w:rPr>
                <w:sz w:val="18"/>
                <w:szCs w:val="18"/>
              </w:rPr>
              <w:t xml:space="preserve">Admitted to the bar</w:t>
            </w:r>
          </w:p>
        </w:tc>
      </w:tr>
      <w:tr>
        <w:tc>
          <w:tcPr>
            <w:tcW w:w="2000" w:type="dxa"/>
            <w:vAlign w:val="center"/>
          </w:tcPr>
          <w:p>
            <w:pPr>
              <w:spacing w:before="0" w:after="0"/>
              <w:jc w:val="left"/>
            </w:pPr>
            <w:r>
              <w:rPr>
                <w:sz w:val="18"/>
                <w:szCs w:val="18"/>
              </w:rPr>
              <w:t xml:space="preserve">2012-12</w:t>
            </w:r>
          </w:p>
        </w:tc>
        <w:tc>
          <w:tcPr>
            <w:tcW w:w="7072" w:type="dxa"/>
            <w:vAlign w:val="center"/>
          </w:tcPr>
          <w:p>
            <w:pPr>
              <w:spacing w:before="0" w:after="0"/>
              <w:jc w:val="left"/>
            </w:pPr>
            <w:r>
              <w:rPr>
                <w:sz w:val="18"/>
                <w:szCs w:val="18"/>
              </w:rPr>
              <w:t xml:space="preserve">District Manager, Nimbus Coffee, Inc.</w:t>
            </w:r>
          </w:p>
        </w:tc>
      </w:tr>
      <w:tr>
        <w:tc>
          <w:tcPr>
            <w:tcW w:w="2000" w:type="dxa"/>
            <w:vAlign w:val="center"/>
          </w:tcPr>
          <w:p>
            <w:pPr>
              <w:spacing w:before="0" w:after="0"/>
              <w:jc w:val="left"/>
            </w:pPr>
            <w:r>
              <w:rPr>
                <w:sz w:val="18"/>
                <w:szCs w:val="18"/>
              </w:rPr>
              <w:t xml:space="preserve">2023-03</w:t>
            </w:r>
          </w:p>
        </w:tc>
        <w:tc>
          <w:tcPr>
            <w:tcW w:w="7072" w:type="dxa"/>
            <w:vAlign w:val="center"/>
          </w:tcPr>
          <w:p>
            <w:pPr>
              <w:spacing w:before="0" w:after="0"/>
              <w:jc w:val="left"/>
            </w:pPr>
            <w:r>
              <w:rPr>
                <w:sz w:val="18"/>
                <w:szCs w:val="18"/>
              </w:rPr>
              <w:t xml:space="preserve">Certified public accountant</w:t>
            </w:r>
          </w:p>
        </w:tc>
      </w:tr>
      <w:tr>
        <w:tc>
          <w:tcPr>
            <w:tcW w:w="2000" w:type="dxa"/>
            <w:vAlign w:val="center"/>
          </w:tcPr>
          <w:p>
            <w:pPr>
              <w:spacing w:before="0" w:after="0"/>
              <w:jc w:val="left"/>
            </w:pPr>
            <w:r>
              <w:rPr>
                <w:sz w:val="18"/>
                <w:szCs w:val="18"/>
              </w:rPr>
              <w:t xml:space="preserve">2023-07</w:t>
            </w:r>
          </w:p>
        </w:tc>
        <w:tc>
          <w:tcPr>
            <w:tcW w:w="7072" w:type="dxa"/>
            <w:vAlign w:val="center"/>
          </w:tcPr>
          <w:p>
            <w:pPr>
              <w:spacing w:before="0" w:after="0"/>
              <w:jc w:val="left"/>
            </w:pPr>
            <w:r>
              <w:rPr>
                <w:sz w:val="18"/>
                <w:szCs w:val="18"/>
              </w:rPr>
              <w:t xml:space="preserve">Regional Director, Harborview Bakeries Co. (fictional)</w:t>
            </w:r>
          </w:p>
        </w:tc>
      </w:tr>
    </w:tbl>
    <w:p>
      <w:pPr/>
    </w:p>
    <w:p>
      <w:pPr>
        <w:keepNext/>
      </w:pPr>
      <w:r>
        <w:rPr>
          <w:b/>
        </w:rPr>
        <w:t xml:space="preserve">Independent Director (Audit Committee Chair): Dana Tate (born January 1962)</w:t>
      </w:r>
    </w:p>
    <w:tbl>
      <w:tblPr>
        <w:tblW w:w="907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72" w:type="dxa"/>
          <w:right w:w="72" w:type="dxa"/>
        </w:tblCellMar>
      </w:tblPr>
      <w:tblGrid>
        <w:gridCol w:w="2000"/>
        <w:gridCol w:w="7072"/>
      </w:tblGrid>
      <w:tr>
        <w:trPr>
          <w:tblHeader/>
        </w:trPr>
        <w:tc>
          <w:tcPr>
            <w:tcW w:w="2000" w:type="dxa"/>
            <w:shd w:val="clear" w:color="auto" w:fill="DDEBF7"/>
            <w:vAlign w:val="center"/>
          </w:tcPr>
          <w:p>
            <w:pPr>
              <w:spacing w:before="0" w:after="0"/>
              <w:jc w:val="center"/>
            </w:pPr>
            <w:r>
              <w:rPr>
                <w:b/>
                <w:sz w:val="18"/>
                <w:szCs w:val="18"/>
              </w:rPr>
              <w:t xml:space="preserve">Date</w:t>
            </w:r>
          </w:p>
        </w:tc>
        <w:tc>
          <w:tcPr>
            <w:tcW w:w="7072" w:type="dxa"/>
            <w:shd w:val="clear" w:color="auto" w:fill="DDEBF7"/>
            <w:vAlign w:val="center"/>
          </w:tcPr>
          <w:p>
            <w:pPr>
              <w:spacing w:before="0" w:after="0"/>
              <w:jc w:val="center"/>
            </w:pPr>
            <w:r>
              <w:rPr>
                <w:b/>
                <w:sz w:val="18"/>
                <w:szCs w:val="18"/>
              </w:rPr>
              <w:t xml:space="preserve">Career summary</w:t>
            </w:r>
          </w:p>
        </w:tc>
      </w:tr>
      <w:tr>
        <w:tc>
          <w:tcPr>
            <w:tcW w:w="2000" w:type="dxa"/>
            <w:vAlign w:val="center"/>
          </w:tcPr>
          <w:p>
            <w:pPr>
              <w:spacing w:before="0" w:after="0"/>
              <w:jc w:val="left"/>
            </w:pPr>
            <w:r>
              <w:rPr>
                <w:sz w:val="18"/>
                <w:szCs w:val="18"/>
              </w:rPr>
              <w:t xml:space="preserve">1990-07</w:t>
            </w:r>
          </w:p>
        </w:tc>
        <w:tc>
          <w:tcPr>
            <w:tcW w:w="7072" w:type="dxa"/>
            <w:vAlign w:val="center"/>
          </w:tcPr>
          <w:p>
            <w:pPr>
              <w:spacing w:before="0" w:after="0"/>
              <w:jc w:val="left"/>
            </w:pPr>
            <w:r>
              <w:rPr>
                <w:sz w:val="18"/>
                <w:szCs w:val="18"/>
              </w:rPr>
              <w:t xml:space="preserve">Certified public accountant</w:t>
            </w:r>
          </w:p>
        </w:tc>
      </w:tr>
      <w:tr>
        <w:tc>
          <w:tcPr>
            <w:tcW w:w="2000" w:type="dxa"/>
            <w:vAlign w:val="center"/>
          </w:tcPr>
          <w:p>
            <w:pPr>
              <w:spacing w:before="0" w:after="0"/>
              <w:jc w:val="left"/>
            </w:pPr>
            <w:r>
              <w:rPr>
                <w:sz w:val="18"/>
                <w:szCs w:val="18"/>
              </w:rPr>
              <w:t xml:space="preserve">2000-02</w:t>
            </w:r>
          </w:p>
        </w:tc>
        <w:tc>
          <w:tcPr>
            <w:tcW w:w="7072" w:type="dxa"/>
            <w:vAlign w:val="center"/>
          </w:tcPr>
          <w:p>
            <w:pPr>
              <w:spacing w:before="0" w:after="0"/>
              <w:jc w:val="left"/>
            </w:pPr>
            <w:r>
              <w:rPr>
                <w:sz w:val="18"/>
                <w:szCs w:val="18"/>
              </w:rPr>
              <w:t xml:space="preserve">Admitted to the bar</w:t>
            </w:r>
          </w:p>
        </w:tc>
      </w:tr>
      <w:tr>
        <w:tc>
          <w:tcPr>
            <w:tcW w:w="2000" w:type="dxa"/>
            <w:vAlign w:val="center"/>
          </w:tcPr>
          <w:p>
            <w:pPr>
              <w:spacing w:before="0" w:after="0"/>
              <w:jc w:val="left"/>
            </w:pPr>
            <w:r>
              <w:rPr>
                <w:sz w:val="18"/>
                <w:szCs w:val="18"/>
              </w:rPr>
              <w:t xml:space="preserve">2004-09</w:t>
            </w:r>
          </w:p>
        </w:tc>
        <w:tc>
          <w:tcPr>
            <w:tcW w:w="7072" w:type="dxa"/>
            <w:vAlign w:val="center"/>
          </w:tcPr>
          <w:p>
            <w:pPr>
              <w:spacing w:before="0" w:after="0"/>
              <w:jc w:val="left"/>
            </w:pPr>
            <w:r>
              <w:rPr>
                <w:sz w:val="18"/>
                <w:szCs w:val="18"/>
              </w:rPr>
              <w:t xml:space="preserve">District Manager, Nimbus Coffee, Inc.</w:t>
            </w:r>
          </w:p>
        </w:tc>
      </w:tr>
      <w:tr>
        <w:tc>
          <w:tcPr>
            <w:tcW w:w="2000" w:type="dxa"/>
            <w:vAlign w:val="center"/>
          </w:tcPr>
          <w:p>
            <w:pPr>
              <w:spacing w:before="0" w:after="0"/>
              <w:jc w:val="left"/>
            </w:pPr>
            <w:r>
              <w:rPr>
                <w:sz w:val="18"/>
                <w:szCs w:val="18"/>
              </w:rPr>
              <w:t xml:space="preserve">2010-01</w:t>
            </w:r>
          </w:p>
        </w:tc>
        <w:tc>
          <w:tcPr>
            <w:tcW w:w="7072" w:type="dxa"/>
            <w:vAlign w:val="center"/>
          </w:tcPr>
          <w:p>
            <w:pPr>
              <w:spacing w:before="0" w:after="0"/>
              <w:jc w:val="left"/>
            </w:pPr>
            <w:r>
              <w:rPr>
                <w:sz w:val="18"/>
                <w:szCs w:val="18"/>
              </w:rPr>
              <w:t xml:space="preserve">Head Roaster, Nimbus Coffee, Inc.</w:t>
            </w:r>
          </w:p>
        </w:tc>
      </w:tr>
      <w:tr>
        <w:tc>
          <w:tcPr>
            <w:tcW w:w="2000" w:type="dxa"/>
            <w:vAlign w:val="center"/>
          </w:tcPr>
          <w:p>
            <w:pPr>
              <w:spacing w:before="0" w:after="0"/>
              <w:jc w:val="left"/>
            </w:pPr>
            <w:r>
              <w:rPr>
                <w:sz w:val="18"/>
                <w:szCs w:val="18"/>
              </w:rPr>
              <w:t xml:space="preserve">2010-03</w:t>
            </w:r>
          </w:p>
        </w:tc>
        <w:tc>
          <w:tcPr>
            <w:tcW w:w="7072" w:type="dxa"/>
            <w:vAlign w:val="center"/>
          </w:tcPr>
          <w:p>
            <w:pPr>
              <w:spacing w:before="0" w:after="0"/>
              <w:jc w:val="left"/>
            </w:pPr>
            <w:r>
              <w:rPr>
                <w:sz w:val="18"/>
                <w:szCs w:val="18"/>
              </w:rPr>
              <w:t xml:space="preserve">Controller, Nimbus Coffee, Inc.</w:t>
            </w:r>
          </w:p>
        </w:tc>
      </w:tr>
      <w:tr>
        <w:tc>
          <w:tcPr>
            <w:tcW w:w="2000" w:type="dxa"/>
            <w:vAlign w:val="center"/>
          </w:tcPr>
          <w:p>
            <w:pPr>
              <w:spacing w:before="0" w:after="0"/>
              <w:jc w:val="left"/>
            </w:pPr>
            <w:r>
              <w:rPr>
                <w:sz w:val="18"/>
                <w:szCs w:val="18"/>
              </w:rPr>
              <w:t xml:space="preserve">2018-12</w:t>
            </w:r>
          </w:p>
        </w:tc>
        <w:tc>
          <w:tcPr>
            <w:tcW w:w="7072" w:type="dxa"/>
            <w:vAlign w:val="center"/>
          </w:tcPr>
          <w:p>
            <w:pPr>
              <w:spacing w:before="0" w:after="0"/>
              <w:jc w:val="left"/>
            </w:pPr>
            <w:r>
              <w:rPr>
                <w:sz w:val="18"/>
                <w:szCs w:val="18"/>
              </w:rPr>
              <w:t xml:space="preserve">Vice President, Nimbus Coffee, Inc.</w:t>
            </w:r>
          </w:p>
        </w:tc>
      </w:tr>
    </w:tbl>
    <w:p>
      <w:pPr/>
    </w:p>
    <w:p>
      <w:pPr>
        <w:keepNext/>
      </w:pPr>
      <w:r>
        <w:rPr>
          <w:b/>
        </w:rPr>
        <w:t xml:space="preserve">Vice President, Roasting and Sourcing: Harper Corwin (born July 1967)</w:t>
      </w:r>
    </w:p>
    <w:tbl>
      <w:tblPr>
        <w:tblW w:w="907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72" w:type="dxa"/>
          <w:right w:w="72" w:type="dxa"/>
        </w:tblCellMar>
      </w:tblPr>
      <w:tblGrid>
        <w:gridCol w:w="2000"/>
        <w:gridCol w:w="7072"/>
      </w:tblGrid>
      <w:tr>
        <w:trPr>
          <w:tblHeader/>
        </w:trPr>
        <w:tc>
          <w:tcPr>
            <w:tcW w:w="2000" w:type="dxa"/>
            <w:shd w:val="clear" w:color="auto" w:fill="DDEBF7"/>
            <w:vAlign w:val="center"/>
          </w:tcPr>
          <w:p>
            <w:pPr>
              <w:spacing w:before="0" w:after="0"/>
              <w:jc w:val="center"/>
            </w:pPr>
            <w:r>
              <w:rPr>
                <w:b/>
                <w:sz w:val="18"/>
                <w:szCs w:val="18"/>
              </w:rPr>
              <w:t xml:space="preserve">Date</w:t>
            </w:r>
          </w:p>
        </w:tc>
        <w:tc>
          <w:tcPr>
            <w:tcW w:w="7072" w:type="dxa"/>
            <w:shd w:val="clear" w:color="auto" w:fill="DDEBF7"/>
            <w:vAlign w:val="center"/>
          </w:tcPr>
          <w:p>
            <w:pPr>
              <w:spacing w:before="0" w:after="0"/>
              <w:jc w:val="center"/>
            </w:pPr>
            <w:r>
              <w:rPr>
                <w:b/>
                <w:sz w:val="18"/>
                <w:szCs w:val="18"/>
              </w:rPr>
              <w:t xml:space="preserve">Career summary</w:t>
            </w:r>
          </w:p>
        </w:tc>
      </w:tr>
      <w:tr>
        <w:tc>
          <w:tcPr>
            <w:tcW w:w="2000" w:type="dxa"/>
            <w:vAlign w:val="center"/>
          </w:tcPr>
          <w:p>
            <w:pPr>
              <w:spacing w:before="0" w:after="0"/>
              <w:jc w:val="left"/>
            </w:pPr>
            <w:r>
              <w:rPr>
                <w:sz w:val="18"/>
                <w:szCs w:val="18"/>
              </w:rPr>
              <w:t xml:space="preserve">1994-11</w:t>
            </w:r>
          </w:p>
        </w:tc>
        <w:tc>
          <w:tcPr>
            <w:tcW w:w="7072" w:type="dxa"/>
            <w:vAlign w:val="center"/>
          </w:tcPr>
          <w:p>
            <w:pPr>
              <w:spacing w:before="0" w:after="0"/>
              <w:jc w:val="left"/>
            </w:pPr>
            <w:r>
              <w:rPr>
                <w:sz w:val="18"/>
                <w:szCs w:val="18"/>
              </w:rPr>
              <w:t xml:space="preserve">Professor of Business, Westridge State College (fictional)</w:t>
            </w:r>
          </w:p>
        </w:tc>
      </w:tr>
      <w:tr>
        <w:tc>
          <w:tcPr>
            <w:tcW w:w="2000" w:type="dxa"/>
            <w:vAlign w:val="center"/>
          </w:tcPr>
          <w:p>
            <w:pPr>
              <w:spacing w:before="0" w:after="0"/>
              <w:jc w:val="left"/>
            </w:pPr>
            <w:r>
              <w:rPr>
                <w:sz w:val="18"/>
                <w:szCs w:val="18"/>
              </w:rPr>
              <w:t xml:space="preserve">1995-05</w:t>
            </w:r>
          </w:p>
        </w:tc>
        <w:tc>
          <w:tcPr>
            <w:tcW w:w="7072" w:type="dxa"/>
            <w:vAlign w:val="center"/>
          </w:tcPr>
          <w:p>
            <w:pPr>
              <w:spacing w:before="0" w:after="0"/>
              <w:jc w:val="left"/>
            </w:pPr>
            <w:r>
              <w:rPr>
                <w:sz w:val="18"/>
                <w:szCs w:val="18"/>
              </w:rPr>
              <w:t xml:space="preserve">Director, Nimbus Coffee, Inc. (current)</w:t>
            </w:r>
          </w:p>
        </w:tc>
      </w:tr>
      <w:tr>
        <w:tc>
          <w:tcPr>
            <w:tcW w:w="2000" w:type="dxa"/>
            <w:vAlign w:val="center"/>
          </w:tcPr>
          <w:p>
            <w:pPr>
              <w:spacing w:before="0" w:after="0"/>
              <w:jc w:val="left"/>
            </w:pPr>
            <w:r>
              <w:rPr>
                <w:sz w:val="18"/>
                <w:szCs w:val="18"/>
              </w:rPr>
              <w:t xml:space="preserve">1998-10</w:t>
            </w:r>
          </w:p>
        </w:tc>
        <w:tc>
          <w:tcPr>
            <w:tcW w:w="7072" w:type="dxa"/>
            <w:vAlign w:val="center"/>
          </w:tcPr>
          <w:p>
            <w:pPr>
              <w:spacing w:before="0" w:after="0"/>
              <w:jc w:val="left"/>
            </w:pPr>
            <w:r>
              <w:rPr>
                <w:sz w:val="18"/>
                <w:szCs w:val="18"/>
              </w:rPr>
              <w:t xml:space="preserve">Regional Director, Harborview Bakeries Co. (fictional)</w:t>
            </w:r>
          </w:p>
        </w:tc>
      </w:tr>
      <w:tr>
        <w:tc>
          <w:tcPr>
            <w:tcW w:w="2000" w:type="dxa"/>
            <w:vAlign w:val="center"/>
          </w:tcPr>
          <w:p>
            <w:pPr>
              <w:spacing w:before="0" w:after="0"/>
              <w:jc w:val="left"/>
            </w:pPr>
            <w:r>
              <w:rPr>
                <w:sz w:val="18"/>
                <w:szCs w:val="18"/>
              </w:rPr>
              <w:t xml:space="preserve">2002-01</w:t>
            </w:r>
          </w:p>
        </w:tc>
        <w:tc>
          <w:tcPr>
            <w:tcW w:w="7072" w:type="dxa"/>
            <w:vAlign w:val="center"/>
          </w:tcPr>
          <w:p>
            <w:pPr>
              <w:spacing w:before="0" w:after="0"/>
              <w:jc w:val="left"/>
            </w:pPr>
            <w:r>
              <w:rPr>
                <w:sz w:val="18"/>
                <w:szCs w:val="18"/>
              </w:rPr>
              <w:t xml:space="preserve">Vice President, Nimbus Coffee, Inc.</w:t>
            </w:r>
          </w:p>
        </w:tc>
      </w:tr>
      <w:tr>
        <w:tc>
          <w:tcPr>
            <w:tcW w:w="2000" w:type="dxa"/>
            <w:vAlign w:val="center"/>
          </w:tcPr>
          <w:p>
            <w:pPr>
              <w:spacing w:before="0" w:after="0"/>
              <w:jc w:val="left"/>
            </w:pPr>
            <w:r>
              <w:rPr>
                <w:sz w:val="18"/>
                <w:szCs w:val="18"/>
              </w:rPr>
              <w:t xml:space="preserve">2002-12</w:t>
            </w:r>
          </w:p>
        </w:tc>
        <w:tc>
          <w:tcPr>
            <w:tcW w:w="7072" w:type="dxa"/>
            <w:vAlign w:val="center"/>
          </w:tcPr>
          <w:p>
            <w:pPr>
              <w:spacing w:before="0" w:after="0"/>
              <w:jc w:val="left"/>
            </w:pPr>
            <w:r>
              <w:rPr>
                <w:sz w:val="18"/>
                <w:szCs w:val="18"/>
              </w:rPr>
              <w:t xml:space="preserve">Joined Nimbus Coffee, Inc. as store manager</w:t>
            </w:r>
          </w:p>
        </w:tc>
      </w:tr>
      <w:tr>
        <w:tc>
          <w:tcPr>
            <w:tcW w:w="2000" w:type="dxa"/>
            <w:vAlign w:val="center"/>
          </w:tcPr>
          <w:p>
            <w:pPr>
              <w:spacing w:before="0" w:after="0"/>
              <w:jc w:val="left"/>
            </w:pPr>
            <w:r>
              <w:rPr>
                <w:sz w:val="18"/>
                <w:szCs w:val="18"/>
              </w:rPr>
              <w:t xml:space="preserve">2006-05</w:t>
            </w:r>
          </w:p>
        </w:tc>
        <w:tc>
          <w:tcPr>
            <w:tcW w:w="7072" w:type="dxa"/>
            <w:vAlign w:val="center"/>
          </w:tcPr>
          <w:p>
            <w:pPr>
              <w:spacing w:before="0" w:after="0"/>
              <w:jc w:val="left"/>
            </w:pPr>
            <w:r>
              <w:rPr>
                <w:sz w:val="18"/>
                <w:szCs w:val="18"/>
              </w:rPr>
              <w:t xml:space="preserve">Admitted to the bar</w:t>
            </w:r>
          </w:p>
        </w:tc>
      </w:tr>
      <w:tr>
        <w:tc>
          <w:tcPr>
            <w:tcW w:w="2000" w:type="dxa"/>
            <w:vAlign w:val="center"/>
          </w:tcPr>
          <w:p>
            <w:pPr>
              <w:spacing w:before="0" w:after="0"/>
              <w:jc w:val="left"/>
            </w:pPr>
            <w:r>
              <w:rPr>
                <w:sz w:val="18"/>
                <w:szCs w:val="18"/>
              </w:rPr>
              <w:t xml:space="preserve">2009-03</w:t>
            </w:r>
          </w:p>
        </w:tc>
        <w:tc>
          <w:tcPr>
            <w:tcW w:w="7072" w:type="dxa"/>
            <w:vAlign w:val="center"/>
          </w:tcPr>
          <w:p>
            <w:pPr>
              <w:spacing w:before="0" w:after="0"/>
              <w:jc w:val="left"/>
            </w:pPr>
            <w:r>
              <w:rPr>
                <w:sz w:val="18"/>
                <w:szCs w:val="18"/>
              </w:rPr>
              <w:t xml:space="preserve">Controller, Nimbus Coffee, Inc.</w:t>
            </w:r>
          </w:p>
        </w:tc>
      </w:tr>
      <w:tr>
        <w:tc>
          <w:tcPr>
            <w:tcW w:w="2000" w:type="dxa"/>
            <w:vAlign w:val="center"/>
          </w:tcPr>
          <w:p>
            <w:pPr>
              <w:spacing w:before="0" w:after="0"/>
              <w:jc w:val="left"/>
            </w:pPr>
            <w:r>
              <w:rPr>
                <w:sz w:val="18"/>
                <w:szCs w:val="18"/>
              </w:rPr>
              <w:t xml:space="preserve">2010-08</w:t>
            </w:r>
          </w:p>
        </w:tc>
        <w:tc>
          <w:tcPr>
            <w:tcW w:w="7072" w:type="dxa"/>
            <w:vAlign w:val="center"/>
          </w:tcPr>
          <w:p>
            <w:pPr>
              <w:spacing w:before="0" w:after="0"/>
              <w:jc w:val="left"/>
            </w:pPr>
            <w:r>
              <w:rPr>
                <w:sz w:val="18"/>
                <w:szCs w:val="18"/>
              </w:rPr>
              <w:t xml:space="preserve">Buyer, Glenhaven Grocers Inc. (fictional)</w:t>
            </w:r>
          </w:p>
        </w:tc>
      </w:tr>
    </w:tbl>
    <w:p>
      <w:pPr/>
    </w:p>
    <w:p>
      <w:pPr>
        <w:keepNext/>
      </w:pPr>
      <w:r>
        <w:rPr>
          <w:b/>
        </w:rPr>
        <w:t xml:space="preserve">Vice President, Store Operations: Jordan Greer (born October 1978)</w:t>
      </w:r>
    </w:p>
    <w:tbl>
      <w:tblPr>
        <w:tblW w:w="907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72" w:type="dxa"/>
          <w:right w:w="72" w:type="dxa"/>
        </w:tblCellMar>
      </w:tblPr>
      <w:tblGrid>
        <w:gridCol w:w="2000"/>
        <w:gridCol w:w="7072"/>
      </w:tblGrid>
      <w:tr>
        <w:trPr>
          <w:tblHeader/>
        </w:trPr>
        <w:tc>
          <w:tcPr>
            <w:tcW w:w="2000" w:type="dxa"/>
            <w:shd w:val="clear" w:color="auto" w:fill="DDEBF7"/>
            <w:vAlign w:val="center"/>
          </w:tcPr>
          <w:p>
            <w:pPr>
              <w:spacing w:before="0" w:after="0"/>
              <w:jc w:val="center"/>
            </w:pPr>
            <w:r>
              <w:rPr>
                <w:b/>
                <w:sz w:val="18"/>
                <w:szCs w:val="18"/>
              </w:rPr>
              <w:t xml:space="preserve">Date</w:t>
            </w:r>
          </w:p>
        </w:tc>
        <w:tc>
          <w:tcPr>
            <w:tcW w:w="7072" w:type="dxa"/>
            <w:shd w:val="clear" w:color="auto" w:fill="DDEBF7"/>
            <w:vAlign w:val="center"/>
          </w:tcPr>
          <w:p>
            <w:pPr>
              <w:spacing w:before="0" w:after="0"/>
              <w:jc w:val="center"/>
            </w:pPr>
            <w:r>
              <w:rPr>
                <w:b/>
                <w:sz w:val="18"/>
                <w:szCs w:val="18"/>
              </w:rPr>
              <w:t xml:space="preserve">Career summary</w:t>
            </w:r>
          </w:p>
        </w:tc>
      </w:tr>
      <w:tr>
        <w:tc>
          <w:tcPr>
            <w:tcW w:w="2000" w:type="dxa"/>
            <w:vAlign w:val="center"/>
          </w:tcPr>
          <w:p>
            <w:pPr>
              <w:spacing w:before="0" w:after="0"/>
              <w:jc w:val="left"/>
            </w:pPr>
            <w:r>
              <w:rPr>
                <w:sz w:val="18"/>
                <w:szCs w:val="18"/>
              </w:rPr>
              <w:t xml:space="preserve">1985-07</w:t>
            </w:r>
          </w:p>
        </w:tc>
        <w:tc>
          <w:tcPr>
            <w:tcW w:w="7072" w:type="dxa"/>
            <w:vAlign w:val="center"/>
          </w:tcPr>
          <w:p>
            <w:pPr>
              <w:spacing w:before="0" w:after="0"/>
              <w:jc w:val="left"/>
            </w:pPr>
            <w:r>
              <w:rPr>
                <w:sz w:val="18"/>
                <w:szCs w:val="18"/>
              </w:rPr>
              <w:t xml:space="preserve">Director of Coffee Sourcing, Nimbus Coffee, Inc.</w:t>
            </w:r>
          </w:p>
        </w:tc>
      </w:tr>
      <w:tr>
        <w:tc>
          <w:tcPr>
            <w:tcW w:w="2000" w:type="dxa"/>
            <w:vAlign w:val="center"/>
          </w:tcPr>
          <w:p>
            <w:pPr>
              <w:spacing w:before="0" w:after="0"/>
              <w:jc w:val="left"/>
            </w:pPr>
            <w:r>
              <w:rPr>
                <w:sz w:val="18"/>
                <w:szCs w:val="18"/>
              </w:rPr>
              <w:t xml:space="preserve">1986-05</w:t>
            </w:r>
          </w:p>
        </w:tc>
        <w:tc>
          <w:tcPr>
            <w:tcW w:w="7072" w:type="dxa"/>
            <w:vAlign w:val="center"/>
          </w:tcPr>
          <w:p>
            <w:pPr>
              <w:spacing w:before="0" w:after="0"/>
              <w:jc w:val="left"/>
            </w:pPr>
            <w:r>
              <w:rPr>
                <w:sz w:val="18"/>
                <w:szCs w:val="18"/>
              </w:rPr>
              <w:t xml:space="preserve">Partner, Fenwick &amp; Oakes LLP (accounting firm, fictional)</w:t>
            </w:r>
          </w:p>
        </w:tc>
      </w:tr>
      <w:tr>
        <w:tc>
          <w:tcPr>
            <w:tcW w:w="2000" w:type="dxa"/>
            <w:vAlign w:val="center"/>
          </w:tcPr>
          <w:p>
            <w:pPr>
              <w:spacing w:before="0" w:after="0"/>
              <w:jc w:val="left"/>
            </w:pPr>
            <w:r>
              <w:rPr>
                <w:sz w:val="18"/>
                <w:szCs w:val="18"/>
              </w:rPr>
              <w:t xml:space="preserve">1988-07</w:t>
            </w:r>
          </w:p>
        </w:tc>
        <w:tc>
          <w:tcPr>
            <w:tcW w:w="7072" w:type="dxa"/>
            <w:vAlign w:val="center"/>
          </w:tcPr>
          <w:p>
            <w:pPr>
              <w:spacing w:before="0" w:after="0"/>
              <w:jc w:val="left"/>
            </w:pPr>
            <w:r>
              <w:rPr>
                <w:sz w:val="18"/>
                <w:szCs w:val="18"/>
              </w:rPr>
              <w:t xml:space="preserve">Vice President, Nimbus Coffee, Inc.</w:t>
            </w:r>
          </w:p>
        </w:tc>
      </w:tr>
      <w:tr>
        <w:tc>
          <w:tcPr>
            <w:tcW w:w="2000" w:type="dxa"/>
            <w:vAlign w:val="center"/>
          </w:tcPr>
          <w:p>
            <w:pPr>
              <w:spacing w:before="0" w:after="0"/>
              <w:jc w:val="left"/>
            </w:pPr>
            <w:r>
              <w:rPr>
                <w:sz w:val="18"/>
                <w:szCs w:val="18"/>
              </w:rPr>
              <w:t xml:space="preserve">1991-05</w:t>
            </w:r>
          </w:p>
        </w:tc>
        <w:tc>
          <w:tcPr>
            <w:tcW w:w="7072" w:type="dxa"/>
            <w:vAlign w:val="center"/>
          </w:tcPr>
          <w:p>
            <w:pPr>
              <w:spacing w:before="0" w:after="0"/>
              <w:jc w:val="left"/>
            </w:pPr>
            <w:r>
              <w:rPr>
                <w:sz w:val="18"/>
                <w:szCs w:val="18"/>
              </w:rPr>
              <w:t xml:space="preserve">Certified public accountant</w:t>
            </w:r>
          </w:p>
        </w:tc>
      </w:tr>
      <w:tr>
        <w:tc>
          <w:tcPr>
            <w:tcW w:w="2000" w:type="dxa"/>
            <w:vAlign w:val="center"/>
          </w:tcPr>
          <w:p>
            <w:pPr>
              <w:spacing w:before="0" w:after="0"/>
              <w:jc w:val="left"/>
            </w:pPr>
            <w:r>
              <w:rPr>
                <w:sz w:val="18"/>
                <w:szCs w:val="18"/>
              </w:rPr>
              <w:t xml:space="preserve">2000-07</w:t>
            </w:r>
          </w:p>
        </w:tc>
        <w:tc>
          <w:tcPr>
            <w:tcW w:w="7072" w:type="dxa"/>
            <w:vAlign w:val="center"/>
          </w:tcPr>
          <w:p>
            <w:pPr>
              <w:spacing w:before="0" w:after="0"/>
              <w:jc w:val="left"/>
            </w:pPr>
            <w:r>
              <w:rPr>
                <w:sz w:val="18"/>
                <w:szCs w:val="18"/>
              </w:rPr>
              <w:t xml:space="preserve">Director, Nimbus Coffee, Inc. (current)</w:t>
            </w:r>
          </w:p>
        </w:tc>
      </w:tr>
      <w:tr>
        <w:tc>
          <w:tcPr>
            <w:tcW w:w="2000" w:type="dxa"/>
            <w:vAlign w:val="center"/>
          </w:tcPr>
          <w:p>
            <w:pPr>
              <w:spacing w:before="0" w:after="0"/>
              <w:jc w:val="left"/>
            </w:pPr>
            <w:r>
              <w:rPr>
                <w:sz w:val="18"/>
                <w:szCs w:val="18"/>
              </w:rPr>
              <w:t xml:space="preserve">2007-11</w:t>
            </w:r>
          </w:p>
        </w:tc>
        <w:tc>
          <w:tcPr>
            <w:tcW w:w="7072" w:type="dxa"/>
            <w:vAlign w:val="center"/>
          </w:tcPr>
          <w:p>
            <w:pPr>
              <w:spacing w:before="0" w:after="0"/>
              <w:jc w:val="left"/>
            </w:pPr>
            <w:r>
              <w:rPr>
                <w:sz w:val="18"/>
                <w:szCs w:val="18"/>
              </w:rPr>
              <w:t xml:space="preserve">Joined Nimbus Coffee, Inc. as store manager</w:t>
            </w:r>
          </w:p>
        </w:tc>
      </w:tr>
      <w:tr>
        <w:tc>
          <w:tcPr>
            <w:tcW w:w="2000" w:type="dxa"/>
            <w:vAlign w:val="center"/>
          </w:tcPr>
          <w:p>
            <w:pPr>
              <w:spacing w:before="0" w:after="0"/>
              <w:jc w:val="left"/>
            </w:pPr>
            <w:r>
              <w:rPr>
                <w:sz w:val="18"/>
                <w:szCs w:val="18"/>
              </w:rPr>
              <w:t xml:space="preserve">2010-04</w:t>
            </w:r>
          </w:p>
        </w:tc>
        <w:tc>
          <w:tcPr>
            <w:tcW w:w="7072" w:type="dxa"/>
            <w:vAlign w:val="center"/>
          </w:tcPr>
          <w:p>
            <w:pPr>
              <w:spacing w:before="0" w:after="0"/>
              <w:jc w:val="left"/>
            </w:pPr>
            <w:r>
              <w:rPr>
                <w:sz w:val="18"/>
                <w:szCs w:val="18"/>
              </w:rPr>
              <w:t xml:space="preserve">Admitted to the bar</w:t>
            </w:r>
          </w:p>
        </w:tc>
      </w:tr>
      <w:tr>
        <w:tc>
          <w:tcPr>
            <w:tcW w:w="2000" w:type="dxa"/>
            <w:vAlign w:val="center"/>
          </w:tcPr>
          <w:p>
            <w:pPr>
              <w:spacing w:before="0" w:after="0"/>
              <w:jc w:val="left"/>
            </w:pPr>
            <w:r>
              <w:rPr>
                <w:sz w:val="18"/>
                <w:szCs w:val="18"/>
              </w:rPr>
              <w:t xml:space="preserve">2014-12</w:t>
            </w:r>
          </w:p>
        </w:tc>
        <w:tc>
          <w:tcPr>
            <w:tcW w:w="7072" w:type="dxa"/>
            <w:vAlign w:val="center"/>
          </w:tcPr>
          <w:p>
            <w:pPr>
              <w:spacing w:before="0" w:after="0"/>
              <w:jc w:val="left"/>
            </w:pPr>
            <w:r>
              <w:rPr>
                <w:sz w:val="18"/>
                <w:szCs w:val="18"/>
              </w:rPr>
              <w:t xml:space="preserve">Buyer, Glenhaven Grocers Inc. (fictional)</w:t>
            </w:r>
          </w:p>
        </w:tc>
      </w:tr>
      <w:tr>
        <w:tc>
          <w:tcPr>
            <w:tcW w:w="2000" w:type="dxa"/>
            <w:vAlign w:val="center"/>
          </w:tcPr>
          <w:p>
            <w:pPr>
              <w:spacing w:before="0" w:after="0"/>
              <w:jc w:val="left"/>
            </w:pPr>
            <w:r>
              <w:rPr>
                <w:sz w:val="18"/>
                <w:szCs w:val="18"/>
              </w:rPr>
              <w:t xml:space="preserve">2016-09</w:t>
            </w:r>
          </w:p>
        </w:tc>
        <w:tc>
          <w:tcPr>
            <w:tcW w:w="7072" w:type="dxa"/>
            <w:vAlign w:val="center"/>
          </w:tcPr>
          <w:p>
            <w:pPr>
              <w:spacing w:before="0" w:after="0"/>
              <w:jc w:val="left"/>
            </w:pPr>
            <w:r>
              <w:rPr>
                <w:sz w:val="18"/>
                <w:szCs w:val="18"/>
              </w:rPr>
              <w:t xml:space="preserve">Regional Director, Harborview Bakeries Co. (fictional)</w:t>
            </w:r>
          </w:p>
        </w:tc>
      </w:tr>
      <w:tr>
        <w:tc>
          <w:tcPr>
            <w:tcW w:w="2000" w:type="dxa"/>
            <w:vAlign w:val="center"/>
          </w:tcPr>
          <w:p>
            <w:pPr>
              <w:spacing w:before="0" w:after="0"/>
              <w:jc w:val="left"/>
            </w:pPr>
            <w:r>
              <w:rPr>
                <w:sz w:val="18"/>
                <w:szCs w:val="18"/>
              </w:rPr>
              <w:t xml:space="preserve">2024-09</w:t>
            </w:r>
          </w:p>
        </w:tc>
        <w:tc>
          <w:tcPr>
            <w:tcW w:w="7072" w:type="dxa"/>
            <w:vAlign w:val="center"/>
          </w:tcPr>
          <w:p>
            <w:pPr>
              <w:spacing w:before="0" w:after="0"/>
              <w:jc w:val="left"/>
            </w:pPr>
            <w:r>
              <w:rPr>
                <w:sz w:val="18"/>
                <w:szCs w:val="18"/>
              </w:rPr>
              <w:t xml:space="preserve">District Manager, Nimbus Coffee, Inc.</w:t>
            </w:r>
          </w:p>
        </w:tc>
      </w:tr>
    </w:tbl>
    <w:p>
      <w:pPr/>
    </w:p>
    <w:p>
      <w:pPr>
        <w:keepNext/>
      </w:pPr>
      <w:r>
        <w:rPr>
          <w:b/>
        </w:rPr>
        <w:t xml:space="preserve">Vice President, Supply Chain: Sawyer Brandt (born April 1964)</w:t>
      </w:r>
    </w:p>
    <w:tbl>
      <w:tblPr>
        <w:tblW w:w="907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72" w:type="dxa"/>
          <w:right w:w="72" w:type="dxa"/>
        </w:tblCellMar>
      </w:tblPr>
      <w:tblGrid>
        <w:gridCol w:w="2000"/>
        <w:gridCol w:w="7072"/>
      </w:tblGrid>
      <w:tr>
        <w:trPr>
          <w:tblHeader/>
        </w:trPr>
        <w:tc>
          <w:tcPr>
            <w:tcW w:w="2000" w:type="dxa"/>
            <w:shd w:val="clear" w:color="auto" w:fill="DDEBF7"/>
            <w:vAlign w:val="center"/>
          </w:tcPr>
          <w:p>
            <w:pPr>
              <w:spacing w:before="0" w:after="0"/>
              <w:jc w:val="center"/>
            </w:pPr>
            <w:r>
              <w:rPr>
                <w:b/>
                <w:sz w:val="18"/>
                <w:szCs w:val="18"/>
              </w:rPr>
              <w:t xml:space="preserve">Date</w:t>
            </w:r>
          </w:p>
        </w:tc>
        <w:tc>
          <w:tcPr>
            <w:tcW w:w="7072" w:type="dxa"/>
            <w:shd w:val="clear" w:color="auto" w:fill="DDEBF7"/>
            <w:vAlign w:val="center"/>
          </w:tcPr>
          <w:p>
            <w:pPr>
              <w:spacing w:before="0" w:after="0"/>
              <w:jc w:val="center"/>
            </w:pPr>
            <w:r>
              <w:rPr>
                <w:b/>
                <w:sz w:val="18"/>
                <w:szCs w:val="18"/>
              </w:rPr>
              <w:t xml:space="preserve">Career summary</w:t>
            </w:r>
          </w:p>
        </w:tc>
      </w:tr>
      <w:tr>
        <w:tc>
          <w:tcPr>
            <w:tcW w:w="2000" w:type="dxa"/>
            <w:vAlign w:val="center"/>
          </w:tcPr>
          <w:p>
            <w:pPr>
              <w:spacing w:before="0" w:after="0"/>
              <w:jc w:val="left"/>
            </w:pPr>
            <w:r>
              <w:rPr>
                <w:sz w:val="18"/>
                <w:szCs w:val="18"/>
              </w:rPr>
              <w:t xml:space="preserve">1986-10</w:t>
            </w:r>
          </w:p>
        </w:tc>
        <w:tc>
          <w:tcPr>
            <w:tcW w:w="7072" w:type="dxa"/>
            <w:vAlign w:val="center"/>
          </w:tcPr>
          <w:p>
            <w:pPr>
              <w:spacing w:before="0" w:after="0"/>
              <w:jc w:val="left"/>
            </w:pPr>
            <w:r>
              <w:rPr>
                <w:sz w:val="18"/>
                <w:szCs w:val="18"/>
              </w:rPr>
              <w:t xml:space="preserve">District Manager, Nimbus Coffee, Inc.</w:t>
            </w:r>
          </w:p>
        </w:tc>
      </w:tr>
      <w:tr>
        <w:tc>
          <w:tcPr>
            <w:tcW w:w="2000" w:type="dxa"/>
            <w:vAlign w:val="center"/>
          </w:tcPr>
          <w:p>
            <w:pPr>
              <w:spacing w:before="0" w:after="0"/>
              <w:jc w:val="left"/>
            </w:pPr>
            <w:r>
              <w:rPr>
                <w:sz w:val="18"/>
                <w:szCs w:val="18"/>
              </w:rPr>
              <w:t xml:space="preserve">1991-09</w:t>
            </w:r>
          </w:p>
        </w:tc>
        <w:tc>
          <w:tcPr>
            <w:tcW w:w="7072" w:type="dxa"/>
            <w:vAlign w:val="center"/>
          </w:tcPr>
          <w:p>
            <w:pPr>
              <w:spacing w:before="0" w:after="0"/>
              <w:jc w:val="left"/>
            </w:pPr>
            <w:r>
              <w:rPr>
                <w:sz w:val="18"/>
                <w:szCs w:val="18"/>
              </w:rPr>
              <w:t xml:space="preserve">Professor of Business, Westridge State College (fictional)</w:t>
            </w:r>
          </w:p>
        </w:tc>
      </w:tr>
      <w:tr>
        <w:tc>
          <w:tcPr>
            <w:tcW w:w="2000" w:type="dxa"/>
            <w:vAlign w:val="center"/>
          </w:tcPr>
          <w:p>
            <w:pPr>
              <w:spacing w:before="0" w:after="0"/>
              <w:jc w:val="left"/>
            </w:pPr>
            <w:r>
              <w:rPr>
                <w:sz w:val="18"/>
                <w:szCs w:val="18"/>
              </w:rPr>
              <w:t xml:space="preserve">1992-07</w:t>
            </w:r>
          </w:p>
        </w:tc>
        <w:tc>
          <w:tcPr>
            <w:tcW w:w="7072" w:type="dxa"/>
            <w:vAlign w:val="center"/>
          </w:tcPr>
          <w:p>
            <w:pPr>
              <w:spacing w:before="0" w:after="0"/>
              <w:jc w:val="left"/>
            </w:pPr>
            <w:r>
              <w:rPr>
                <w:sz w:val="18"/>
                <w:szCs w:val="18"/>
              </w:rPr>
              <w:t xml:space="preserve">Head Roaster, Nimbus Coffee, Inc.</w:t>
            </w:r>
          </w:p>
        </w:tc>
      </w:tr>
      <w:tr>
        <w:tc>
          <w:tcPr>
            <w:tcW w:w="2000" w:type="dxa"/>
            <w:vAlign w:val="center"/>
          </w:tcPr>
          <w:p>
            <w:pPr>
              <w:spacing w:before="0" w:after="0"/>
              <w:jc w:val="left"/>
            </w:pPr>
            <w:r>
              <w:rPr>
                <w:sz w:val="18"/>
                <w:szCs w:val="18"/>
              </w:rPr>
              <w:t xml:space="preserve">1998-04</w:t>
            </w:r>
          </w:p>
        </w:tc>
        <w:tc>
          <w:tcPr>
            <w:tcW w:w="7072" w:type="dxa"/>
            <w:vAlign w:val="center"/>
          </w:tcPr>
          <w:p>
            <w:pPr>
              <w:spacing w:before="0" w:after="0"/>
              <w:jc w:val="left"/>
            </w:pPr>
            <w:r>
              <w:rPr>
                <w:sz w:val="18"/>
                <w:szCs w:val="18"/>
              </w:rPr>
              <w:t xml:space="preserve">Admitted to the bar</w:t>
            </w:r>
          </w:p>
        </w:tc>
      </w:tr>
      <w:tr>
        <w:tc>
          <w:tcPr>
            <w:tcW w:w="2000" w:type="dxa"/>
            <w:vAlign w:val="center"/>
          </w:tcPr>
          <w:p>
            <w:pPr>
              <w:spacing w:before="0" w:after="0"/>
              <w:jc w:val="left"/>
            </w:pPr>
            <w:r>
              <w:rPr>
                <w:sz w:val="18"/>
                <w:szCs w:val="18"/>
              </w:rPr>
              <w:t xml:space="preserve">2014-05</w:t>
            </w:r>
          </w:p>
        </w:tc>
        <w:tc>
          <w:tcPr>
            <w:tcW w:w="7072" w:type="dxa"/>
            <w:vAlign w:val="center"/>
          </w:tcPr>
          <w:p>
            <w:pPr>
              <w:spacing w:before="0" w:after="0"/>
              <w:jc w:val="left"/>
            </w:pPr>
            <w:r>
              <w:rPr>
                <w:sz w:val="18"/>
                <w:szCs w:val="18"/>
              </w:rPr>
              <w:t xml:space="preserve">Director of Store Operations, Nimbus Coffee, Inc.</w:t>
            </w:r>
          </w:p>
        </w:tc>
      </w:tr>
      <w:tr>
        <w:tc>
          <w:tcPr>
            <w:tcW w:w="2000" w:type="dxa"/>
            <w:vAlign w:val="center"/>
          </w:tcPr>
          <w:p>
            <w:pPr>
              <w:spacing w:before="0" w:after="0"/>
              <w:jc w:val="left"/>
            </w:pPr>
            <w:r>
              <w:rPr>
                <w:sz w:val="18"/>
                <w:szCs w:val="18"/>
              </w:rPr>
              <w:t xml:space="preserve">2020-10</w:t>
            </w:r>
          </w:p>
        </w:tc>
        <w:tc>
          <w:tcPr>
            <w:tcW w:w="7072" w:type="dxa"/>
            <w:vAlign w:val="center"/>
          </w:tcPr>
          <w:p>
            <w:pPr>
              <w:spacing w:before="0" w:after="0"/>
              <w:jc w:val="left"/>
            </w:pPr>
            <w:r>
              <w:rPr>
                <w:sz w:val="18"/>
                <w:szCs w:val="18"/>
              </w:rPr>
              <w:t xml:space="preserve">Partner, Fenwick &amp; Oakes LLP (accounting firm, fictional)</w:t>
            </w:r>
          </w:p>
        </w:tc>
      </w:tr>
      <w:tr>
        <w:tc>
          <w:tcPr>
            <w:tcW w:w="2000" w:type="dxa"/>
            <w:vAlign w:val="center"/>
          </w:tcPr>
          <w:p>
            <w:pPr>
              <w:spacing w:before="0" w:after="0"/>
              <w:jc w:val="left"/>
            </w:pPr>
            <w:r>
              <w:rPr>
                <w:sz w:val="18"/>
                <w:szCs w:val="18"/>
              </w:rPr>
              <w:t xml:space="preserve">2023-06</w:t>
            </w:r>
          </w:p>
        </w:tc>
        <w:tc>
          <w:tcPr>
            <w:tcW w:w="7072" w:type="dxa"/>
            <w:vAlign w:val="center"/>
          </w:tcPr>
          <w:p>
            <w:pPr>
              <w:spacing w:before="0" w:after="0"/>
              <w:jc w:val="left"/>
            </w:pPr>
            <w:r>
              <w:rPr>
                <w:sz w:val="18"/>
                <w:szCs w:val="18"/>
              </w:rPr>
              <w:t xml:space="preserve">Controller, Nimbus Coffee, Inc.</w:t>
            </w:r>
          </w:p>
        </w:tc>
      </w:tr>
    </w:tbl>
    <w:p>
      <w:pPr/>
    </w:p>
    <w:p>
      <w:pPr>
        <w:keepNext/>
      </w:pPr>
      <w:r>
        <w:rPr>
          <w:b/>
        </w:rPr>
        <w:t xml:space="preserve">General Counsel and Corporate Secretary: Dana Faraday (born June 1961)</w:t>
      </w:r>
    </w:p>
    <w:tbl>
      <w:tblPr>
        <w:tblW w:w="907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72" w:type="dxa"/>
          <w:right w:w="72" w:type="dxa"/>
        </w:tblCellMar>
      </w:tblPr>
      <w:tblGrid>
        <w:gridCol w:w="2000"/>
        <w:gridCol w:w="7072"/>
      </w:tblGrid>
      <w:tr>
        <w:trPr>
          <w:tblHeader/>
        </w:trPr>
        <w:tc>
          <w:tcPr>
            <w:tcW w:w="2000" w:type="dxa"/>
            <w:shd w:val="clear" w:color="auto" w:fill="DDEBF7"/>
            <w:vAlign w:val="center"/>
          </w:tcPr>
          <w:p>
            <w:pPr>
              <w:spacing w:before="0" w:after="0"/>
              <w:jc w:val="center"/>
            </w:pPr>
            <w:r>
              <w:rPr>
                <w:b/>
                <w:sz w:val="18"/>
                <w:szCs w:val="18"/>
              </w:rPr>
              <w:t xml:space="preserve">Date</w:t>
            </w:r>
          </w:p>
        </w:tc>
        <w:tc>
          <w:tcPr>
            <w:tcW w:w="7072" w:type="dxa"/>
            <w:shd w:val="clear" w:color="auto" w:fill="DDEBF7"/>
            <w:vAlign w:val="center"/>
          </w:tcPr>
          <w:p>
            <w:pPr>
              <w:spacing w:before="0" w:after="0"/>
              <w:jc w:val="center"/>
            </w:pPr>
            <w:r>
              <w:rPr>
                <w:b/>
                <w:sz w:val="18"/>
                <w:szCs w:val="18"/>
              </w:rPr>
              <w:t xml:space="preserve">Career summary</w:t>
            </w:r>
          </w:p>
        </w:tc>
      </w:tr>
      <w:tr>
        <w:tc>
          <w:tcPr>
            <w:tcW w:w="2000" w:type="dxa"/>
            <w:vAlign w:val="center"/>
          </w:tcPr>
          <w:p>
            <w:pPr>
              <w:spacing w:before="0" w:after="0"/>
              <w:jc w:val="left"/>
            </w:pPr>
            <w:r>
              <w:rPr>
                <w:sz w:val="18"/>
                <w:szCs w:val="18"/>
              </w:rPr>
              <w:t xml:space="preserve">1998-04</w:t>
            </w:r>
          </w:p>
        </w:tc>
        <w:tc>
          <w:tcPr>
            <w:tcW w:w="7072" w:type="dxa"/>
            <w:vAlign w:val="center"/>
          </w:tcPr>
          <w:p>
            <w:pPr>
              <w:spacing w:before="0" w:after="0"/>
              <w:jc w:val="left"/>
            </w:pPr>
            <w:r>
              <w:rPr>
                <w:sz w:val="18"/>
                <w:szCs w:val="18"/>
              </w:rPr>
              <w:t xml:space="preserve">Certified public accountant</w:t>
            </w:r>
          </w:p>
        </w:tc>
      </w:tr>
      <w:tr>
        <w:tc>
          <w:tcPr>
            <w:tcW w:w="2000" w:type="dxa"/>
            <w:vAlign w:val="center"/>
          </w:tcPr>
          <w:p>
            <w:pPr>
              <w:spacing w:before="0" w:after="0"/>
              <w:jc w:val="left"/>
            </w:pPr>
            <w:r>
              <w:rPr>
                <w:sz w:val="18"/>
                <w:szCs w:val="18"/>
              </w:rPr>
              <w:t xml:space="preserve">1999-11</w:t>
            </w:r>
          </w:p>
        </w:tc>
        <w:tc>
          <w:tcPr>
            <w:tcW w:w="7072" w:type="dxa"/>
            <w:vAlign w:val="center"/>
          </w:tcPr>
          <w:p>
            <w:pPr>
              <w:spacing w:before="0" w:after="0"/>
              <w:jc w:val="left"/>
            </w:pPr>
            <w:r>
              <w:rPr>
                <w:sz w:val="18"/>
                <w:szCs w:val="18"/>
              </w:rPr>
              <w:t xml:space="preserve">Director, Nimbus Coffee, Inc. (current)</w:t>
            </w:r>
          </w:p>
        </w:tc>
      </w:tr>
      <w:tr>
        <w:tc>
          <w:tcPr>
            <w:tcW w:w="2000" w:type="dxa"/>
            <w:vAlign w:val="center"/>
          </w:tcPr>
          <w:p>
            <w:pPr>
              <w:spacing w:before="0" w:after="0"/>
              <w:jc w:val="left"/>
            </w:pPr>
            <w:r>
              <w:rPr>
                <w:sz w:val="18"/>
                <w:szCs w:val="18"/>
              </w:rPr>
              <w:t xml:space="preserve">2005-02</w:t>
            </w:r>
          </w:p>
        </w:tc>
        <w:tc>
          <w:tcPr>
            <w:tcW w:w="7072" w:type="dxa"/>
            <w:vAlign w:val="center"/>
          </w:tcPr>
          <w:p>
            <w:pPr>
              <w:spacing w:before="0" w:after="0"/>
              <w:jc w:val="left"/>
            </w:pPr>
            <w:r>
              <w:rPr>
                <w:sz w:val="18"/>
                <w:szCs w:val="18"/>
              </w:rPr>
              <w:t xml:space="preserve">Controller, Nimbus Coffee, Inc.</w:t>
            </w:r>
          </w:p>
        </w:tc>
      </w:tr>
      <w:tr>
        <w:tc>
          <w:tcPr>
            <w:tcW w:w="2000" w:type="dxa"/>
            <w:vAlign w:val="center"/>
          </w:tcPr>
          <w:p>
            <w:pPr>
              <w:spacing w:before="0" w:after="0"/>
              <w:jc w:val="left"/>
            </w:pPr>
            <w:r>
              <w:rPr>
                <w:sz w:val="18"/>
                <w:szCs w:val="18"/>
              </w:rPr>
              <w:t xml:space="preserve">2010-07</w:t>
            </w:r>
          </w:p>
        </w:tc>
        <w:tc>
          <w:tcPr>
            <w:tcW w:w="7072" w:type="dxa"/>
            <w:vAlign w:val="center"/>
          </w:tcPr>
          <w:p>
            <w:pPr>
              <w:spacing w:before="0" w:after="0"/>
              <w:jc w:val="left"/>
            </w:pPr>
            <w:r>
              <w:rPr>
                <w:sz w:val="18"/>
                <w:szCs w:val="18"/>
              </w:rPr>
              <w:t xml:space="preserve">Admitted to the bar</w:t>
            </w:r>
          </w:p>
        </w:tc>
      </w:tr>
      <w:tr>
        <w:tc>
          <w:tcPr>
            <w:tcW w:w="2000" w:type="dxa"/>
            <w:vAlign w:val="center"/>
          </w:tcPr>
          <w:p>
            <w:pPr>
              <w:spacing w:before="0" w:after="0"/>
              <w:jc w:val="left"/>
            </w:pPr>
            <w:r>
              <w:rPr>
                <w:sz w:val="18"/>
                <w:szCs w:val="18"/>
              </w:rPr>
              <w:t xml:space="preserve">2015-02</w:t>
            </w:r>
          </w:p>
        </w:tc>
        <w:tc>
          <w:tcPr>
            <w:tcW w:w="7072" w:type="dxa"/>
            <w:vAlign w:val="center"/>
          </w:tcPr>
          <w:p>
            <w:pPr>
              <w:spacing w:before="0" w:after="0"/>
              <w:jc w:val="left"/>
            </w:pPr>
            <w:r>
              <w:rPr>
                <w:sz w:val="18"/>
                <w:szCs w:val="18"/>
              </w:rPr>
              <w:t xml:space="preserve">Professor of Business, Westridge State College (fictional)</w:t>
            </w:r>
          </w:p>
        </w:tc>
      </w:tr>
      <w:tr>
        <w:tc>
          <w:tcPr>
            <w:tcW w:w="2000" w:type="dxa"/>
            <w:vAlign w:val="center"/>
          </w:tcPr>
          <w:p>
            <w:pPr>
              <w:spacing w:before="0" w:after="0"/>
              <w:jc w:val="left"/>
            </w:pPr>
            <w:r>
              <w:rPr>
                <w:sz w:val="18"/>
                <w:szCs w:val="18"/>
              </w:rPr>
              <w:t xml:space="preserve">2017-12</w:t>
            </w:r>
          </w:p>
        </w:tc>
        <w:tc>
          <w:tcPr>
            <w:tcW w:w="7072" w:type="dxa"/>
            <w:vAlign w:val="center"/>
          </w:tcPr>
          <w:p>
            <w:pPr>
              <w:spacing w:before="0" w:after="0"/>
              <w:jc w:val="left"/>
            </w:pPr>
            <w:r>
              <w:rPr>
                <w:sz w:val="18"/>
                <w:szCs w:val="18"/>
              </w:rPr>
              <w:t xml:space="preserve">Vice President, Nimbus Coffee, Inc.</w:t>
            </w:r>
          </w:p>
        </w:tc>
      </w:tr>
      <w:tr>
        <w:tc>
          <w:tcPr>
            <w:tcW w:w="2000" w:type="dxa"/>
            <w:vAlign w:val="center"/>
          </w:tcPr>
          <w:p>
            <w:pPr>
              <w:spacing w:before="0" w:after="0"/>
              <w:jc w:val="left"/>
            </w:pPr>
            <w:r>
              <w:rPr>
                <w:sz w:val="18"/>
                <w:szCs w:val="18"/>
              </w:rPr>
              <w:t xml:space="preserve">2024-08</w:t>
            </w:r>
          </w:p>
        </w:tc>
        <w:tc>
          <w:tcPr>
            <w:tcW w:w="7072" w:type="dxa"/>
            <w:vAlign w:val="center"/>
          </w:tcPr>
          <w:p>
            <w:pPr>
              <w:spacing w:before="0" w:after="0"/>
              <w:jc w:val="left"/>
            </w:pPr>
            <w:r>
              <w:rPr>
                <w:sz w:val="18"/>
                <w:szCs w:val="18"/>
              </w:rPr>
              <w:t xml:space="preserve">District Manager, Nimbus Coffee, Inc.</w:t>
            </w:r>
          </w:p>
        </w:tc>
      </w:tr>
    </w:tbl>
    <w:p>
      <w:pPr/>
    </w:p>
    <w:p>
      <w:r>
        <w:br w:type="page"/>
      </w:r>
    </w:p>
    <w:p>
      <w:pPr>
        <w:pStyle w:val="Heading3"/>
        <w:keepNext/>
      </w:pPr>
      <w:r>
        <w:t xml:space="preserve">(3) Stock Options</w:t>
      </w:r>
    </w:p>
    <w:p>
      <w:pPr>
        <w:keepNext/>
      </w:pPr>
      <w:r>
        <w:rPr>
          <w:b/>
        </w:rPr>
        <w:t xml:space="preserve">Stock options granted under the 2018 Equity Incentive Plan (resolution of the board of directors, October 2018)</w:t>
      </w:r>
    </w:p>
    <w:tbl>
      <w:tblPr>
        <w:tblW w:w="907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72" w:type="dxa"/>
          <w:right w:w="72" w:type="dxa"/>
        </w:tblCellMar>
      </w:tblPr>
      <w:tblGrid>
        <w:gridCol w:w="4072"/>
        <w:gridCol w:w="2500"/>
        <w:gridCol w:w="2500"/>
      </w:tblGrid>
      <w:tr>
        <w:trPr>
          <w:tblHeader/>
        </w:trPr>
        <w:tc>
          <w:tcPr>
            <w:tcW w:w="4072" w:type="dxa"/>
            <w:shd w:val="clear" w:color="auto" w:fill="DDEBF7"/>
            <w:vAlign w:val="center"/>
          </w:tcPr>
          <w:p>
            <w:pPr>
              <w:spacing w:before="0" w:after="0"/>
              <w:jc w:val="center"/>
            </w:pPr>
            <w:r>
              <w:rPr>
                <w:b/>
                <w:sz w:val="18"/>
                <w:szCs w:val="18"/>
              </w:rPr>
              <w:t xml:space="preserve"/>
            </w:r>
          </w:p>
        </w:tc>
        <w:tc>
          <w:tcPr>
            <w:tcW w:w="2500" w:type="dxa"/>
            <w:shd w:val="clear" w:color="auto" w:fill="DDEBF7"/>
            <w:vAlign w:val="center"/>
          </w:tcPr>
          <w:p>
            <w:pPr>
              <w:spacing w:before="0" w:after="0"/>
              <w:jc w:val="center"/>
            </w:pPr>
            <w:r>
              <w:rPr>
                <w:b/>
                <w:sz w:val="18"/>
                <w:szCs w:val="18"/>
              </w:rPr>
              <w:t xml:space="preserve">At fiscal year end</w:t>
            </w:r>
          </w:p>
        </w:tc>
        <w:tc>
          <w:tcPr>
            <w:tcW w:w="2500" w:type="dxa"/>
            <w:shd w:val="clear" w:color="auto" w:fill="DDEBF7"/>
            <w:vAlign w:val="center"/>
          </w:tcPr>
          <w:p>
            <w:pPr>
              <w:spacing w:before="0" w:after="0"/>
              <w:jc w:val="center"/>
            </w:pPr>
            <w:r>
              <w:rPr>
                <w:b/>
                <w:sz w:val="18"/>
                <w:szCs w:val="18"/>
              </w:rPr>
              <w:t xml:space="preserve">At the end of the month before filing</w:t>
            </w:r>
          </w:p>
        </w:tc>
      </w:tr>
      <w:tr>
        <w:tc>
          <w:tcPr>
            <w:tcW w:w="4072" w:type="dxa"/>
            <w:vAlign w:val="center"/>
          </w:tcPr>
          <w:p>
            <w:pPr>
              <w:spacing w:before="0" w:after="0"/>
              <w:jc w:val="left"/>
            </w:pPr>
            <w:r>
              <w:rPr>
                <w:sz w:val="18"/>
                <w:szCs w:val="18"/>
              </w:rPr>
              <w:t xml:space="preserve">Grantees (category and number)</w:t>
            </w:r>
          </w:p>
        </w:tc>
        <w:tc>
          <w:tcPr>
            <w:tcW w:w="2500" w:type="dxa"/>
            <w:vAlign w:val="center"/>
          </w:tcPr>
          <w:p>
            <w:pPr>
              <w:spacing w:before="0" w:after="0"/>
              <w:jc w:val="right"/>
            </w:pPr>
            <w:r>
              <w:rPr>
                <w:sz w:val="18"/>
                <w:szCs w:val="18"/>
              </w:rPr>
              <w:t xml:space="preserve">7,906</w:t>
            </w:r>
          </w:p>
        </w:tc>
        <w:tc>
          <w:tcPr>
            <w:tcW w:w="2500" w:type="dxa"/>
            <w:vAlign w:val="center"/>
          </w:tcPr>
          <w:p>
            <w:pPr>
              <w:spacing w:before="0" w:after="0"/>
              <w:jc w:val="right"/>
            </w:pPr>
            <w:r>
              <w:rPr>
                <w:sz w:val="18"/>
                <w:szCs w:val="18"/>
              </w:rPr>
              <w:t xml:space="preserve">9,333</w:t>
            </w:r>
          </w:p>
        </w:tc>
      </w:tr>
      <w:tr>
        <w:tc>
          <w:tcPr>
            <w:tcW w:w="4072" w:type="dxa"/>
            <w:vAlign w:val="center"/>
          </w:tcPr>
          <w:p>
            <w:pPr>
              <w:spacing w:before="0" w:after="0"/>
              <w:jc w:val="left"/>
            </w:pPr>
            <w:r>
              <w:rPr>
                <w:sz w:val="18"/>
                <w:szCs w:val="18"/>
              </w:rPr>
              <w:t xml:space="preserve">Number of options</w:t>
            </w:r>
          </w:p>
        </w:tc>
        <w:tc>
          <w:tcPr>
            <w:tcW w:w="2500" w:type="dxa"/>
            <w:vAlign w:val="center"/>
          </w:tcPr>
          <w:p>
            <w:pPr>
              <w:spacing w:before="0" w:after="0"/>
              <w:jc w:val="right"/>
            </w:pPr>
            <w:r>
              <w:rPr>
                <w:sz w:val="18"/>
                <w:szCs w:val="18"/>
              </w:rPr>
              <w:t xml:space="preserve">2,581</w:t>
            </w:r>
          </w:p>
        </w:tc>
        <w:tc>
          <w:tcPr>
            <w:tcW w:w="2500" w:type="dxa"/>
            <w:vAlign w:val="center"/>
          </w:tcPr>
          <w:p>
            <w:pPr>
              <w:spacing w:before="0" w:after="0"/>
              <w:jc w:val="right"/>
            </w:pPr>
            <w:r>
              <w:rPr>
                <w:sz w:val="18"/>
                <w:szCs w:val="18"/>
              </w:rPr>
              <w:t xml:space="preserve">1,883</w:t>
            </w:r>
          </w:p>
        </w:tc>
      </w:tr>
      <w:tr>
        <w:tc>
          <w:tcPr>
            <w:tcW w:w="4072" w:type="dxa"/>
            <w:vAlign w:val="center"/>
          </w:tcPr>
          <w:p>
            <w:pPr>
              <w:spacing w:before="0" w:after="0"/>
              <w:jc w:val="left"/>
            </w:pPr>
            <w:r>
              <w:rPr>
                <w:sz w:val="18"/>
                <w:szCs w:val="18"/>
              </w:rPr>
              <w:t xml:space="preserve">Class and number of shares issuable on exercise</w:t>
            </w:r>
          </w:p>
        </w:tc>
        <w:tc>
          <w:tcPr>
            <w:tcW w:w="2500" w:type="dxa"/>
            <w:vAlign w:val="center"/>
          </w:tcPr>
          <w:p>
            <w:pPr>
              <w:spacing w:before="0" w:after="0"/>
              <w:jc w:val="right"/>
            </w:pPr>
            <w:r>
              <w:rPr>
                <w:sz w:val="18"/>
                <w:szCs w:val="18"/>
              </w:rPr>
              <w:t xml:space="preserve">5,379</w:t>
            </w:r>
          </w:p>
        </w:tc>
        <w:tc>
          <w:tcPr>
            <w:tcW w:w="2500" w:type="dxa"/>
            <w:vAlign w:val="center"/>
          </w:tcPr>
          <w:p>
            <w:pPr>
              <w:spacing w:before="0" w:after="0"/>
              <w:jc w:val="right"/>
            </w:pPr>
            <w:r>
              <w:rPr>
                <w:sz w:val="18"/>
                <w:szCs w:val="18"/>
              </w:rPr>
              <w:t xml:space="preserve">5,566</w:t>
            </w:r>
          </w:p>
        </w:tc>
      </w:tr>
      <w:tr>
        <w:tc>
          <w:tcPr>
            <w:tcW w:w="4072" w:type="dxa"/>
            <w:vAlign w:val="center"/>
          </w:tcPr>
          <w:p>
            <w:pPr>
              <w:spacing w:before="0" w:after="0"/>
              <w:jc w:val="left"/>
            </w:pPr>
            <w:r>
              <w:rPr>
                <w:sz w:val="18"/>
                <w:szCs w:val="18"/>
              </w:rPr>
              <w:t xml:space="preserve">Exercise price per share (USD)</w:t>
            </w:r>
          </w:p>
        </w:tc>
        <w:tc>
          <w:tcPr>
            <w:tcW w:w="2500" w:type="dxa"/>
            <w:vAlign w:val="center"/>
          </w:tcPr>
          <w:p>
            <w:pPr>
              <w:spacing w:before="0" w:after="0"/>
              <w:jc w:val="right"/>
            </w:pPr>
            <w:r>
              <w:rPr>
                <w:sz w:val="18"/>
                <w:szCs w:val="18"/>
              </w:rPr>
              <w:t xml:space="preserve">9,122</w:t>
            </w:r>
          </w:p>
        </w:tc>
        <w:tc>
          <w:tcPr>
            <w:tcW w:w="2500" w:type="dxa"/>
            <w:vAlign w:val="center"/>
          </w:tcPr>
          <w:p>
            <w:pPr>
              <w:spacing w:before="0" w:after="0"/>
              <w:jc w:val="right"/>
            </w:pPr>
            <w:r>
              <w:rPr>
                <w:sz w:val="18"/>
                <w:szCs w:val="18"/>
              </w:rPr>
              <w:t xml:space="preserve">5,986</w:t>
            </w:r>
          </w:p>
        </w:tc>
      </w:tr>
      <w:tr>
        <w:tc>
          <w:tcPr>
            <w:tcW w:w="4072" w:type="dxa"/>
            <w:vAlign w:val="center"/>
          </w:tcPr>
          <w:p>
            <w:pPr>
              <w:spacing w:before="0" w:after="0"/>
              <w:jc w:val="left"/>
            </w:pPr>
            <w:r>
              <w:rPr>
                <w:sz w:val="18"/>
                <w:szCs w:val="18"/>
              </w:rPr>
              <w:t xml:space="preserve">Exercise period</w:t>
            </w:r>
          </w:p>
        </w:tc>
        <w:tc>
          <w:tcPr>
            <w:tcW w:w="2500" w:type="dxa"/>
            <w:vAlign w:val="center"/>
          </w:tcPr>
          <w:p>
            <w:pPr>
              <w:spacing w:before="0" w:after="0"/>
              <w:jc w:val="right"/>
            </w:pPr>
            <w:r>
              <w:rPr>
                <w:sz w:val="18"/>
                <w:szCs w:val="18"/>
              </w:rPr>
              <w:t xml:space="preserve">722</w:t>
            </w:r>
          </w:p>
        </w:tc>
        <w:tc>
          <w:tcPr>
            <w:tcW w:w="2500" w:type="dxa"/>
            <w:vAlign w:val="center"/>
          </w:tcPr>
          <w:p>
            <w:pPr>
              <w:spacing w:before="0" w:after="0"/>
              <w:jc w:val="right"/>
            </w:pPr>
            <w:r>
              <w:rPr>
                <w:sz w:val="18"/>
                <w:szCs w:val="18"/>
              </w:rPr>
              <w:t xml:space="preserve">1,727</w:t>
            </w:r>
          </w:p>
        </w:tc>
      </w:tr>
      <w:tr>
        <w:tc>
          <w:tcPr>
            <w:tcW w:w="4072" w:type="dxa"/>
            <w:vAlign w:val="center"/>
          </w:tcPr>
          <w:p>
            <w:pPr>
              <w:spacing w:before="0" w:after="0"/>
              <w:jc w:val="left"/>
            </w:pPr>
            <w:r>
              <w:rPr>
                <w:sz w:val="18"/>
                <w:szCs w:val="18"/>
              </w:rPr>
              <w:t xml:space="preserve">Issue price and amount credited to capital on exercise (USD)</w:t>
            </w:r>
          </w:p>
        </w:tc>
        <w:tc>
          <w:tcPr>
            <w:tcW w:w="2500" w:type="dxa"/>
            <w:vAlign w:val="center"/>
          </w:tcPr>
          <w:p>
            <w:pPr>
              <w:spacing w:before="0" w:after="0"/>
              <w:jc w:val="right"/>
            </w:pPr>
            <w:r>
              <w:rPr>
                <w:sz w:val="18"/>
                <w:szCs w:val="18"/>
              </w:rPr>
              <w:t xml:space="preserve">6,926</w:t>
            </w:r>
          </w:p>
        </w:tc>
        <w:tc>
          <w:tcPr>
            <w:tcW w:w="2500" w:type="dxa"/>
            <w:vAlign w:val="center"/>
          </w:tcPr>
          <w:p>
            <w:pPr>
              <w:spacing w:before="0" w:after="0"/>
              <w:jc w:val="right"/>
            </w:pPr>
            <w:r>
              <w:rPr>
                <w:sz w:val="18"/>
                <w:szCs w:val="18"/>
              </w:rPr>
              <w:t xml:space="preserve">4,254</w:t>
            </w:r>
          </w:p>
        </w:tc>
      </w:tr>
      <w:tr>
        <w:tc>
          <w:tcPr>
            <w:tcW w:w="4072" w:type="dxa"/>
            <w:vAlign w:val="center"/>
          </w:tcPr>
          <w:p>
            <w:pPr>
              <w:spacing w:before="0" w:after="0"/>
              <w:jc w:val="left"/>
            </w:pPr>
            <w:r>
              <w:rPr>
                <w:sz w:val="18"/>
                <w:szCs w:val="18"/>
              </w:rPr>
              <w:t xml:space="preserve">Conditions of exercise</w:t>
            </w:r>
          </w:p>
        </w:tc>
        <w:tc>
          <w:tcPr>
            <w:tcW w:w="2500" w:type="dxa"/>
            <w:vAlign w:val="center"/>
          </w:tcPr>
          <w:p>
            <w:pPr>
              <w:spacing w:before="0" w:after="0"/>
              <w:jc w:val="right"/>
            </w:pPr>
            <w:r>
              <w:rPr>
                <w:sz w:val="18"/>
                <w:szCs w:val="18"/>
              </w:rPr>
              <w:t xml:space="preserve">6,595</w:t>
            </w:r>
          </w:p>
        </w:tc>
        <w:tc>
          <w:tcPr>
            <w:tcW w:w="2500" w:type="dxa"/>
            <w:vAlign w:val="center"/>
          </w:tcPr>
          <w:p>
            <w:pPr>
              <w:spacing w:before="0" w:after="0"/>
              <w:jc w:val="right"/>
            </w:pPr>
            <w:r>
              <w:rPr>
                <w:sz w:val="18"/>
                <w:szCs w:val="18"/>
              </w:rPr>
              <w:t xml:space="preserve">397</w:t>
            </w:r>
          </w:p>
        </w:tc>
      </w:tr>
      <w:tr>
        <w:tc>
          <w:tcPr>
            <w:tcW w:w="4072" w:type="dxa"/>
            <w:vAlign w:val="center"/>
          </w:tcPr>
          <w:p>
            <w:pPr>
              <w:spacing w:before="0" w:after="0"/>
              <w:jc w:val="left"/>
            </w:pPr>
            <w:r>
              <w:rPr>
                <w:sz w:val="18"/>
                <w:szCs w:val="18"/>
              </w:rPr>
              <w:t xml:space="preserve">Transfer of options</w:t>
            </w:r>
          </w:p>
        </w:tc>
        <w:tc>
          <w:tcPr>
            <w:tcW w:w="2500" w:type="dxa"/>
            <w:vAlign w:val="center"/>
          </w:tcPr>
          <w:p>
            <w:pPr>
              <w:spacing w:before="0" w:after="0"/>
              <w:jc w:val="right"/>
            </w:pPr>
            <w:r>
              <w:rPr>
                <w:sz w:val="18"/>
                <w:szCs w:val="18"/>
              </w:rPr>
              <w:t xml:space="preserve">3,482</w:t>
            </w:r>
          </w:p>
        </w:tc>
        <w:tc>
          <w:tcPr>
            <w:tcW w:w="2500" w:type="dxa"/>
            <w:vAlign w:val="center"/>
          </w:tcPr>
          <w:p>
            <w:pPr>
              <w:spacing w:before="0" w:after="0"/>
              <w:jc w:val="right"/>
            </w:pPr>
            <w:r>
              <w:rPr>
                <w:sz w:val="18"/>
                <w:szCs w:val="18"/>
              </w:rPr>
              <w:t xml:space="preserve">9,054</w:t>
            </w:r>
          </w:p>
        </w:tc>
      </w:tr>
      <w:tr>
        <w:tc>
          <w:tcPr>
            <w:tcW w:w="4072" w:type="dxa"/>
            <w:vAlign w:val="center"/>
          </w:tcPr>
          <w:p>
            <w:pPr>
              <w:spacing w:before="0" w:after="0"/>
              <w:jc w:val="left"/>
            </w:pPr>
            <w:r>
              <w:rPr>
                <w:sz w:val="18"/>
                <w:szCs w:val="18"/>
              </w:rPr>
              <w:t xml:space="preserve">Treatment of options on a merger or reorganization</w:t>
            </w:r>
          </w:p>
        </w:tc>
        <w:tc>
          <w:tcPr>
            <w:tcW w:w="2500" w:type="dxa"/>
            <w:vAlign w:val="center"/>
          </w:tcPr>
          <w:p>
            <w:pPr>
              <w:spacing w:before="0" w:after="0"/>
              <w:jc w:val="right"/>
            </w:pPr>
            <w:r>
              <w:rPr>
                <w:sz w:val="18"/>
                <w:szCs w:val="18"/>
              </w:rPr>
              <w:t xml:space="preserve">4,887</w:t>
            </w:r>
          </w:p>
        </w:tc>
        <w:tc>
          <w:tcPr>
            <w:tcW w:w="2500" w:type="dxa"/>
            <w:vAlign w:val="center"/>
          </w:tcPr>
          <w:p>
            <w:pPr>
              <w:spacing w:before="0" w:after="0"/>
              <w:jc w:val="right"/>
            </w:pPr>
            <w:r>
              <w:rPr>
                <w:sz w:val="18"/>
                <w:szCs w:val="18"/>
              </w:rPr>
              <w:t xml:space="preserve">4,223</w:t>
            </w:r>
          </w:p>
        </w:tc>
      </w:tr>
    </w:tbl>
    <w:p>
      <w:pPr/>
    </w:p>
    <w:p>
      <w:pPr/>
      <w:r>
        <w:t xml:space="preserve">Note: Green coffee is purchased from exporters and cooperatives in Central America, South America and East Africa under fixed-price contracts that generally cover the next nine to twelve months of expected needs. The roastery produced 669 thousand pounds of roasted coffee during the fiscal year, of which 13.2% was sold through company-operated stores.</w:t>
      </w:r>
    </w:p>
    <w:p>
      <w:r>
        <w:br w:type="page"/>
      </w:r>
    </w:p>
    <w:p>
      <w:pPr>
        <w:keepNext/>
      </w:pPr>
      <w:r>
        <w:rPr>
          <w:b/>
        </w:rPr>
        <w:t xml:space="preserve">Stock options granted under the 2019 Equity Incentive Plan (resolution of the board of directors, March 2019)</w:t>
      </w:r>
    </w:p>
    <w:tbl>
      <w:tblPr>
        <w:tblW w:w="907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72" w:type="dxa"/>
          <w:right w:w="72" w:type="dxa"/>
        </w:tblCellMar>
      </w:tblPr>
      <w:tblGrid>
        <w:gridCol w:w="4072"/>
        <w:gridCol w:w="2500"/>
        <w:gridCol w:w="2500"/>
      </w:tblGrid>
      <w:tr>
        <w:trPr>
          <w:tblHeader/>
        </w:trPr>
        <w:tc>
          <w:tcPr>
            <w:tcW w:w="4072" w:type="dxa"/>
            <w:shd w:val="clear" w:color="auto" w:fill="DDEBF7"/>
            <w:vAlign w:val="center"/>
          </w:tcPr>
          <w:p>
            <w:pPr>
              <w:spacing w:before="0" w:after="0"/>
              <w:jc w:val="center"/>
            </w:pPr>
            <w:r>
              <w:rPr>
                <w:b/>
                <w:sz w:val="18"/>
                <w:szCs w:val="18"/>
              </w:rPr>
              <w:t xml:space="preserve"/>
            </w:r>
          </w:p>
        </w:tc>
        <w:tc>
          <w:tcPr>
            <w:tcW w:w="2500" w:type="dxa"/>
            <w:shd w:val="clear" w:color="auto" w:fill="DDEBF7"/>
            <w:vAlign w:val="center"/>
          </w:tcPr>
          <w:p>
            <w:pPr>
              <w:spacing w:before="0" w:after="0"/>
              <w:jc w:val="center"/>
            </w:pPr>
            <w:r>
              <w:rPr>
                <w:b/>
                <w:sz w:val="18"/>
                <w:szCs w:val="18"/>
              </w:rPr>
              <w:t xml:space="preserve">At fiscal year end</w:t>
            </w:r>
          </w:p>
        </w:tc>
        <w:tc>
          <w:tcPr>
            <w:tcW w:w="2500" w:type="dxa"/>
            <w:shd w:val="clear" w:color="auto" w:fill="DDEBF7"/>
            <w:vAlign w:val="center"/>
          </w:tcPr>
          <w:p>
            <w:pPr>
              <w:spacing w:before="0" w:after="0"/>
              <w:jc w:val="center"/>
            </w:pPr>
            <w:r>
              <w:rPr>
                <w:b/>
                <w:sz w:val="18"/>
                <w:szCs w:val="18"/>
              </w:rPr>
              <w:t xml:space="preserve">At the end of the month before filing</w:t>
            </w:r>
          </w:p>
        </w:tc>
      </w:tr>
      <w:tr>
        <w:tc>
          <w:tcPr>
            <w:tcW w:w="4072" w:type="dxa"/>
            <w:vAlign w:val="center"/>
          </w:tcPr>
          <w:p>
            <w:pPr>
              <w:spacing w:before="0" w:after="0"/>
              <w:jc w:val="left"/>
            </w:pPr>
            <w:r>
              <w:rPr>
                <w:sz w:val="18"/>
                <w:szCs w:val="18"/>
              </w:rPr>
              <w:t xml:space="preserve">Grantees (category and number)</w:t>
            </w:r>
          </w:p>
        </w:tc>
        <w:tc>
          <w:tcPr>
            <w:tcW w:w="2500" w:type="dxa"/>
            <w:vAlign w:val="center"/>
          </w:tcPr>
          <w:p>
            <w:pPr>
              <w:spacing w:before="0" w:after="0"/>
              <w:jc w:val="right"/>
            </w:pPr>
            <w:r>
              <w:rPr>
                <w:sz w:val="18"/>
                <w:szCs w:val="18"/>
              </w:rPr>
              <w:t xml:space="preserve">4,887</w:t>
            </w:r>
          </w:p>
        </w:tc>
        <w:tc>
          <w:tcPr>
            <w:tcW w:w="2500" w:type="dxa"/>
            <w:vAlign w:val="center"/>
          </w:tcPr>
          <w:p>
            <w:pPr>
              <w:spacing w:before="0" w:after="0"/>
              <w:jc w:val="right"/>
            </w:pPr>
            <w:r>
              <w:rPr>
                <w:sz w:val="18"/>
                <w:szCs w:val="18"/>
              </w:rPr>
              <w:t xml:space="preserve">8,393</w:t>
            </w:r>
          </w:p>
        </w:tc>
      </w:tr>
      <w:tr>
        <w:tc>
          <w:tcPr>
            <w:tcW w:w="4072" w:type="dxa"/>
            <w:vAlign w:val="center"/>
          </w:tcPr>
          <w:p>
            <w:pPr>
              <w:spacing w:before="0" w:after="0"/>
              <w:jc w:val="left"/>
            </w:pPr>
            <w:r>
              <w:rPr>
                <w:sz w:val="18"/>
                <w:szCs w:val="18"/>
              </w:rPr>
              <w:t xml:space="preserve">Number of options</w:t>
            </w:r>
          </w:p>
        </w:tc>
        <w:tc>
          <w:tcPr>
            <w:tcW w:w="2500" w:type="dxa"/>
            <w:vAlign w:val="center"/>
          </w:tcPr>
          <w:p>
            <w:pPr>
              <w:spacing w:before="0" w:after="0"/>
              <w:jc w:val="right"/>
            </w:pPr>
            <w:r>
              <w:rPr>
                <w:sz w:val="18"/>
                <w:szCs w:val="18"/>
              </w:rPr>
              <w:t xml:space="preserve">9,841</w:t>
            </w:r>
          </w:p>
        </w:tc>
        <w:tc>
          <w:tcPr>
            <w:tcW w:w="2500" w:type="dxa"/>
            <w:vAlign w:val="center"/>
          </w:tcPr>
          <w:p>
            <w:pPr>
              <w:spacing w:before="0" w:after="0"/>
              <w:jc w:val="right"/>
            </w:pPr>
            <w:r>
              <w:rPr>
                <w:sz w:val="18"/>
                <w:szCs w:val="18"/>
              </w:rPr>
              <w:t xml:space="preserve">89</w:t>
            </w:r>
          </w:p>
        </w:tc>
      </w:tr>
      <w:tr>
        <w:tc>
          <w:tcPr>
            <w:tcW w:w="4072" w:type="dxa"/>
            <w:vAlign w:val="center"/>
          </w:tcPr>
          <w:p>
            <w:pPr>
              <w:spacing w:before="0" w:after="0"/>
              <w:jc w:val="left"/>
            </w:pPr>
            <w:r>
              <w:rPr>
                <w:sz w:val="18"/>
                <w:szCs w:val="18"/>
              </w:rPr>
              <w:t xml:space="preserve">Class and number of shares issuable on exercise</w:t>
            </w:r>
          </w:p>
        </w:tc>
        <w:tc>
          <w:tcPr>
            <w:tcW w:w="2500" w:type="dxa"/>
            <w:vAlign w:val="center"/>
          </w:tcPr>
          <w:p>
            <w:pPr>
              <w:spacing w:before="0" w:after="0"/>
              <w:jc w:val="right"/>
            </w:pPr>
            <w:r>
              <w:rPr>
                <w:sz w:val="18"/>
                <w:szCs w:val="18"/>
              </w:rPr>
              <w:t xml:space="preserve">6,635</w:t>
            </w:r>
          </w:p>
        </w:tc>
        <w:tc>
          <w:tcPr>
            <w:tcW w:w="2500" w:type="dxa"/>
            <w:vAlign w:val="center"/>
          </w:tcPr>
          <w:p>
            <w:pPr>
              <w:spacing w:before="0" w:after="0"/>
              <w:jc w:val="right"/>
            </w:pPr>
            <w:r>
              <w:rPr>
                <w:sz w:val="18"/>
                <w:szCs w:val="18"/>
              </w:rPr>
              <w:t xml:space="preserve">9,820</w:t>
            </w:r>
          </w:p>
        </w:tc>
      </w:tr>
      <w:tr>
        <w:tc>
          <w:tcPr>
            <w:tcW w:w="4072" w:type="dxa"/>
            <w:vAlign w:val="center"/>
          </w:tcPr>
          <w:p>
            <w:pPr>
              <w:spacing w:before="0" w:after="0"/>
              <w:jc w:val="left"/>
            </w:pPr>
            <w:r>
              <w:rPr>
                <w:sz w:val="18"/>
                <w:szCs w:val="18"/>
              </w:rPr>
              <w:t xml:space="preserve">Exercise price per share (USD)</w:t>
            </w:r>
          </w:p>
        </w:tc>
        <w:tc>
          <w:tcPr>
            <w:tcW w:w="2500" w:type="dxa"/>
            <w:vAlign w:val="center"/>
          </w:tcPr>
          <w:p>
            <w:pPr>
              <w:spacing w:before="0" w:after="0"/>
              <w:jc w:val="right"/>
            </w:pPr>
            <w:r>
              <w:rPr>
                <w:sz w:val="18"/>
                <w:szCs w:val="18"/>
              </w:rPr>
              <w:t xml:space="preserve">281</w:t>
            </w:r>
          </w:p>
        </w:tc>
        <w:tc>
          <w:tcPr>
            <w:tcW w:w="2500" w:type="dxa"/>
            <w:vAlign w:val="center"/>
          </w:tcPr>
          <w:p>
            <w:pPr>
              <w:spacing w:before="0" w:after="0"/>
              <w:jc w:val="right"/>
            </w:pPr>
            <w:r>
              <w:rPr>
                <w:sz w:val="18"/>
                <w:szCs w:val="18"/>
              </w:rPr>
              <w:t xml:space="preserve">8,808</w:t>
            </w:r>
          </w:p>
        </w:tc>
      </w:tr>
      <w:tr>
        <w:tc>
          <w:tcPr>
            <w:tcW w:w="4072" w:type="dxa"/>
            <w:vAlign w:val="center"/>
          </w:tcPr>
          <w:p>
            <w:pPr>
              <w:spacing w:before="0" w:after="0"/>
              <w:jc w:val="left"/>
            </w:pPr>
            <w:r>
              <w:rPr>
                <w:sz w:val="18"/>
                <w:szCs w:val="18"/>
              </w:rPr>
              <w:t xml:space="preserve">Exercise period</w:t>
            </w:r>
          </w:p>
        </w:tc>
        <w:tc>
          <w:tcPr>
            <w:tcW w:w="2500" w:type="dxa"/>
            <w:vAlign w:val="center"/>
          </w:tcPr>
          <w:p>
            <w:pPr>
              <w:spacing w:before="0" w:after="0"/>
              <w:jc w:val="right"/>
            </w:pPr>
            <w:r>
              <w:rPr>
                <w:sz w:val="18"/>
                <w:szCs w:val="18"/>
              </w:rPr>
              <w:t xml:space="preserve">7,207</w:t>
            </w:r>
          </w:p>
        </w:tc>
        <w:tc>
          <w:tcPr>
            <w:tcW w:w="2500" w:type="dxa"/>
            <w:vAlign w:val="center"/>
          </w:tcPr>
          <w:p>
            <w:pPr>
              <w:spacing w:before="0" w:after="0"/>
              <w:jc w:val="right"/>
            </w:pPr>
            <w:r>
              <w:rPr>
                <w:sz w:val="18"/>
                <w:szCs w:val="18"/>
              </w:rPr>
              <w:t xml:space="preserve">8,466</w:t>
            </w:r>
          </w:p>
        </w:tc>
      </w:tr>
      <w:tr>
        <w:tc>
          <w:tcPr>
            <w:tcW w:w="4072" w:type="dxa"/>
            <w:vAlign w:val="center"/>
          </w:tcPr>
          <w:p>
            <w:pPr>
              <w:spacing w:before="0" w:after="0"/>
              <w:jc w:val="left"/>
            </w:pPr>
            <w:r>
              <w:rPr>
                <w:sz w:val="18"/>
                <w:szCs w:val="18"/>
              </w:rPr>
              <w:t xml:space="preserve">Issue price and amount credited to capital on exercise (USD)</w:t>
            </w:r>
          </w:p>
        </w:tc>
        <w:tc>
          <w:tcPr>
            <w:tcW w:w="2500" w:type="dxa"/>
            <w:vAlign w:val="center"/>
          </w:tcPr>
          <w:p>
            <w:pPr>
              <w:spacing w:before="0" w:after="0"/>
              <w:jc w:val="right"/>
            </w:pPr>
            <w:r>
              <w:rPr>
                <w:sz w:val="18"/>
                <w:szCs w:val="18"/>
              </w:rPr>
              <w:t xml:space="preserve">7,954</w:t>
            </w:r>
          </w:p>
        </w:tc>
        <w:tc>
          <w:tcPr>
            <w:tcW w:w="2500" w:type="dxa"/>
            <w:vAlign w:val="center"/>
          </w:tcPr>
          <w:p>
            <w:pPr>
              <w:spacing w:before="0" w:after="0"/>
              <w:jc w:val="right"/>
            </w:pPr>
            <w:r>
              <w:rPr>
                <w:sz w:val="18"/>
                <w:szCs w:val="18"/>
              </w:rPr>
              <w:t xml:space="preserve">8,064</w:t>
            </w:r>
          </w:p>
        </w:tc>
      </w:tr>
      <w:tr>
        <w:tc>
          <w:tcPr>
            <w:tcW w:w="4072" w:type="dxa"/>
            <w:vAlign w:val="center"/>
          </w:tcPr>
          <w:p>
            <w:pPr>
              <w:spacing w:before="0" w:after="0"/>
              <w:jc w:val="left"/>
            </w:pPr>
            <w:r>
              <w:rPr>
                <w:sz w:val="18"/>
                <w:szCs w:val="18"/>
              </w:rPr>
              <w:t xml:space="preserve">Conditions of exercise</w:t>
            </w:r>
          </w:p>
        </w:tc>
        <w:tc>
          <w:tcPr>
            <w:tcW w:w="2500" w:type="dxa"/>
            <w:vAlign w:val="center"/>
          </w:tcPr>
          <w:p>
            <w:pPr>
              <w:spacing w:before="0" w:after="0"/>
              <w:jc w:val="right"/>
            </w:pPr>
            <w:r>
              <w:rPr>
                <w:sz w:val="18"/>
                <w:szCs w:val="18"/>
              </w:rPr>
              <w:t xml:space="preserve">5,226</w:t>
            </w:r>
          </w:p>
        </w:tc>
        <w:tc>
          <w:tcPr>
            <w:tcW w:w="2500" w:type="dxa"/>
            <w:vAlign w:val="center"/>
          </w:tcPr>
          <w:p>
            <w:pPr>
              <w:spacing w:before="0" w:after="0"/>
              <w:jc w:val="right"/>
            </w:pPr>
            <w:r>
              <w:rPr>
                <w:sz w:val="18"/>
                <w:szCs w:val="18"/>
              </w:rPr>
              <w:t xml:space="preserve">8,281</w:t>
            </w:r>
          </w:p>
        </w:tc>
      </w:tr>
      <w:tr>
        <w:tc>
          <w:tcPr>
            <w:tcW w:w="4072" w:type="dxa"/>
            <w:vAlign w:val="center"/>
          </w:tcPr>
          <w:p>
            <w:pPr>
              <w:spacing w:before="0" w:after="0"/>
              <w:jc w:val="left"/>
            </w:pPr>
            <w:r>
              <w:rPr>
                <w:sz w:val="18"/>
                <w:szCs w:val="18"/>
              </w:rPr>
              <w:t xml:space="preserve">Transfer of options</w:t>
            </w:r>
          </w:p>
        </w:tc>
        <w:tc>
          <w:tcPr>
            <w:tcW w:w="2500" w:type="dxa"/>
            <w:vAlign w:val="center"/>
          </w:tcPr>
          <w:p>
            <w:pPr>
              <w:spacing w:before="0" w:after="0"/>
              <w:jc w:val="right"/>
            </w:pPr>
            <w:r>
              <w:rPr>
                <w:sz w:val="18"/>
                <w:szCs w:val="18"/>
              </w:rPr>
              <w:t xml:space="preserve">8,540</w:t>
            </w:r>
          </w:p>
        </w:tc>
        <w:tc>
          <w:tcPr>
            <w:tcW w:w="2500" w:type="dxa"/>
            <w:vAlign w:val="center"/>
          </w:tcPr>
          <w:p>
            <w:pPr>
              <w:spacing w:before="0" w:after="0"/>
              <w:jc w:val="right"/>
            </w:pPr>
            <w:r>
              <w:rPr>
                <w:sz w:val="18"/>
                <w:szCs w:val="18"/>
              </w:rPr>
              <w:t xml:space="preserve">12</w:t>
            </w:r>
          </w:p>
        </w:tc>
      </w:tr>
      <w:tr>
        <w:tc>
          <w:tcPr>
            <w:tcW w:w="4072" w:type="dxa"/>
            <w:vAlign w:val="center"/>
          </w:tcPr>
          <w:p>
            <w:pPr>
              <w:spacing w:before="0" w:after="0"/>
              <w:jc w:val="left"/>
            </w:pPr>
            <w:r>
              <w:rPr>
                <w:sz w:val="18"/>
                <w:szCs w:val="18"/>
              </w:rPr>
              <w:t xml:space="preserve">Treatment of options on a merger or reorganization</w:t>
            </w:r>
          </w:p>
        </w:tc>
        <w:tc>
          <w:tcPr>
            <w:tcW w:w="2500" w:type="dxa"/>
            <w:vAlign w:val="center"/>
          </w:tcPr>
          <w:p>
            <w:pPr>
              <w:spacing w:before="0" w:after="0"/>
              <w:jc w:val="right"/>
            </w:pPr>
            <w:r>
              <w:rPr>
                <w:sz w:val="18"/>
                <w:szCs w:val="18"/>
              </w:rPr>
              <w:t xml:space="preserve">9,912</w:t>
            </w:r>
          </w:p>
        </w:tc>
        <w:tc>
          <w:tcPr>
            <w:tcW w:w="2500" w:type="dxa"/>
            <w:vAlign w:val="center"/>
          </w:tcPr>
          <w:p>
            <w:pPr>
              <w:spacing w:before="0" w:after="0"/>
              <w:jc w:val="right"/>
            </w:pPr>
            <w:r>
              <w:rPr>
                <w:sz w:val="18"/>
                <w:szCs w:val="18"/>
              </w:rPr>
              <w:t xml:space="preserve">5,354</w:t>
            </w:r>
          </w:p>
        </w:tc>
      </w:tr>
    </w:tbl>
    <w:p>
      <w:pPr/>
    </w:p>
    <w:p>
      <w:pPr/>
      <w:r>
        <w:t xml:space="preserve">Note: Nimbus Coffee leases all of its store premises under operating leases with initial terms of ten years, most of which include options to renew. At the end of the fiscal year, Nimbus Coffee operated 179 company-operated stores in eight regions: Northfield, Eastbay, Southport, Westridge, Lakeside, Hillcrest, Riverside and Harborview.</w:t>
      </w:r>
    </w:p>
    <w:p>
      <w:r>
        <w:br w:type="page"/>
      </w:r>
    </w:p>
    <w:p>
      <w:pPr>
        <w:keepNext/>
      </w:pPr>
      <w:r>
        <w:rPr>
          <w:b/>
        </w:rPr>
        <w:t xml:space="preserve">Stock options granted under the 2020 Equity Incentive Plan (resolution of the board of directors, July 2020)</w:t>
      </w:r>
    </w:p>
    <w:tbl>
      <w:tblPr>
        <w:tblW w:w="907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72" w:type="dxa"/>
          <w:right w:w="72" w:type="dxa"/>
        </w:tblCellMar>
      </w:tblPr>
      <w:tblGrid>
        <w:gridCol w:w="4072"/>
        <w:gridCol w:w="2500"/>
        <w:gridCol w:w="2500"/>
      </w:tblGrid>
      <w:tr>
        <w:trPr>
          <w:tblHeader/>
        </w:trPr>
        <w:tc>
          <w:tcPr>
            <w:tcW w:w="4072" w:type="dxa"/>
            <w:shd w:val="clear" w:color="auto" w:fill="DDEBF7"/>
            <w:vAlign w:val="center"/>
          </w:tcPr>
          <w:p>
            <w:pPr>
              <w:spacing w:before="0" w:after="0"/>
              <w:jc w:val="center"/>
            </w:pPr>
            <w:r>
              <w:rPr>
                <w:b/>
                <w:sz w:val="18"/>
                <w:szCs w:val="18"/>
              </w:rPr>
              <w:t xml:space="preserve"/>
            </w:r>
          </w:p>
        </w:tc>
        <w:tc>
          <w:tcPr>
            <w:tcW w:w="2500" w:type="dxa"/>
            <w:shd w:val="clear" w:color="auto" w:fill="DDEBF7"/>
            <w:vAlign w:val="center"/>
          </w:tcPr>
          <w:p>
            <w:pPr>
              <w:spacing w:before="0" w:after="0"/>
              <w:jc w:val="center"/>
            </w:pPr>
            <w:r>
              <w:rPr>
                <w:b/>
                <w:sz w:val="18"/>
                <w:szCs w:val="18"/>
              </w:rPr>
              <w:t xml:space="preserve">At fiscal year end</w:t>
            </w:r>
          </w:p>
        </w:tc>
        <w:tc>
          <w:tcPr>
            <w:tcW w:w="2500" w:type="dxa"/>
            <w:shd w:val="clear" w:color="auto" w:fill="DDEBF7"/>
            <w:vAlign w:val="center"/>
          </w:tcPr>
          <w:p>
            <w:pPr>
              <w:spacing w:before="0" w:after="0"/>
              <w:jc w:val="center"/>
            </w:pPr>
            <w:r>
              <w:rPr>
                <w:b/>
                <w:sz w:val="18"/>
                <w:szCs w:val="18"/>
              </w:rPr>
              <w:t xml:space="preserve">At the end of the month before filing</w:t>
            </w:r>
          </w:p>
        </w:tc>
      </w:tr>
      <w:tr>
        <w:tc>
          <w:tcPr>
            <w:tcW w:w="4072" w:type="dxa"/>
            <w:vAlign w:val="center"/>
          </w:tcPr>
          <w:p>
            <w:pPr>
              <w:spacing w:before="0" w:after="0"/>
              <w:jc w:val="left"/>
            </w:pPr>
            <w:r>
              <w:rPr>
                <w:sz w:val="18"/>
                <w:szCs w:val="18"/>
              </w:rPr>
              <w:t xml:space="preserve">Grantees (category and number)</w:t>
            </w:r>
          </w:p>
        </w:tc>
        <w:tc>
          <w:tcPr>
            <w:tcW w:w="2500" w:type="dxa"/>
            <w:vAlign w:val="center"/>
          </w:tcPr>
          <w:p>
            <w:pPr>
              <w:spacing w:before="0" w:after="0"/>
              <w:jc w:val="right"/>
            </w:pPr>
            <w:r>
              <w:rPr>
                <w:sz w:val="18"/>
                <w:szCs w:val="18"/>
              </w:rPr>
              <w:t xml:space="preserve">9,012</w:t>
            </w:r>
          </w:p>
        </w:tc>
        <w:tc>
          <w:tcPr>
            <w:tcW w:w="2500" w:type="dxa"/>
            <w:vAlign w:val="center"/>
          </w:tcPr>
          <w:p>
            <w:pPr>
              <w:spacing w:before="0" w:after="0"/>
              <w:jc w:val="right"/>
            </w:pPr>
            <w:r>
              <w:rPr>
                <w:sz w:val="18"/>
                <w:szCs w:val="18"/>
              </w:rPr>
              <w:t xml:space="preserve">7,535</w:t>
            </w:r>
          </w:p>
        </w:tc>
      </w:tr>
      <w:tr>
        <w:tc>
          <w:tcPr>
            <w:tcW w:w="4072" w:type="dxa"/>
            <w:vAlign w:val="center"/>
          </w:tcPr>
          <w:p>
            <w:pPr>
              <w:spacing w:before="0" w:after="0"/>
              <w:jc w:val="left"/>
            </w:pPr>
            <w:r>
              <w:rPr>
                <w:sz w:val="18"/>
                <w:szCs w:val="18"/>
              </w:rPr>
              <w:t xml:space="preserve">Number of options</w:t>
            </w:r>
          </w:p>
        </w:tc>
        <w:tc>
          <w:tcPr>
            <w:tcW w:w="2500" w:type="dxa"/>
            <w:vAlign w:val="center"/>
          </w:tcPr>
          <w:p>
            <w:pPr>
              <w:spacing w:before="0" w:after="0"/>
              <w:jc w:val="right"/>
            </w:pPr>
            <w:r>
              <w:rPr>
                <w:sz w:val="18"/>
                <w:szCs w:val="18"/>
              </w:rPr>
              <w:t xml:space="preserve">6,619</w:t>
            </w:r>
          </w:p>
        </w:tc>
        <w:tc>
          <w:tcPr>
            <w:tcW w:w="2500" w:type="dxa"/>
            <w:vAlign w:val="center"/>
          </w:tcPr>
          <w:p>
            <w:pPr>
              <w:spacing w:before="0" w:after="0"/>
              <w:jc w:val="right"/>
            </w:pPr>
            <w:r>
              <w:rPr>
                <w:sz w:val="18"/>
                <w:szCs w:val="18"/>
              </w:rPr>
              <w:t xml:space="preserve">1,023</w:t>
            </w:r>
          </w:p>
        </w:tc>
      </w:tr>
      <w:tr>
        <w:tc>
          <w:tcPr>
            <w:tcW w:w="4072" w:type="dxa"/>
            <w:vAlign w:val="center"/>
          </w:tcPr>
          <w:p>
            <w:pPr>
              <w:spacing w:before="0" w:after="0"/>
              <w:jc w:val="left"/>
            </w:pPr>
            <w:r>
              <w:rPr>
                <w:sz w:val="18"/>
                <w:szCs w:val="18"/>
              </w:rPr>
              <w:t xml:space="preserve">Class and number of shares issuable on exercise</w:t>
            </w:r>
          </w:p>
        </w:tc>
        <w:tc>
          <w:tcPr>
            <w:tcW w:w="2500" w:type="dxa"/>
            <w:vAlign w:val="center"/>
          </w:tcPr>
          <w:p>
            <w:pPr>
              <w:spacing w:before="0" w:after="0"/>
              <w:jc w:val="right"/>
            </w:pPr>
            <w:r>
              <w:rPr>
                <w:sz w:val="18"/>
                <w:szCs w:val="18"/>
              </w:rPr>
              <w:t xml:space="preserve">974</w:t>
            </w:r>
          </w:p>
        </w:tc>
        <w:tc>
          <w:tcPr>
            <w:tcW w:w="2500" w:type="dxa"/>
            <w:vAlign w:val="center"/>
          </w:tcPr>
          <w:p>
            <w:pPr>
              <w:spacing w:before="0" w:after="0"/>
              <w:jc w:val="right"/>
            </w:pPr>
            <w:r>
              <w:rPr>
                <w:sz w:val="18"/>
                <w:szCs w:val="18"/>
              </w:rPr>
              <w:t xml:space="preserve">6,705</w:t>
            </w:r>
          </w:p>
        </w:tc>
      </w:tr>
      <w:tr>
        <w:tc>
          <w:tcPr>
            <w:tcW w:w="4072" w:type="dxa"/>
            <w:vAlign w:val="center"/>
          </w:tcPr>
          <w:p>
            <w:pPr>
              <w:spacing w:before="0" w:after="0"/>
              <w:jc w:val="left"/>
            </w:pPr>
            <w:r>
              <w:rPr>
                <w:sz w:val="18"/>
                <w:szCs w:val="18"/>
              </w:rPr>
              <w:t xml:space="preserve">Exercise price per share (USD)</w:t>
            </w:r>
          </w:p>
        </w:tc>
        <w:tc>
          <w:tcPr>
            <w:tcW w:w="2500" w:type="dxa"/>
            <w:vAlign w:val="center"/>
          </w:tcPr>
          <w:p>
            <w:pPr>
              <w:spacing w:before="0" w:after="0"/>
              <w:jc w:val="right"/>
            </w:pPr>
            <w:r>
              <w:rPr>
                <w:sz w:val="18"/>
                <w:szCs w:val="18"/>
              </w:rPr>
              <w:t xml:space="preserve">809</w:t>
            </w:r>
          </w:p>
        </w:tc>
        <w:tc>
          <w:tcPr>
            <w:tcW w:w="2500" w:type="dxa"/>
            <w:vAlign w:val="center"/>
          </w:tcPr>
          <w:p>
            <w:pPr>
              <w:spacing w:before="0" w:after="0"/>
              <w:jc w:val="right"/>
            </w:pPr>
            <w:r>
              <w:rPr>
                <w:sz w:val="18"/>
                <w:szCs w:val="18"/>
              </w:rPr>
              <w:t xml:space="preserve">1,816</w:t>
            </w:r>
          </w:p>
        </w:tc>
      </w:tr>
      <w:tr>
        <w:tc>
          <w:tcPr>
            <w:tcW w:w="4072" w:type="dxa"/>
            <w:vAlign w:val="center"/>
          </w:tcPr>
          <w:p>
            <w:pPr>
              <w:spacing w:before="0" w:after="0"/>
              <w:jc w:val="left"/>
            </w:pPr>
            <w:r>
              <w:rPr>
                <w:sz w:val="18"/>
                <w:szCs w:val="18"/>
              </w:rPr>
              <w:t xml:space="preserve">Exercise period</w:t>
            </w:r>
          </w:p>
        </w:tc>
        <w:tc>
          <w:tcPr>
            <w:tcW w:w="2500" w:type="dxa"/>
            <w:vAlign w:val="center"/>
          </w:tcPr>
          <w:p>
            <w:pPr>
              <w:spacing w:before="0" w:after="0"/>
              <w:jc w:val="right"/>
            </w:pPr>
            <w:r>
              <w:rPr>
                <w:sz w:val="18"/>
                <w:szCs w:val="18"/>
              </w:rPr>
              <w:t xml:space="preserve">3,746</w:t>
            </w:r>
          </w:p>
        </w:tc>
        <w:tc>
          <w:tcPr>
            <w:tcW w:w="2500" w:type="dxa"/>
            <w:vAlign w:val="center"/>
          </w:tcPr>
          <w:p>
            <w:pPr>
              <w:spacing w:before="0" w:after="0"/>
              <w:jc w:val="right"/>
            </w:pPr>
            <w:r>
              <w:rPr>
                <w:sz w:val="18"/>
                <w:szCs w:val="18"/>
              </w:rPr>
              <w:t xml:space="preserve">9,681</w:t>
            </w:r>
          </w:p>
        </w:tc>
      </w:tr>
      <w:tr>
        <w:tc>
          <w:tcPr>
            <w:tcW w:w="4072" w:type="dxa"/>
            <w:vAlign w:val="center"/>
          </w:tcPr>
          <w:p>
            <w:pPr>
              <w:spacing w:before="0" w:after="0"/>
              <w:jc w:val="left"/>
            </w:pPr>
            <w:r>
              <w:rPr>
                <w:sz w:val="18"/>
                <w:szCs w:val="18"/>
              </w:rPr>
              <w:t xml:space="preserve">Issue price and amount credited to capital on exercise (USD)</w:t>
            </w:r>
          </w:p>
        </w:tc>
        <w:tc>
          <w:tcPr>
            <w:tcW w:w="2500" w:type="dxa"/>
            <w:vAlign w:val="center"/>
          </w:tcPr>
          <w:p>
            <w:pPr>
              <w:spacing w:before="0" w:after="0"/>
              <w:jc w:val="right"/>
            </w:pPr>
            <w:r>
              <w:rPr>
                <w:sz w:val="18"/>
                <w:szCs w:val="18"/>
              </w:rPr>
              <w:t xml:space="preserve">8,765</w:t>
            </w:r>
          </w:p>
        </w:tc>
        <w:tc>
          <w:tcPr>
            <w:tcW w:w="2500" w:type="dxa"/>
            <w:vAlign w:val="center"/>
          </w:tcPr>
          <w:p>
            <w:pPr>
              <w:spacing w:before="0" w:after="0"/>
              <w:jc w:val="right"/>
            </w:pPr>
            <w:r>
              <w:rPr>
                <w:sz w:val="18"/>
                <w:szCs w:val="18"/>
              </w:rPr>
              <w:t xml:space="preserve">1,480</w:t>
            </w:r>
          </w:p>
        </w:tc>
      </w:tr>
      <w:tr>
        <w:tc>
          <w:tcPr>
            <w:tcW w:w="4072" w:type="dxa"/>
            <w:vAlign w:val="center"/>
          </w:tcPr>
          <w:p>
            <w:pPr>
              <w:spacing w:before="0" w:after="0"/>
              <w:jc w:val="left"/>
            </w:pPr>
            <w:r>
              <w:rPr>
                <w:sz w:val="18"/>
                <w:szCs w:val="18"/>
              </w:rPr>
              <w:t xml:space="preserve">Conditions of exercise</w:t>
            </w:r>
          </w:p>
        </w:tc>
        <w:tc>
          <w:tcPr>
            <w:tcW w:w="2500" w:type="dxa"/>
            <w:vAlign w:val="center"/>
          </w:tcPr>
          <w:p>
            <w:pPr>
              <w:spacing w:before="0" w:after="0"/>
              <w:jc w:val="right"/>
            </w:pPr>
            <w:r>
              <w:rPr>
                <w:sz w:val="18"/>
                <w:szCs w:val="18"/>
              </w:rPr>
              <w:t xml:space="preserve">139</w:t>
            </w:r>
          </w:p>
        </w:tc>
        <w:tc>
          <w:tcPr>
            <w:tcW w:w="2500" w:type="dxa"/>
            <w:vAlign w:val="center"/>
          </w:tcPr>
          <w:p>
            <w:pPr>
              <w:spacing w:before="0" w:after="0"/>
              <w:jc w:val="right"/>
            </w:pPr>
            <w:r>
              <w:rPr>
                <w:sz w:val="18"/>
                <w:szCs w:val="18"/>
              </w:rPr>
              <w:t xml:space="preserve">8,050</w:t>
            </w:r>
          </w:p>
        </w:tc>
      </w:tr>
      <w:tr>
        <w:tc>
          <w:tcPr>
            <w:tcW w:w="4072" w:type="dxa"/>
            <w:vAlign w:val="center"/>
          </w:tcPr>
          <w:p>
            <w:pPr>
              <w:spacing w:before="0" w:after="0"/>
              <w:jc w:val="left"/>
            </w:pPr>
            <w:r>
              <w:rPr>
                <w:sz w:val="18"/>
                <w:szCs w:val="18"/>
              </w:rPr>
              <w:t xml:space="preserve">Transfer of options</w:t>
            </w:r>
          </w:p>
        </w:tc>
        <w:tc>
          <w:tcPr>
            <w:tcW w:w="2500" w:type="dxa"/>
            <w:vAlign w:val="center"/>
          </w:tcPr>
          <w:p>
            <w:pPr>
              <w:spacing w:before="0" w:after="0"/>
              <w:jc w:val="right"/>
            </w:pPr>
            <w:r>
              <w:rPr>
                <w:sz w:val="18"/>
                <w:szCs w:val="18"/>
              </w:rPr>
              <w:t xml:space="preserve">9,009</w:t>
            </w:r>
          </w:p>
        </w:tc>
        <w:tc>
          <w:tcPr>
            <w:tcW w:w="2500" w:type="dxa"/>
            <w:vAlign w:val="center"/>
          </w:tcPr>
          <w:p>
            <w:pPr>
              <w:spacing w:before="0" w:after="0"/>
              <w:jc w:val="right"/>
            </w:pPr>
            <w:r>
              <w:rPr>
                <w:sz w:val="18"/>
                <w:szCs w:val="18"/>
              </w:rPr>
              <w:t xml:space="preserve">1,168</w:t>
            </w:r>
          </w:p>
        </w:tc>
      </w:tr>
      <w:tr>
        <w:tc>
          <w:tcPr>
            <w:tcW w:w="4072" w:type="dxa"/>
            <w:vAlign w:val="center"/>
          </w:tcPr>
          <w:p>
            <w:pPr>
              <w:spacing w:before="0" w:after="0"/>
              <w:jc w:val="left"/>
            </w:pPr>
            <w:r>
              <w:rPr>
                <w:sz w:val="18"/>
                <w:szCs w:val="18"/>
              </w:rPr>
              <w:t xml:space="preserve">Treatment of options on a merger or reorganization</w:t>
            </w:r>
          </w:p>
        </w:tc>
        <w:tc>
          <w:tcPr>
            <w:tcW w:w="2500" w:type="dxa"/>
            <w:vAlign w:val="center"/>
          </w:tcPr>
          <w:p>
            <w:pPr>
              <w:spacing w:before="0" w:after="0"/>
              <w:jc w:val="right"/>
            </w:pPr>
            <w:r>
              <w:rPr>
                <w:sz w:val="18"/>
                <w:szCs w:val="18"/>
              </w:rPr>
              <w:t xml:space="preserve">1,231</w:t>
            </w:r>
          </w:p>
        </w:tc>
        <w:tc>
          <w:tcPr>
            <w:tcW w:w="2500" w:type="dxa"/>
            <w:vAlign w:val="center"/>
          </w:tcPr>
          <w:p>
            <w:pPr>
              <w:spacing w:before="0" w:after="0"/>
              <w:jc w:val="right"/>
            </w:pPr>
            <w:r>
              <w:rPr>
                <w:sz w:val="18"/>
                <w:szCs w:val="18"/>
              </w:rPr>
              <w:t xml:space="preserve">7,230</w:t>
            </w:r>
          </w:p>
        </w:tc>
      </w:tr>
    </w:tbl>
    <w:p>
      <w:pPr/>
    </w:p>
    <w:p>
      <w:pPr/>
      <w:r>
        <w:t xml:space="preserve">Note: Comparable store sales increased 1.1%, driven by a 1.1% increase in average ticket and a 3.9% increase in transactions. The roastery produced 1,349 thousand pounds of roasted coffee during the fiscal year, of which 56.8% was sold through company-operated stores.</w:t>
      </w:r>
    </w:p>
    <w:p>
      <w:r>
        <w:br w:type="page"/>
      </w:r>
    </w:p>
    <w:p>
      <w:pPr>
        <w:keepNext/>
      </w:pPr>
      <w:r>
        <w:rPr>
          <w:b/>
        </w:rPr>
        <w:t xml:space="preserve">Stock options granted under the 2021 Equity Incentive Plan (resolution of the board of directors, October 2021)</w:t>
      </w:r>
    </w:p>
    <w:tbl>
      <w:tblPr>
        <w:tblW w:w="907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72" w:type="dxa"/>
          <w:right w:w="72" w:type="dxa"/>
        </w:tblCellMar>
      </w:tblPr>
      <w:tblGrid>
        <w:gridCol w:w="4072"/>
        <w:gridCol w:w="2500"/>
        <w:gridCol w:w="2500"/>
      </w:tblGrid>
      <w:tr>
        <w:trPr>
          <w:tblHeader/>
        </w:trPr>
        <w:tc>
          <w:tcPr>
            <w:tcW w:w="4072" w:type="dxa"/>
            <w:shd w:val="clear" w:color="auto" w:fill="DDEBF7"/>
            <w:vAlign w:val="center"/>
          </w:tcPr>
          <w:p>
            <w:pPr>
              <w:spacing w:before="0" w:after="0"/>
              <w:jc w:val="center"/>
            </w:pPr>
            <w:r>
              <w:rPr>
                <w:b/>
                <w:sz w:val="18"/>
                <w:szCs w:val="18"/>
              </w:rPr>
              <w:t xml:space="preserve"/>
            </w:r>
          </w:p>
        </w:tc>
        <w:tc>
          <w:tcPr>
            <w:tcW w:w="2500" w:type="dxa"/>
            <w:shd w:val="clear" w:color="auto" w:fill="DDEBF7"/>
            <w:vAlign w:val="center"/>
          </w:tcPr>
          <w:p>
            <w:pPr>
              <w:spacing w:before="0" w:after="0"/>
              <w:jc w:val="center"/>
            </w:pPr>
            <w:r>
              <w:rPr>
                <w:b/>
                <w:sz w:val="18"/>
                <w:szCs w:val="18"/>
              </w:rPr>
              <w:t xml:space="preserve">At fiscal year end</w:t>
            </w:r>
          </w:p>
        </w:tc>
        <w:tc>
          <w:tcPr>
            <w:tcW w:w="2500" w:type="dxa"/>
            <w:shd w:val="clear" w:color="auto" w:fill="DDEBF7"/>
            <w:vAlign w:val="center"/>
          </w:tcPr>
          <w:p>
            <w:pPr>
              <w:spacing w:before="0" w:after="0"/>
              <w:jc w:val="center"/>
            </w:pPr>
            <w:r>
              <w:rPr>
                <w:b/>
                <w:sz w:val="18"/>
                <w:szCs w:val="18"/>
              </w:rPr>
              <w:t xml:space="preserve">At the end of the month before filing</w:t>
            </w:r>
          </w:p>
        </w:tc>
      </w:tr>
      <w:tr>
        <w:tc>
          <w:tcPr>
            <w:tcW w:w="4072" w:type="dxa"/>
            <w:vAlign w:val="center"/>
          </w:tcPr>
          <w:p>
            <w:pPr>
              <w:spacing w:before="0" w:after="0"/>
              <w:jc w:val="left"/>
            </w:pPr>
            <w:r>
              <w:rPr>
                <w:sz w:val="18"/>
                <w:szCs w:val="18"/>
              </w:rPr>
              <w:t xml:space="preserve">Grantees (category and number)</w:t>
            </w:r>
          </w:p>
        </w:tc>
        <w:tc>
          <w:tcPr>
            <w:tcW w:w="2500" w:type="dxa"/>
            <w:vAlign w:val="center"/>
          </w:tcPr>
          <w:p>
            <w:pPr>
              <w:spacing w:before="0" w:after="0"/>
              <w:jc w:val="right"/>
            </w:pPr>
            <w:r>
              <w:rPr>
                <w:sz w:val="18"/>
                <w:szCs w:val="18"/>
              </w:rPr>
              <w:t xml:space="preserve">2,755</w:t>
            </w:r>
          </w:p>
        </w:tc>
        <w:tc>
          <w:tcPr>
            <w:tcW w:w="2500" w:type="dxa"/>
            <w:vAlign w:val="center"/>
          </w:tcPr>
          <w:p>
            <w:pPr>
              <w:spacing w:before="0" w:after="0"/>
              <w:jc w:val="right"/>
            </w:pPr>
            <w:r>
              <w:rPr>
                <w:sz w:val="18"/>
                <w:szCs w:val="18"/>
              </w:rPr>
              <w:t xml:space="preserve">6,185</w:t>
            </w:r>
          </w:p>
        </w:tc>
      </w:tr>
      <w:tr>
        <w:tc>
          <w:tcPr>
            <w:tcW w:w="4072" w:type="dxa"/>
            <w:vAlign w:val="center"/>
          </w:tcPr>
          <w:p>
            <w:pPr>
              <w:spacing w:before="0" w:after="0"/>
              <w:jc w:val="left"/>
            </w:pPr>
            <w:r>
              <w:rPr>
                <w:sz w:val="18"/>
                <w:szCs w:val="18"/>
              </w:rPr>
              <w:t xml:space="preserve">Number of options</w:t>
            </w:r>
          </w:p>
        </w:tc>
        <w:tc>
          <w:tcPr>
            <w:tcW w:w="2500" w:type="dxa"/>
            <w:vAlign w:val="center"/>
          </w:tcPr>
          <w:p>
            <w:pPr>
              <w:spacing w:before="0" w:after="0"/>
              <w:jc w:val="right"/>
            </w:pPr>
            <w:r>
              <w:rPr>
                <w:sz w:val="18"/>
                <w:szCs w:val="18"/>
              </w:rPr>
              <w:t xml:space="preserve">420</w:t>
            </w:r>
          </w:p>
        </w:tc>
        <w:tc>
          <w:tcPr>
            <w:tcW w:w="2500" w:type="dxa"/>
            <w:vAlign w:val="center"/>
          </w:tcPr>
          <w:p>
            <w:pPr>
              <w:spacing w:before="0" w:after="0"/>
              <w:jc w:val="right"/>
            </w:pPr>
            <w:r>
              <w:rPr>
                <w:sz w:val="18"/>
                <w:szCs w:val="18"/>
              </w:rPr>
              <w:t xml:space="preserve">5,196</w:t>
            </w:r>
          </w:p>
        </w:tc>
      </w:tr>
      <w:tr>
        <w:tc>
          <w:tcPr>
            <w:tcW w:w="4072" w:type="dxa"/>
            <w:vAlign w:val="center"/>
          </w:tcPr>
          <w:p>
            <w:pPr>
              <w:spacing w:before="0" w:after="0"/>
              <w:jc w:val="left"/>
            </w:pPr>
            <w:r>
              <w:rPr>
                <w:sz w:val="18"/>
                <w:szCs w:val="18"/>
              </w:rPr>
              <w:t xml:space="preserve">Class and number of shares issuable on exercise</w:t>
            </w:r>
          </w:p>
        </w:tc>
        <w:tc>
          <w:tcPr>
            <w:tcW w:w="2500" w:type="dxa"/>
            <w:vAlign w:val="center"/>
          </w:tcPr>
          <w:p>
            <w:pPr>
              <w:spacing w:before="0" w:after="0"/>
              <w:jc w:val="right"/>
            </w:pPr>
            <w:r>
              <w:rPr>
                <w:sz w:val="18"/>
                <w:szCs w:val="18"/>
              </w:rPr>
              <w:t xml:space="preserve">5,110</w:t>
            </w:r>
          </w:p>
        </w:tc>
        <w:tc>
          <w:tcPr>
            <w:tcW w:w="2500" w:type="dxa"/>
            <w:vAlign w:val="center"/>
          </w:tcPr>
          <w:p>
            <w:pPr>
              <w:spacing w:before="0" w:after="0"/>
              <w:jc w:val="right"/>
            </w:pPr>
            <w:r>
              <w:rPr>
                <w:sz w:val="18"/>
                <w:szCs w:val="18"/>
              </w:rPr>
              <w:t xml:space="preserve">4,679</w:t>
            </w:r>
          </w:p>
        </w:tc>
      </w:tr>
      <w:tr>
        <w:tc>
          <w:tcPr>
            <w:tcW w:w="4072" w:type="dxa"/>
            <w:vAlign w:val="center"/>
          </w:tcPr>
          <w:p>
            <w:pPr>
              <w:spacing w:before="0" w:after="0"/>
              <w:jc w:val="left"/>
            </w:pPr>
            <w:r>
              <w:rPr>
                <w:sz w:val="18"/>
                <w:szCs w:val="18"/>
              </w:rPr>
              <w:t xml:space="preserve">Exercise price per share (USD)</w:t>
            </w:r>
          </w:p>
        </w:tc>
        <w:tc>
          <w:tcPr>
            <w:tcW w:w="2500" w:type="dxa"/>
            <w:vAlign w:val="center"/>
          </w:tcPr>
          <w:p>
            <w:pPr>
              <w:spacing w:before="0" w:after="0"/>
              <w:jc w:val="right"/>
            </w:pPr>
            <w:r>
              <w:rPr>
                <w:sz w:val="18"/>
                <w:szCs w:val="18"/>
              </w:rPr>
              <w:t xml:space="preserve">3,293</w:t>
            </w:r>
          </w:p>
        </w:tc>
        <w:tc>
          <w:tcPr>
            <w:tcW w:w="2500" w:type="dxa"/>
            <w:vAlign w:val="center"/>
          </w:tcPr>
          <w:p>
            <w:pPr>
              <w:spacing w:before="0" w:after="0"/>
              <w:jc w:val="right"/>
            </w:pPr>
            <w:r>
              <w:rPr>
                <w:sz w:val="18"/>
                <w:szCs w:val="18"/>
              </w:rPr>
              <w:t xml:space="preserve">8,269</w:t>
            </w:r>
          </w:p>
        </w:tc>
      </w:tr>
      <w:tr>
        <w:tc>
          <w:tcPr>
            <w:tcW w:w="4072" w:type="dxa"/>
            <w:vAlign w:val="center"/>
          </w:tcPr>
          <w:p>
            <w:pPr>
              <w:spacing w:before="0" w:after="0"/>
              <w:jc w:val="left"/>
            </w:pPr>
            <w:r>
              <w:rPr>
                <w:sz w:val="18"/>
                <w:szCs w:val="18"/>
              </w:rPr>
              <w:t xml:space="preserve">Exercise period</w:t>
            </w:r>
          </w:p>
        </w:tc>
        <w:tc>
          <w:tcPr>
            <w:tcW w:w="2500" w:type="dxa"/>
            <w:vAlign w:val="center"/>
          </w:tcPr>
          <w:p>
            <w:pPr>
              <w:spacing w:before="0" w:after="0"/>
              <w:jc w:val="right"/>
            </w:pPr>
            <w:r>
              <w:rPr>
                <w:sz w:val="18"/>
                <w:szCs w:val="18"/>
              </w:rPr>
              <w:t xml:space="preserve">9,830</w:t>
            </w:r>
          </w:p>
        </w:tc>
        <w:tc>
          <w:tcPr>
            <w:tcW w:w="2500" w:type="dxa"/>
            <w:vAlign w:val="center"/>
          </w:tcPr>
          <w:p>
            <w:pPr>
              <w:spacing w:before="0" w:after="0"/>
              <w:jc w:val="right"/>
            </w:pPr>
            <w:r>
              <w:rPr>
                <w:sz w:val="18"/>
                <w:szCs w:val="18"/>
              </w:rPr>
              <w:t xml:space="preserve">1,558</w:t>
            </w:r>
          </w:p>
        </w:tc>
      </w:tr>
      <w:tr>
        <w:tc>
          <w:tcPr>
            <w:tcW w:w="4072" w:type="dxa"/>
            <w:vAlign w:val="center"/>
          </w:tcPr>
          <w:p>
            <w:pPr>
              <w:spacing w:before="0" w:after="0"/>
              <w:jc w:val="left"/>
            </w:pPr>
            <w:r>
              <w:rPr>
                <w:sz w:val="18"/>
                <w:szCs w:val="18"/>
              </w:rPr>
              <w:t xml:space="preserve">Issue price and amount credited to capital on exercise (USD)</w:t>
            </w:r>
          </w:p>
        </w:tc>
        <w:tc>
          <w:tcPr>
            <w:tcW w:w="2500" w:type="dxa"/>
            <w:vAlign w:val="center"/>
          </w:tcPr>
          <w:p>
            <w:pPr>
              <w:spacing w:before="0" w:after="0"/>
              <w:jc w:val="right"/>
            </w:pPr>
            <w:r>
              <w:rPr>
                <w:sz w:val="18"/>
                <w:szCs w:val="18"/>
              </w:rPr>
              <w:t xml:space="preserve">7,535</w:t>
            </w:r>
          </w:p>
        </w:tc>
        <w:tc>
          <w:tcPr>
            <w:tcW w:w="2500" w:type="dxa"/>
            <w:vAlign w:val="center"/>
          </w:tcPr>
          <w:p>
            <w:pPr>
              <w:spacing w:before="0" w:after="0"/>
              <w:jc w:val="right"/>
            </w:pPr>
            <w:r>
              <w:rPr>
                <w:sz w:val="18"/>
                <w:szCs w:val="18"/>
              </w:rPr>
              <w:t xml:space="preserve">8,141</w:t>
            </w:r>
          </w:p>
        </w:tc>
      </w:tr>
      <w:tr>
        <w:tc>
          <w:tcPr>
            <w:tcW w:w="4072" w:type="dxa"/>
            <w:vAlign w:val="center"/>
          </w:tcPr>
          <w:p>
            <w:pPr>
              <w:spacing w:before="0" w:after="0"/>
              <w:jc w:val="left"/>
            </w:pPr>
            <w:r>
              <w:rPr>
                <w:sz w:val="18"/>
                <w:szCs w:val="18"/>
              </w:rPr>
              <w:t xml:space="preserve">Conditions of exercise</w:t>
            </w:r>
          </w:p>
        </w:tc>
        <w:tc>
          <w:tcPr>
            <w:tcW w:w="2500" w:type="dxa"/>
            <w:vAlign w:val="center"/>
          </w:tcPr>
          <w:p>
            <w:pPr>
              <w:spacing w:before="0" w:after="0"/>
              <w:jc w:val="right"/>
            </w:pPr>
            <w:r>
              <w:rPr>
                <w:sz w:val="18"/>
                <w:szCs w:val="18"/>
              </w:rPr>
              <w:t xml:space="preserve">9,675</w:t>
            </w:r>
          </w:p>
        </w:tc>
        <w:tc>
          <w:tcPr>
            <w:tcW w:w="2500" w:type="dxa"/>
            <w:vAlign w:val="center"/>
          </w:tcPr>
          <w:p>
            <w:pPr>
              <w:spacing w:before="0" w:after="0"/>
              <w:jc w:val="right"/>
            </w:pPr>
            <w:r>
              <w:rPr>
                <w:sz w:val="18"/>
                <w:szCs w:val="18"/>
              </w:rPr>
              <w:t xml:space="preserve">1,466</w:t>
            </w:r>
          </w:p>
        </w:tc>
      </w:tr>
      <w:tr>
        <w:tc>
          <w:tcPr>
            <w:tcW w:w="4072" w:type="dxa"/>
            <w:vAlign w:val="center"/>
          </w:tcPr>
          <w:p>
            <w:pPr>
              <w:spacing w:before="0" w:after="0"/>
              <w:jc w:val="left"/>
            </w:pPr>
            <w:r>
              <w:rPr>
                <w:sz w:val="18"/>
                <w:szCs w:val="18"/>
              </w:rPr>
              <w:t xml:space="preserve">Transfer of options</w:t>
            </w:r>
          </w:p>
        </w:tc>
        <w:tc>
          <w:tcPr>
            <w:tcW w:w="2500" w:type="dxa"/>
            <w:vAlign w:val="center"/>
          </w:tcPr>
          <w:p>
            <w:pPr>
              <w:spacing w:before="0" w:after="0"/>
              <w:jc w:val="right"/>
            </w:pPr>
            <w:r>
              <w:rPr>
                <w:sz w:val="18"/>
                <w:szCs w:val="18"/>
              </w:rPr>
              <w:t xml:space="preserve">7,014</w:t>
            </w:r>
          </w:p>
        </w:tc>
        <w:tc>
          <w:tcPr>
            <w:tcW w:w="2500" w:type="dxa"/>
            <w:vAlign w:val="center"/>
          </w:tcPr>
          <w:p>
            <w:pPr>
              <w:spacing w:before="0" w:after="0"/>
              <w:jc w:val="right"/>
            </w:pPr>
            <w:r>
              <w:rPr>
                <w:sz w:val="18"/>
                <w:szCs w:val="18"/>
              </w:rPr>
              <w:t xml:space="preserve">2,640</w:t>
            </w:r>
          </w:p>
        </w:tc>
      </w:tr>
      <w:tr>
        <w:tc>
          <w:tcPr>
            <w:tcW w:w="4072" w:type="dxa"/>
            <w:vAlign w:val="center"/>
          </w:tcPr>
          <w:p>
            <w:pPr>
              <w:spacing w:before="0" w:after="0"/>
              <w:jc w:val="left"/>
            </w:pPr>
            <w:r>
              <w:rPr>
                <w:sz w:val="18"/>
                <w:szCs w:val="18"/>
              </w:rPr>
              <w:t xml:space="preserve">Treatment of options on a merger or reorganization</w:t>
            </w:r>
          </w:p>
        </w:tc>
        <w:tc>
          <w:tcPr>
            <w:tcW w:w="2500" w:type="dxa"/>
            <w:vAlign w:val="center"/>
          </w:tcPr>
          <w:p>
            <w:pPr>
              <w:spacing w:before="0" w:after="0"/>
              <w:jc w:val="right"/>
            </w:pPr>
            <w:r>
              <w:rPr>
                <w:sz w:val="18"/>
                <w:szCs w:val="18"/>
              </w:rPr>
              <w:t xml:space="preserve">8,267</w:t>
            </w:r>
          </w:p>
        </w:tc>
        <w:tc>
          <w:tcPr>
            <w:tcW w:w="2500" w:type="dxa"/>
            <w:vAlign w:val="center"/>
          </w:tcPr>
          <w:p>
            <w:pPr>
              <w:spacing w:before="0" w:after="0"/>
              <w:jc w:val="right"/>
            </w:pPr>
            <w:r>
              <w:rPr>
                <w:sz w:val="18"/>
                <w:szCs w:val="18"/>
              </w:rPr>
              <w:t xml:space="preserve">9,005</w:t>
            </w:r>
          </w:p>
        </w:tc>
      </w:tr>
    </w:tbl>
    <w:p>
      <w:pPr/>
    </w:p>
    <w:p>
      <w:pPr/>
      <w:r>
        <w:t xml:space="preserve">Note: The loyalty program had 548 thousand active members at the end of the fiscal year, and purchases by members accounted for 41.1% of store revenue. Total revenue for the fiscal year was $173,925 thousand, an increase of 11.3% over the prior year, and operating income was $20,542 thousand, an increase of 15.8%.</w:t>
      </w:r>
    </w:p>
    <w:p>
      <w:r>
        <w:br w:type="page"/>
      </w:r>
    </w:p>
    <w:p>
      <w:pPr>
        <w:keepNext/>
      </w:pPr>
      <w:r>
        <w:rPr>
          <w:b/>
        </w:rPr>
        <w:t xml:space="preserve">Stock options granted under the 2022 Equity Incentive Plan (resolution of the board of directors, August 2022)</w:t>
      </w:r>
    </w:p>
    <w:tbl>
      <w:tblPr>
        <w:tblW w:w="907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72" w:type="dxa"/>
          <w:right w:w="72" w:type="dxa"/>
        </w:tblCellMar>
      </w:tblPr>
      <w:tblGrid>
        <w:gridCol w:w="4072"/>
        <w:gridCol w:w="2500"/>
        <w:gridCol w:w="2500"/>
      </w:tblGrid>
      <w:tr>
        <w:trPr>
          <w:tblHeader/>
        </w:trPr>
        <w:tc>
          <w:tcPr>
            <w:tcW w:w="4072" w:type="dxa"/>
            <w:shd w:val="clear" w:color="auto" w:fill="DDEBF7"/>
            <w:vAlign w:val="center"/>
          </w:tcPr>
          <w:p>
            <w:pPr>
              <w:spacing w:before="0" w:after="0"/>
              <w:jc w:val="center"/>
            </w:pPr>
            <w:r>
              <w:rPr>
                <w:b/>
                <w:sz w:val="18"/>
                <w:szCs w:val="18"/>
              </w:rPr>
              <w:t xml:space="preserve"/>
            </w:r>
          </w:p>
        </w:tc>
        <w:tc>
          <w:tcPr>
            <w:tcW w:w="2500" w:type="dxa"/>
            <w:shd w:val="clear" w:color="auto" w:fill="DDEBF7"/>
            <w:vAlign w:val="center"/>
          </w:tcPr>
          <w:p>
            <w:pPr>
              <w:spacing w:before="0" w:after="0"/>
              <w:jc w:val="center"/>
            </w:pPr>
            <w:r>
              <w:rPr>
                <w:b/>
                <w:sz w:val="18"/>
                <w:szCs w:val="18"/>
              </w:rPr>
              <w:t xml:space="preserve">At fiscal year end</w:t>
            </w:r>
          </w:p>
        </w:tc>
        <w:tc>
          <w:tcPr>
            <w:tcW w:w="2500" w:type="dxa"/>
            <w:shd w:val="clear" w:color="auto" w:fill="DDEBF7"/>
            <w:vAlign w:val="center"/>
          </w:tcPr>
          <w:p>
            <w:pPr>
              <w:spacing w:before="0" w:after="0"/>
              <w:jc w:val="center"/>
            </w:pPr>
            <w:r>
              <w:rPr>
                <w:b/>
                <w:sz w:val="18"/>
                <w:szCs w:val="18"/>
              </w:rPr>
              <w:t xml:space="preserve">At the end of the month before filing</w:t>
            </w:r>
          </w:p>
        </w:tc>
      </w:tr>
      <w:tr>
        <w:tc>
          <w:tcPr>
            <w:tcW w:w="4072" w:type="dxa"/>
            <w:vAlign w:val="center"/>
          </w:tcPr>
          <w:p>
            <w:pPr>
              <w:spacing w:before="0" w:after="0"/>
              <w:jc w:val="left"/>
            </w:pPr>
            <w:r>
              <w:rPr>
                <w:sz w:val="18"/>
                <w:szCs w:val="18"/>
              </w:rPr>
              <w:t xml:space="preserve">Grantees (category and number)</w:t>
            </w:r>
          </w:p>
        </w:tc>
        <w:tc>
          <w:tcPr>
            <w:tcW w:w="2500" w:type="dxa"/>
            <w:vAlign w:val="center"/>
          </w:tcPr>
          <w:p>
            <w:pPr>
              <w:spacing w:before="0" w:after="0"/>
              <w:jc w:val="right"/>
            </w:pPr>
            <w:r>
              <w:rPr>
                <w:sz w:val="18"/>
                <w:szCs w:val="18"/>
              </w:rPr>
              <w:t xml:space="preserve">954</w:t>
            </w:r>
          </w:p>
        </w:tc>
        <w:tc>
          <w:tcPr>
            <w:tcW w:w="2500" w:type="dxa"/>
            <w:vAlign w:val="center"/>
          </w:tcPr>
          <w:p>
            <w:pPr>
              <w:spacing w:before="0" w:after="0"/>
              <w:jc w:val="right"/>
            </w:pPr>
            <w:r>
              <w:rPr>
                <w:sz w:val="18"/>
                <w:szCs w:val="18"/>
              </w:rPr>
              <w:t xml:space="preserve">1,612</w:t>
            </w:r>
          </w:p>
        </w:tc>
      </w:tr>
      <w:tr>
        <w:tc>
          <w:tcPr>
            <w:tcW w:w="4072" w:type="dxa"/>
            <w:vAlign w:val="center"/>
          </w:tcPr>
          <w:p>
            <w:pPr>
              <w:spacing w:before="0" w:after="0"/>
              <w:jc w:val="left"/>
            </w:pPr>
            <w:r>
              <w:rPr>
                <w:sz w:val="18"/>
                <w:szCs w:val="18"/>
              </w:rPr>
              <w:t xml:space="preserve">Number of options</w:t>
            </w:r>
          </w:p>
        </w:tc>
        <w:tc>
          <w:tcPr>
            <w:tcW w:w="2500" w:type="dxa"/>
            <w:vAlign w:val="center"/>
          </w:tcPr>
          <w:p>
            <w:pPr>
              <w:spacing w:before="0" w:after="0"/>
              <w:jc w:val="right"/>
            </w:pPr>
            <w:r>
              <w:rPr>
                <w:sz w:val="18"/>
                <w:szCs w:val="18"/>
              </w:rPr>
              <w:t xml:space="preserve">6,770</w:t>
            </w:r>
          </w:p>
        </w:tc>
        <w:tc>
          <w:tcPr>
            <w:tcW w:w="2500" w:type="dxa"/>
            <w:vAlign w:val="center"/>
          </w:tcPr>
          <w:p>
            <w:pPr>
              <w:spacing w:before="0" w:after="0"/>
              <w:jc w:val="right"/>
            </w:pPr>
            <w:r>
              <w:rPr>
                <w:sz w:val="18"/>
                <w:szCs w:val="18"/>
              </w:rPr>
              <w:t xml:space="preserve">2,457</w:t>
            </w:r>
          </w:p>
        </w:tc>
      </w:tr>
      <w:tr>
        <w:tc>
          <w:tcPr>
            <w:tcW w:w="4072" w:type="dxa"/>
            <w:vAlign w:val="center"/>
          </w:tcPr>
          <w:p>
            <w:pPr>
              <w:spacing w:before="0" w:after="0"/>
              <w:jc w:val="left"/>
            </w:pPr>
            <w:r>
              <w:rPr>
                <w:sz w:val="18"/>
                <w:szCs w:val="18"/>
              </w:rPr>
              <w:t xml:space="preserve">Class and number of shares issuable on exercise</w:t>
            </w:r>
          </w:p>
        </w:tc>
        <w:tc>
          <w:tcPr>
            <w:tcW w:w="2500" w:type="dxa"/>
            <w:vAlign w:val="center"/>
          </w:tcPr>
          <w:p>
            <w:pPr>
              <w:spacing w:before="0" w:after="0"/>
              <w:jc w:val="right"/>
            </w:pPr>
            <w:r>
              <w:rPr>
                <w:sz w:val="18"/>
                <w:szCs w:val="18"/>
              </w:rPr>
              <w:t xml:space="preserve">7,737</w:t>
            </w:r>
          </w:p>
        </w:tc>
        <w:tc>
          <w:tcPr>
            <w:tcW w:w="2500" w:type="dxa"/>
            <w:vAlign w:val="center"/>
          </w:tcPr>
          <w:p>
            <w:pPr>
              <w:spacing w:before="0" w:after="0"/>
              <w:jc w:val="right"/>
            </w:pPr>
            <w:r>
              <w:rPr>
                <w:sz w:val="18"/>
                <w:szCs w:val="18"/>
              </w:rPr>
              <w:t xml:space="preserve">5,871</w:t>
            </w:r>
          </w:p>
        </w:tc>
      </w:tr>
      <w:tr>
        <w:tc>
          <w:tcPr>
            <w:tcW w:w="4072" w:type="dxa"/>
            <w:vAlign w:val="center"/>
          </w:tcPr>
          <w:p>
            <w:pPr>
              <w:spacing w:before="0" w:after="0"/>
              <w:jc w:val="left"/>
            </w:pPr>
            <w:r>
              <w:rPr>
                <w:sz w:val="18"/>
                <w:szCs w:val="18"/>
              </w:rPr>
              <w:t xml:space="preserve">Exercise price per share (USD)</w:t>
            </w:r>
          </w:p>
        </w:tc>
        <w:tc>
          <w:tcPr>
            <w:tcW w:w="2500" w:type="dxa"/>
            <w:vAlign w:val="center"/>
          </w:tcPr>
          <w:p>
            <w:pPr>
              <w:spacing w:before="0" w:after="0"/>
              <w:jc w:val="right"/>
            </w:pPr>
            <w:r>
              <w:rPr>
                <w:sz w:val="18"/>
                <w:szCs w:val="18"/>
              </w:rPr>
              <w:t xml:space="preserve">6,847</w:t>
            </w:r>
          </w:p>
        </w:tc>
        <w:tc>
          <w:tcPr>
            <w:tcW w:w="2500" w:type="dxa"/>
            <w:vAlign w:val="center"/>
          </w:tcPr>
          <w:p>
            <w:pPr>
              <w:spacing w:before="0" w:after="0"/>
              <w:jc w:val="right"/>
            </w:pPr>
            <w:r>
              <w:rPr>
                <w:sz w:val="18"/>
                <w:szCs w:val="18"/>
              </w:rPr>
              <w:t xml:space="preserve">3,646</w:t>
            </w:r>
          </w:p>
        </w:tc>
      </w:tr>
      <w:tr>
        <w:tc>
          <w:tcPr>
            <w:tcW w:w="4072" w:type="dxa"/>
            <w:vAlign w:val="center"/>
          </w:tcPr>
          <w:p>
            <w:pPr>
              <w:spacing w:before="0" w:after="0"/>
              <w:jc w:val="left"/>
            </w:pPr>
            <w:r>
              <w:rPr>
                <w:sz w:val="18"/>
                <w:szCs w:val="18"/>
              </w:rPr>
              <w:t xml:space="preserve">Exercise period</w:t>
            </w:r>
          </w:p>
        </w:tc>
        <w:tc>
          <w:tcPr>
            <w:tcW w:w="2500" w:type="dxa"/>
            <w:vAlign w:val="center"/>
          </w:tcPr>
          <w:p>
            <w:pPr>
              <w:spacing w:before="0" w:after="0"/>
              <w:jc w:val="right"/>
            </w:pPr>
            <w:r>
              <w:rPr>
                <w:sz w:val="18"/>
                <w:szCs w:val="18"/>
              </w:rPr>
              <w:t xml:space="preserve">5,228</w:t>
            </w:r>
          </w:p>
        </w:tc>
        <w:tc>
          <w:tcPr>
            <w:tcW w:w="2500" w:type="dxa"/>
            <w:vAlign w:val="center"/>
          </w:tcPr>
          <w:p>
            <w:pPr>
              <w:spacing w:before="0" w:after="0"/>
              <w:jc w:val="right"/>
            </w:pPr>
            <w:r>
              <w:rPr>
                <w:sz w:val="18"/>
                <w:szCs w:val="18"/>
              </w:rPr>
              <w:t xml:space="preserve">3,787</w:t>
            </w:r>
          </w:p>
        </w:tc>
      </w:tr>
      <w:tr>
        <w:tc>
          <w:tcPr>
            <w:tcW w:w="4072" w:type="dxa"/>
            <w:vAlign w:val="center"/>
          </w:tcPr>
          <w:p>
            <w:pPr>
              <w:spacing w:before="0" w:after="0"/>
              <w:jc w:val="left"/>
            </w:pPr>
            <w:r>
              <w:rPr>
                <w:sz w:val="18"/>
                <w:szCs w:val="18"/>
              </w:rPr>
              <w:t xml:space="preserve">Issue price and amount credited to capital on exercise (USD)</w:t>
            </w:r>
          </w:p>
        </w:tc>
        <w:tc>
          <w:tcPr>
            <w:tcW w:w="2500" w:type="dxa"/>
            <w:vAlign w:val="center"/>
          </w:tcPr>
          <w:p>
            <w:pPr>
              <w:spacing w:before="0" w:after="0"/>
              <w:jc w:val="right"/>
            </w:pPr>
            <w:r>
              <w:rPr>
                <w:sz w:val="18"/>
                <w:szCs w:val="18"/>
              </w:rPr>
              <w:t xml:space="preserve">690</w:t>
            </w:r>
          </w:p>
        </w:tc>
        <w:tc>
          <w:tcPr>
            <w:tcW w:w="2500" w:type="dxa"/>
            <w:vAlign w:val="center"/>
          </w:tcPr>
          <w:p>
            <w:pPr>
              <w:spacing w:before="0" w:after="0"/>
              <w:jc w:val="right"/>
            </w:pPr>
            <w:r>
              <w:rPr>
                <w:sz w:val="18"/>
                <w:szCs w:val="18"/>
              </w:rPr>
              <w:t xml:space="preserve">6,153</w:t>
            </w:r>
          </w:p>
        </w:tc>
      </w:tr>
      <w:tr>
        <w:tc>
          <w:tcPr>
            <w:tcW w:w="4072" w:type="dxa"/>
            <w:vAlign w:val="center"/>
          </w:tcPr>
          <w:p>
            <w:pPr>
              <w:spacing w:before="0" w:after="0"/>
              <w:jc w:val="left"/>
            </w:pPr>
            <w:r>
              <w:rPr>
                <w:sz w:val="18"/>
                <w:szCs w:val="18"/>
              </w:rPr>
              <w:t xml:space="preserve">Conditions of exercise</w:t>
            </w:r>
          </w:p>
        </w:tc>
        <w:tc>
          <w:tcPr>
            <w:tcW w:w="2500" w:type="dxa"/>
            <w:vAlign w:val="center"/>
          </w:tcPr>
          <w:p>
            <w:pPr>
              <w:spacing w:before="0" w:after="0"/>
              <w:jc w:val="right"/>
            </w:pPr>
            <w:r>
              <w:rPr>
                <w:sz w:val="18"/>
                <w:szCs w:val="18"/>
              </w:rPr>
              <w:t xml:space="preserve">524</w:t>
            </w:r>
          </w:p>
        </w:tc>
        <w:tc>
          <w:tcPr>
            <w:tcW w:w="2500" w:type="dxa"/>
            <w:vAlign w:val="center"/>
          </w:tcPr>
          <w:p>
            <w:pPr>
              <w:spacing w:before="0" w:after="0"/>
              <w:jc w:val="right"/>
            </w:pPr>
            <w:r>
              <w:rPr>
                <w:sz w:val="18"/>
                <w:szCs w:val="18"/>
              </w:rPr>
              <w:t xml:space="preserve">9,109</w:t>
            </w:r>
          </w:p>
        </w:tc>
      </w:tr>
      <w:tr>
        <w:tc>
          <w:tcPr>
            <w:tcW w:w="4072" w:type="dxa"/>
            <w:vAlign w:val="center"/>
          </w:tcPr>
          <w:p>
            <w:pPr>
              <w:spacing w:before="0" w:after="0"/>
              <w:jc w:val="left"/>
            </w:pPr>
            <w:r>
              <w:rPr>
                <w:sz w:val="18"/>
                <w:szCs w:val="18"/>
              </w:rPr>
              <w:t xml:space="preserve">Transfer of options</w:t>
            </w:r>
          </w:p>
        </w:tc>
        <w:tc>
          <w:tcPr>
            <w:tcW w:w="2500" w:type="dxa"/>
            <w:vAlign w:val="center"/>
          </w:tcPr>
          <w:p>
            <w:pPr>
              <w:spacing w:before="0" w:after="0"/>
              <w:jc w:val="right"/>
            </w:pPr>
            <w:r>
              <w:rPr>
                <w:sz w:val="18"/>
                <w:szCs w:val="18"/>
              </w:rPr>
              <w:t xml:space="preserve">8,316</w:t>
            </w:r>
          </w:p>
        </w:tc>
        <w:tc>
          <w:tcPr>
            <w:tcW w:w="2500" w:type="dxa"/>
            <w:vAlign w:val="center"/>
          </w:tcPr>
          <w:p>
            <w:pPr>
              <w:spacing w:before="0" w:after="0"/>
              <w:jc w:val="right"/>
            </w:pPr>
            <w:r>
              <w:rPr>
                <w:sz w:val="18"/>
                <w:szCs w:val="18"/>
              </w:rPr>
              <w:t xml:space="preserve">8,275</w:t>
            </w:r>
          </w:p>
        </w:tc>
      </w:tr>
      <w:tr>
        <w:tc>
          <w:tcPr>
            <w:tcW w:w="4072" w:type="dxa"/>
            <w:vAlign w:val="center"/>
          </w:tcPr>
          <w:p>
            <w:pPr>
              <w:spacing w:before="0" w:after="0"/>
              <w:jc w:val="left"/>
            </w:pPr>
            <w:r>
              <w:rPr>
                <w:sz w:val="18"/>
                <w:szCs w:val="18"/>
              </w:rPr>
              <w:t xml:space="preserve">Treatment of options on a merger or reorganization</w:t>
            </w:r>
          </w:p>
        </w:tc>
        <w:tc>
          <w:tcPr>
            <w:tcW w:w="2500" w:type="dxa"/>
            <w:vAlign w:val="center"/>
          </w:tcPr>
          <w:p>
            <w:pPr>
              <w:spacing w:before="0" w:after="0"/>
              <w:jc w:val="right"/>
            </w:pPr>
            <w:r>
              <w:rPr>
                <w:sz w:val="18"/>
                <w:szCs w:val="18"/>
              </w:rPr>
              <w:t xml:space="preserve">4,236</w:t>
            </w:r>
          </w:p>
        </w:tc>
        <w:tc>
          <w:tcPr>
            <w:tcW w:w="2500" w:type="dxa"/>
            <w:vAlign w:val="center"/>
          </w:tcPr>
          <w:p>
            <w:pPr>
              <w:spacing w:before="0" w:after="0"/>
              <w:jc w:val="right"/>
            </w:pPr>
            <w:r>
              <w:rPr>
                <w:sz w:val="18"/>
                <w:szCs w:val="18"/>
              </w:rPr>
              <w:t xml:space="preserve">4,501</w:t>
            </w:r>
          </w:p>
        </w:tc>
      </w:tr>
    </w:tbl>
    <w:p>
      <w:pPr/>
    </w:p>
    <w:p>
      <w:pPr/>
      <w:r>
        <w:t xml:space="preserve">Note: Nimbus Coffee holds no derivatives other than coffee futures contracts used to fix the price of part of its future green coffee purchases. Baristas complete a four-week training course before working on the floor, and store managers complete a further course at the Northfield training center.</w:t>
      </w:r>
    </w:p>
    <w:p>
      <w:r>
        <w:br w:type="page"/>
      </w:r>
    </w:p>
    <w:p>
      <w:pPr>
        <w:keepNext/>
      </w:pPr>
      <w:r>
        <w:rPr>
          <w:b/>
        </w:rPr>
        <w:t xml:space="preserve">Stock options granted under the 2023 Equity Incentive Plan (resolution of the board of directors, June 2023)</w:t>
      </w:r>
    </w:p>
    <w:tbl>
      <w:tblPr>
        <w:tblW w:w="907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72" w:type="dxa"/>
          <w:right w:w="72" w:type="dxa"/>
        </w:tblCellMar>
      </w:tblPr>
      <w:tblGrid>
        <w:gridCol w:w="4072"/>
        <w:gridCol w:w="2500"/>
        <w:gridCol w:w="2500"/>
      </w:tblGrid>
      <w:tr>
        <w:trPr>
          <w:tblHeader/>
        </w:trPr>
        <w:tc>
          <w:tcPr>
            <w:tcW w:w="4072" w:type="dxa"/>
            <w:shd w:val="clear" w:color="auto" w:fill="DDEBF7"/>
            <w:vAlign w:val="center"/>
          </w:tcPr>
          <w:p>
            <w:pPr>
              <w:spacing w:before="0" w:after="0"/>
              <w:jc w:val="center"/>
            </w:pPr>
            <w:r>
              <w:rPr>
                <w:b/>
                <w:sz w:val="18"/>
                <w:szCs w:val="18"/>
              </w:rPr>
              <w:t xml:space="preserve"/>
            </w:r>
          </w:p>
        </w:tc>
        <w:tc>
          <w:tcPr>
            <w:tcW w:w="2500" w:type="dxa"/>
            <w:shd w:val="clear" w:color="auto" w:fill="DDEBF7"/>
            <w:vAlign w:val="center"/>
          </w:tcPr>
          <w:p>
            <w:pPr>
              <w:spacing w:before="0" w:after="0"/>
              <w:jc w:val="center"/>
            </w:pPr>
            <w:r>
              <w:rPr>
                <w:b/>
                <w:sz w:val="18"/>
                <w:szCs w:val="18"/>
              </w:rPr>
              <w:t xml:space="preserve">At fiscal year end</w:t>
            </w:r>
          </w:p>
        </w:tc>
        <w:tc>
          <w:tcPr>
            <w:tcW w:w="2500" w:type="dxa"/>
            <w:shd w:val="clear" w:color="auto" w:fill="DDEBF7"/>
            <w:vAlign w:val="center"/>
          </w:tcPr>
          <w:p>
            <w:pPr>
              <w:spacing w:before="0" w:after="0"/>
              <w:jc w:val="center"/>
            </w:pPr>
            <w:r>
              <w:rPr>
                <w:b/>
                <w:sz w:val="18"/>
                <w:szCs w:val="18"/>
              </w:rPr>
              <w:t xml:space="preserve">At the end of the month before filing</w:t>
            </w:r>
          </w:p>
        </w:tc>
      </w:tr>
      <w:tr>
        <w:tc>
          <w:tcPr>
            <w:tcW w:w="4072" w:type="dxa"/>
            <w:vAlign w:val="center"/>
          </w:tcPr>
          <w:p>
            <w:pPr>
              <w:spacing w:before="0" w:after="0"/>
              <w:jc w:val="left"/>
            </w:pPr>
            <w:r>
              <w:rPr>
                <w:sz w:val="18"/>
                <w:szCs w:val="18"/>
              </w:rPr>
              <w:t xml:space="preserve">Grantees (category and number)</w:t>
            </w:r>
          </w:p>
        </w:tc>
        <w:tc>
          <w:tcPr>
            <w:tcW w:w="2500" w:type="dxa"/>
            <w:vAlign w:val="center"/>
          </w:tcPr>
          <w:p>
            <w:pPr>
              <w:spacing w:before="0" w:after="0"/>
              <w:jc w:val="right"/>
            </w:pPr>
            <w:r>
              <w:rPr>
                <w:sz w:val="18"/>
                <w:szCs w:val="18"/>
              </w:rPr>
              <w:t xml:space="preserve">9,325</w:t>
            </w:r>
          </w:p>
        </w:tc>
        <w:tc>
          <w:tcPr>
            <w:tcW w:w="2500" w:type="dxa"/>
            <w:vAlign w:val="center"/>
          </w:tcPr>
          <w:p>
            <w:pPr>
              <w:spacing w:before="0" w:after="0"/>
              <w:jc w:val="right"/>
            </w:pPr>
            <w:r>
              <w:rPr>
                <w:sz w:val="18"/>
                <w:szCs w:val="18"/>
              </w:rPr>
              <w:t xml:space="preserve">1,369</w:t>
            </w:r>
          </w:p>
        </w:tc>
      </w:tr>
      <w:tr>
        <w:tc>
          <w:tcPr>
            <w:tcW w:w="4072" w:type="dxa"/>
            <w:vAlign w:val="center"/>
          </w:tcPr>
          <w:p>
            <w:pPr>
              <w:spacing w:before="0" w:after="0"/>
              <w:jc w:val="left"/>
            </w:pPr>
            <w:r>
              <w:rPr>
                <w:sz w:val="18"/>
                <w:szCs w:val="18"/>
              </w:rPr>
              <w:t xml:space="preserve">Number of options</w:t>
            </w:r>
          </w:p>
        </w:tc>
        <w:tc>
          <w:tcPr>
            <w:tcW w:w="2500" w:type="dxa"/>
            <w:vAlign w:val="center"/>
          </w:tcPr>
          <w:p>
            <w:pPr>
              <w:spacing w:before="0" w:after="0"/>
              <w:jc w:val="right"/>
            </w:pPr>
            <w:r>
              <w:rPr>
                <w:sz w:val="18"/>
                <w:szCs w:val="18"/>
              </w:rPr>
              <w:t xml:space="preserve">6,306</w:t>
            </w:r>
          </w:p>
        </w:tc>
        <w:tc>
          <w:tcPr>
            <w:tcW w:w="2500" w:type="dxa"/>
            <w:vAlign w:val="center"/>
          </w:tcPr>
          <w:p>
            <w:pPr>
              <w:spacing w:before="0" w:after="0"/>
              <w:jc w:val="right"/>
            </w:pPr>
            <w:r>
              <w:rPr>
                <w:sz w:val="18"/>
                <w:szCs w:val="18"/>
              </w:rPr>
              <w:t xml:space="preserve">2,756</w:t>
            </w:r>
          </w:p>
        </w:tc>
      </w:tr>
      <w:tr>
        <w:tc>
          <w:tcPr>
            <w:tcW w:w="4072" w:type="dxa"/>
            <w:vAlign w:val="center"/>
          </w:tcPr>
          <w:p>
            <w:pPr>
              <w:spacing w:before="0" w:after="0"/>
              <w:jc w:val="left"/>
            </w:pPr>
            <w:r>
              <w:rPr>
                <w:sz w:val="18"/>
                <w:szCs w:val="18"/>
              </w:rPr>
              <w:t xml:space="preserve">Class and number of shares issuable on exercise</w:t>
            </w:r>
          </w:p>
        </w:tc>
        <w:tc>
          <w:tcPr>
            <w:tcW w:w="2500" w:type="dxa"/>
            <w:vAlign w:val="center"/>
          </w:tcPr>
          <w:p>
            <w:pPr>
              <w:spacing w:before="0" w:after="0"/>
              <w:jc w:val="right"/>
            </w:pPr>
            <w:r>
              <w:rPr>
                <w:sz w:val="18"/>
                <w:szCs w:val="18"/>
              </w:rPr>
              <w:t xml:space="preserve">4,209</w:t>
            </w:r>
          </w:p>
        </w:tc>
        <w:tc>
          <w:tcPr>
            <w:tcW w:w="2500" w:type="dxa"/>
            <w:vAlign w:val="center"/>
          </w:tcPr>
          <w:p>
            <w:pPr>
              <w:spacing w:before="0" w:after="0"/>
              <w:jc w:val="right"/>
            </w:pPr>
            <w:r>
              <w:rPr>
                <w:sz w:val="18"/>
                <w:szCs w:val="18"/>
              </w:rPr>
              <w:t xml:space="preserve">8,648</w:t>
            </w:r>
          </w:p>
        </w:tc>
      </w:tr>
      <w:tr>
        <w:tc>
          <w:tcPr>
            <w:tcW w:w="4072" w:type="dxa"/>
            <w:vAlign w:val="center"/>
          </w:tcPr>
          <w:p>
            <w:pPr>
              <w:spacing w:before="0" w:after="0"/>
              <w:jc w:val="left"/>
            </w:pPr>
            <w:r>
              <w:rPr>
                <w:sz w:val="18"/>
                <w:szCs w:val="18"/>
              </w:rPr>
              <w:t xml:space="preserve">Exercise price per share (USD)</w:t>
            </w:r>
          </w:p>
        </w:tc>
        <w:tc>
          <w:tcPr>
            <w:tcW w:w="2500" w:type="dxa"/>
            <w:vAlign w:val="center"/>
          </w:tcPr>
          <w:p>
            <w:pPr>
              <w:spacing w:before="0" w:after="0"/>
              <w:jc w:val="right"/>
            </w:pPr>
            <w:r>
              <w:rPr>
                <w:sz w:val="18"/>
                <w:szCs w:val="18"/>
              </w:rPr>
              <w:t xml:space="preserve">9,878</w:t>
            </w:r>
          </w:p>
        </w:tc>
        <w:tc>
          <w:tcPr>
            <w:tcW w:w="2500" w:type="dxa"/>
            <w:vAlign w:val="center"/>
          </w:tcPr>
          <w:p>
            <w:pPr>
              <w:spacing w:before="0" w:after="0"/>
              <w:jc w:val="right"/>
            </w:pPr>
            <w:r>
              <w:rPr>
                <w:sz w:val="18"/>
                <w:szCs w:val="18"/>
              </w:rPr>
              <w:t xml:space="preserve">3,321</w:t>
            </w:r>
          </w:p>
        </w:tc>
      </w:tr>
      <w:tr>
        <w:tc>
          <w:tcPr>
            <w:tcW w:w="4072" w:type="dxa"/>
            <w:vAlign w:val="center"/>
          </w:tcPr>
          <w:p>
            <w:pPr>
              <w:spacing w:before="0" w:after="0"/>
              <w:jc w:val="left"/>
            </w:pPr>
            <w:r>
              <w:rPr>
                <w:sz w:val="18"/>
                <w:szCs w:val="18"/>
              </w:rPr>
              <w:t xml:space="preserve">Exercise period</w:t>
            </w:r>
          </w:p>
        </w:tc>
        <w:tc>
          <w:tcPr>
            <w:tcW w:w="2500" w:type="dxa"/>
            <w:vAlign w:val="center"/>
          </w:tcPr>
          <w:p>
            <w:pPr>
              <w:spacing w:before="0" w:after="0"/>
              <w:jc w:val="right"/>
            </w:pPr>
            <w:r>
              <w:rPr>
                <w:sz w:val="18"/>
                <w:szCs w:val="18"/>
              </w:rPr>
              <w:t xml:space="preserve">2,010</w:t>
            </w:r>
          </w:p>
        </w:tc>
        <w:tc>
          <w:tcPr>
            <w:tcW w:w="2500" w:type="dxa"/>
            <w:vAlign w:val="center"/>
          </w:tcPr>
          <w:p>
            <w:pPr>
              <w:spacing w:before="0" w:after="0"/>
              <w:jc w:val="right"/>
            </w:pPr>
            <w:r>
              <w:rPr>
                <w:sz w:val="18"/>
                <w:szCs w:val="18"/>
              </w:rPr>
              <w:t xml:space="preserve">9,388</w:t>
            </w:r>
          </w:p>
        </w:tc>
      </w:tr>
      <w:tr>
        <w:tc>
          <w:tcPr>
            <w:tcW w:w="4072" w:type="dxa"/>
            <w:vAlign w:val="center"/>
          </w:tcPr>
          <w:p>
            <w:pPr>
              <w:spacing w:before="0" w:after="0"/>
              <w:jc w:val="left"/>
            </w:pPr>
            <w:r>
              <w:rPr>
                <w:sz w:val="18"/>
                <w:szCs w:val="18"/>
              </w:rPr>
              <w:t xml:space="preserve">Issue price and amount credited to capital on exercise (USD)</w:t>
            </w:r>
          </w:p>
        </w:tc>
        <w:tc>
          <w:tcPr>
            <w:tcW w:w="2500" w:type="dxa"/>
            <w:vAlign w:val="center"/>
          </w:tcPr>
          <w:p>
            <w:pPr>
              <w:spacing w:before="0" w:after="0"/>
              <w:jc w:val="right"/>
            </w:pPr>
            <w:r>
              <w:rPr>
                <w:sz w:val="18"/>
                <w:szCs w:val="18"/>
              </w:rPr>
              <w:t xml:space="preserve">5,591</w:t>
            </w:r>
          </w:p>
        </w:tc>
        <w:tc>
          <w:tcPr>
            <w:tcW w:w="2500" w:type="dxa"/>
            <w:vAlign w:val="center"/>
          </w:tcPr>
          <w:p>
            <w:pPr>
              <w:spacing w:before="0" w:after="0"/>
              <w:jc w:val="right"/>
            </w:pPr>
            <w:r>
              <w:rPr>
                <w:sz w:val="18"/>
                <w:szCs w:val="18"/>
              </w:rPr>
              <w:t xml:space="preserve">6,621</w:t>
            </w:r>
          </w:p>
        </w:tc>
      </w:tr>
      <w:tr>
        <w:tc>
          <w:tcPr>
            <w:tcW w:w="4072" w:type="dxa"/>
            <w:vAlign w:val="center"/>
          </w:tcPr>
          <w:p>
            <w:pPr>
              <w:spacing w:before="0" w:after="0"/>
              <w:jc w:val="left"/>
            </w:pPr>
            <w:r>
              <w:rPr>
                <w:sz w:val="18"/>
                <w:szCs w:val="18"/>
              </w:rPr>
              <w:t xml:space="preserve">Conditions of exercise</w:t>
            </w:r>
          </w:p>
        </w:tc>
        <w:tc>
          <w:tcPr>
            <w:tcW w:w="2500" w:type="dxa"/>
            <w:vAlign w:val="center"/>
          </w:tcPr>
          <w:p>
            <w:pPr>
              <w:spacing w:before="0" w:after="0"/>
              <w:jc w:val="right"/>
            </w:pPr>
            <w:r>
              <w:rPr>
                <w:sz w:val="18"/>
                <w:szCs w:val="18"/>
              </w:rPr>
              <w:t xml:space="preserve">1,630</w:t>
            </w:r>
          </w:p>
        </w:tc>
        <w:tc>
          <w:tcPr>
            <w:tcW w:w="2500" w:type="dxa"/>
            <w:vAlign w:val="center"/>
          </w:tcPr>
          <w:p>
            <w:pPr>
              <w:spacing w:before="0" w:after="0"/>
              <w:jc w:val="right"/>
            </w:pPr>
            <w:r>
              <w:rPr>
                <w:sz w:val="18"/>
                <w:szCs w:val="18"/>
              </w:rPr>
              <w:t xml:space="preserve">2,363</w:t>
            </w:r>
          </w:p>
        </w:tc>
      </w:tr>
      <w:tr>
        <w:tc>
          <w:tcPr>
            <w:tcW w:w="4072" w:type="dxa"/>
            <w:vAlign w:val="center"/>
          </w:tcPr>
          <w:p>
            <w:pPr>
              <w:spacing w:before="0" w:after="0"/>
              <w:jc w:val="left"/>
            </w:pPr>
            <w:r>
              <w:rPr>
                <w:sz w:val="18"/>
                <w:szCs w:val="18"/>
              </w:rPr>
              <w:t xml:space="preserve">Transfer of options</w:t>
            </w:r>
          </w:p>
        </w:tc>
        <w:tc>
          <w:tcPr>
            <w:tcW w:w="2500" w:type="dxa"/>
            <w:vAlign w:val="center"/>
          </w:tcPr>
          <w:p>
            <w:pPr>
              <w:spacing w:before="0" w:after="0"/>
              <w:jc w:val="right"/>
            </w:pPr>
            <w:r>
              <w:rPr>
                <w:sz w:val="18"/>
                <w:szCs w:val="18"/>
              </w:rPr>
              <w:t xml:space="preserve">2,121</w:t>
            </w:r>
          </w:p>
        </w:tc>
        <w:tc>
          <w:tcPr>
            <w:tcW w:w="2500" w:type="dxa"/>
            <w:vAlign w:val="center"/>
          </w:tcPr>
          <w:p>
            <w:pPr>
              <w:spacing w:before="0" w:after="0"/>
              <w:jc w:val="right"/>
            </w:pPr>
            <w:r>
              <w:rPr>
                <w:sz w:val="18"/>
                <w:szCs w:val="18"/>
              </w:rPr>
              <w:t xml:space="preserve">689</w:t>
            </w:r>
          </w:p>
        </w:tc>
      </w:tr>
      <w:tr>
        <w:tc>
          <w:tcPr>
            <w:tcW w:w="4072" w:type="dxa"/>
            <w:vAlign w:val="center"/>
          </w:tcPr>
          <w:p>
            <w:pPr>
              <w:spacing w:before="0" w:after="0"/>
              <w:jc w:val="left"/>
            </w:pPr>
            <w:r>
              <w:rPr>
                <w:sz w:val="18"/>
                <w:szCs w:val="18"/>
              </w:rPr>
              <w:t xml:space="preserve">Treatment of options on a merger or reorganization</w:t>
            </w:r>
          </w:p>
        </w:tc>
        <w:tc>
          <w:tcPr>
            <w:tcW w:w="2500" w:type="dxa"/>
            <w:vAlign w:val="center"/>
          </w:tcPr>
          <w:p>
            <w:pPr>
              <w:spacing w:before="0" w:after="0"/>
              <w:jc w:val="right"/>
            </w:pPr>
            <w:r>
              <w:rPr>
                <w:sz w:val="18"/>
                <w:szCs w:val="18"/>
              </w:rPr>
              <w:t xml:space="preserve">9,802</w:t>
            </w:r>
          </w:p>
        </w:tc>
        <w:tc>
          <w:tcPr>
            <w:tcW w:w="2500" w:type="dxa"/>
            <w:vAlign w:val="center"/>
          </w:tcPr>
          <w:p>
            <w:pPr>
              <w:spacing w:before="0" w:after="0"/>
              <w:jc w:val="right"/>
            </w:pPr>
            <w:r>
              <w:rPr>
                <w:sz w:val="18"/>
                <w:szCs w:val="18"/>
              </w:rPr>
              <w:t xml:space="preserve">9,512</w:t>
            </w:r>
          </w:p>
        </w:tc>
      </w:tr>
    </w:tbl>
    <w:p>
      <w:pPr/>
    </w:p>
    <w:p>
      <w:pPr/>
      <w:r>
        <w:t xml:space="preserve">Note: Total revenue for the fiscal year was $241,699 thousand, an increase of 14.0% over the prior year, and operating income was $10,735 thousand, an increase of 19.1%. Comparable store sales increased 4.7%, driven by a 4.4% increase in average ticket and a 0.8% increase in transactions.</w:t>
      </w:r>
    </w:p>
    <w:p>
      <w:r>
        <w:br w:type="page"/>
      </w:r>
    </w:p>
    <w:p>
      <w:pPr>
        <w:keepNext/>
      </w:pPr>
      <w:r>
        <w:rPr>
          <w:b/>
        </w:rPr>
        <w:t xml:space="preserve">Stock options granted under the 2024 Equity Incentive Plan (resolution of the board of directors, December 2024)</w:t>
      </w:r>
    </w:p>
    <w:tbl>
      <w:tblPr>
        <w:tblW w:w="907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72" w:type="dxa"/>
          <w:right w:w="72" w:type="dxa"/>
        </w:tblCellMar>
      </w:tblPr>
      <w:tblGrid>
        <w:gridCol w:w="4072"/>
        <w:gridCol w:w="2500"/>
        <w:gridCol w:w="2500"/>
      </w:tblGrid>
      <w:tr>
        <w:trPr>
          <w:tblHeader/>
        </w:trPr>
        <w:tc>
          <w:tcPr>
            <w:tcW w:w="4072" w:type="dxa"/>
            <w:shd w:val="clear" w:color="auto" w:fill="DDEBF7"/>
            <w:vAlign w:val="center"/>
          </w:tcPr>
          <w:p>
            <w:pPr>
              <w:spacing w:before="0" w:after="0"/>
              <w:jc w:val="center"/>
            </w:pPr>
            <w:r>
              <w:rPr>
                <w:b/>
                <w:sz w:val="18"/>
                <w:szCs w:val="18"/>
              </w:rPr>
              <w:t xml:space="preserve"/>
            </w:r>
          </w:p>
        </w:tc>
        <w:tc>
          <w:tcPr>
            <w:tcW w:w="2500" w:type="dxa"/>
            <w:shd w:val="clear" w:color="auto" w:fill="DDEBF7"/>
            <w:vAlign w:val="center"/>
          </w:tcPr>
          <w:p>
            <w:pPr>
              <w:spacing w:before="0" w:after="0"/>
              <w:jc w:val="center"/>
            </w:pPr>
            <w:r>
              <w:rPr>
                <w:b/>
                <w:sz w:val="18"/>
                <w:szCs w:val="18"/>
              </w:rPr>
              <w:t xml:space="preserve">At fiscal year end</w:t>
            </w:r>
          </w:p>
        </w:tc>
        <w:tc>
          <w:tcPr>
            <w:tcW w:w="2500" w:type="dxa"/>
            <w:shd w:val="clear" w:color="auto" w:fill="DDEBF7"/>
            <w:vAlign w:val="center"/>
          </w:tcPr>
          <w:p>
            <w:pPr>
              <w:spacing w:before="0" w:after="0"/>
              <w:jc w:val="center"/>
            </w:pPr>
            <w:r>
              <w:rPr>
                <w:b/>
                <w:sz w:val="18"/>
                <w:szCs w:val="18"/>
              </w:rPr>
              <w:t xml:space="preserve">At the end of the month before filing</w:t>
            </w:r>
          </w:p>
        </w:tc>
      </w:tr>
      <w:tr>
        <w:tc>
          <w:tcPr>
            <w:tcW w:w="4072" w:type="dxa"/>
            <w:vAlign w:val="center"/>
          </w:tcPr>
          <w:p>
            <w:pPr>
              <w:spacing w:before="0" w:after="0"/>
              <w:jc w:val="left"/>
            </w:pPr>
            <w:r>
              <w:rPr>
                <w:sz w:val="18"/>
                <w:szCs w:val="18"/>
              </w:rPr>
              <w:t xml:space="preserve">Grantees (category and number)</w:t>
            </w:r>
          </w:p>
        </w:tc>
        <w:tc>
          <w:tcPr>
            <w:tcW w:w="2500" w:type="dxa"/>
            <w:vAlign w:val="center"/>
          </w:tcPr>
          <w:p>
            <w:pPr>
              <w:spacing w:before="0" w:after="0"/>
              <w:jc w:val="right"/>
            </w:pPr>
            <w:r>
              <w:rPr>
                <w:sz w:val="18"/>
                <w:szCs w:val="18"/>
              </w:rPr>
              <w:t xml:space="preserve">2,798</w:t>
            </w:r>
          </w:p>
        </w:tc>
        <w:tc>
          <w:tcPr>
            <w:tcW w:w="2500" w:type="dxa"/>
            <w:vAlign w:val="center"/>
          </w:tcPr>
          <w:p>
            <w:pPr>
              <w:spacing w:before="0" w:after="0"/>
              <w:jc w:val="right"/>
            </w:pPr>
            <w:r>
              <w:rPr>
                <w:sz w:val="18"/>
                <w:szCs w:val="18"/>
              </w:rPr>
              <w:t xml:space="preserve">1,764</w:t>
            </w:r>
          </w:p>
        </w:tc>
      </w:tr>
      <w:tr>
        <w:tc>
          <w:tcPr>
            <w:tcW w:w="4072" w:type="dxa"/>
            <w:vAlign w:val="center"/>
          </w:tcPr>
          <w:p>
            <w:pPr>
              <w:spacing w:before="0" w:after="0"/>
              <w:jc w:val="left"/>
            </w:pPr>
            <w:r>
              <w:rPr>
                <w:sz w:val="18"/>
                <w:szCs w:val="18"/>
              </w:rPr>
              <w:t xml:space="preserve">Number of options</w:t>
            </w:r>
          </w:p>
        </w:tc>
        <w:tc>
          <w:tcPr>
            <w:tcW w:w="2500" w:type="dxa"/>
            <w:vAlign w:val="center"/>
          </w:tcPr>
          <w:p>
            <w:pPr>
              <w:spacing w:before="0" w:after="0"/>
              <w:jc w:val="right"/>
            </w:pPr>
            <w:r>
              <w:rPr>
                <w:sz w:val="18"/>
                <w:szCs w:val="18"/>
              </w:rPr>
              <w:t xml:space="preserve">6,683</w:t>
            </w:r>
          </w:p>
        </w:tc>
        <w:tc>
          <w:tcPr>
            <w:tcW w:w="2500" w:type="dxa"/>
            <w:vAlign w:val="center"/>
          </w:tcPr>
          <w:p>
            <w:pPr>
              <w:spacing w:before="0" w:after="0"/>
              <w:jc w:val="right"/>
            </w:pPr>
            <w:r>
              <w:rPr>
                <w:sz w:val="18"/>
                <w:szCs w:val="18"/>
              </w:rPr>
              <w:t xml:space="preserve">2,913</w:t>
            </w:r>
          </w:p>
        </w:tc>
      </w:tr>
      <w:tr>
        <w:tc>
          <w:tcPr>
            <w:tcW w:w="4072" w:type="dxa"/>
            <w:vAlign w:val="center"/>
          </w:tcPr>
          <w:p>
            <w:pPr>
              <w:spacing w:before="0" w:after="0"/>
              <w:jc w:val="left"/>
            </w:pPr>
            <w:r>
              <w:rPr>
                <w:sz w:val="18"/>
                <w:szCs w:val="18"/>
              </w:rPr>
              <w:t xml:space="preserve">Class and number of shares issuable on exercise</w:t>
            </w:r>
          </w:p>
        </w:tc>
        <w:tc>
          <w:tcPr>
            <w:tcW w:w="2500" w:type="dxa"/>
            <w:vAlign w:val="center"/>
          </w:tcPr>
          <w:p>
            <w:pPr>
              <w:spacing w:before="0" w:after="0"/>
              <w:jc w:val="right"/>
            </w:pPr>
            <w:r>
              <w:rPr>
                <w:sz w:val="18"/>
                <w:szCs w:val="18"/>
              </w:rPr>
              <w:t xml:space="preserve">2,712</w:t>
            </w:r>
          </w:p>
        </w:tc>
        <w:tc>
          <w:tcPr>
            <w:tcW w:w="2500" w:type="dxa"/>
            <w:vAlign w:val="center"/>
          </w:tcPr>
          <w:p>
            <w:pPr>
              <w:spacing w:before="0" w:after="0"/>
              <w:jc w:val="right"/>
            </w:pPr>
            <w:r>
              <w:rPr>
                <w:sz w:val="18"/>
                <w:szCs w:val="18"/>
              </w:rPr>
              <w:t xml:space="preserve">7,413</w:t>
            </w:r>
          </w:p>
        </w:tc>
      </w:tr>
      <w:tr>
        <w:tc>
          <w:tcPr>
            <w:tcW w:w="4072" w:type="dxa"/>
            <w:vAlign w:val="center"/>
          </w:tcPr>
          <w:p>
            <w:pPr>
              <w:spacing w:before="0" w:after="0"/>
              <w:jc w:val="left"/>
            </w:pPr>
            <w:r>
              <w:rPr>
                <w:sz w:val="18"/>
                <w:szCs w:val="18"/>
              </w:rPr>
              <w:t xml:space="preserve">Exercise price per share (USD)</w:t>
            </w:r>
          </w:p>
        </w:tc>
        <w:tc>
          <w:tcPr>
            <w:tcW w:w="2500" w:type="dxa"/>
            <w:vAlign w:val="center"/>
          </w:tcPr>
          <w:p>
            <w:pPr>
              <w:spacing w:before="0" w:after="0"/>
              <w:jc w:val="right"/>
            </w:pPr>
            <w:r>
              <w:rPr>
                <w:sz w:val="18"/>
                <w:szCs w:val="18"/>
              </w:rPr>
              <w:t xml:space="preserve">2,844</w:t>
            </w:r>
          </w:p>
        </w:tc>
        <w:tc>
          <w:tcPr>
            <w:tcW w:w="2500" w:type="dxa"/>
            <w:vAlign w:val="center"/>
          </w:tcPr>
          <w:p>
            <w:pPr>
              <w:spacing w:before="0" w:after="0"/>
              <w:jc w:val="right"/>
            </w:pPr>
            <w:r>
              <w:rPr>
                <w:sz w:val="18"/>
                <w:szCs w:val="18"/>
              </w:rPr>
              <w:t xml:space="preserve">3,481</w:t>
            </w:r>
          </w:p>
        </w:tc>
      </w:tr>
      <w:tr>
        <w:tc>
          <w:tcPr>
            <w:tcW w:w="4072" w:type="dxa"/>
            <w:vAlign w:val="center"/>
          </w:tcPr>
          <w:p>
            <w:pPr>
              <w:spacing w:before="0" w:after="0"/>
              <w:jc w:val="left"/>
            </w:pPr>
            <w:r>
              <w:rPr>
                <w:sz w:val="18"/>
                <w:szCs w:val="18"/>
              </w:rPr>
              <w:t xml:space="preserve">Exercise period</w:t>
            </w:r>
          </w:p>
        </w:tc>
        <w:tc>
          <w:tcPr>
            <w:tcW w:w="2500" w:type="dxa"/>
            <w:vAlign w:val="center"/>
          </w:tcPr>
          <w:p>
            <w:pPr>
              <w:spacing w:before="0" w:after="0"/>
              <w:jc w:val="right"/>
            </w:pPr>
            <w:r>
              <w:rPr>
                <w:sz w:val="18"/>
                <w:szCs w:val="18"/>
              </w:rPr>
              <w:t xml:space="preserve">6,483</w:t>
            </w:r>
          </w:p>
        </w:tc>
        <w:tc>
          <w:tcPr>
            <w:tcW w:w="2500" w:type="dxa"/>
            <w:vAlign w:val="center"/>
          </w:tcPr>
          <w:p>
            <w:pPr>
              <w:spacing w:before="0" w:after="0"/>
              <w:jc w:val="right"/>
            </w:pPr>
            <w:r>
              <w:rPr>
                <w:sz w:val="18"/>
                <w:szCs w:val="18"/>
              </w:rPr>
              <w:t xml:space="preserve">6,547</w:t>
            </w:r>
          </w:p>
        </w:tc>
      </w:tr>
      <w:tr>
        <w:tc>
          <w:tcPr>
            <w:tcW w:w="4072" w:type="dxa"/>
            <w:vAlign w:val="center"/>
          </w:tcPr>
          <w:p>
            <w:pPr>
              <w:spacing w:before="0" w:after="0"/>
              <w:jc w:val="left"/>
            </w:pPr>
            <w:r>
              <w:rPr>
                <w:sz w:val="18"/>
                <w:szCs w:val="18"/>
              </w:rPr>
              <w:t xml:space="preserve">Issue price and amount credited to capital on exercise (USD)</w:t>
            </w:r>
          </w:p>
        </w:tc>
        <w:tc>
          <w:tcPr>
            <w:tcW w:w="2500" w:type="dxa"/>
            <w:vAlign w:val="center"/>
          </w:tcPr>
          <w:p>
            <w:pPr>
              <w:spacing w:before="0" w:after="0"/>
              <w:jc w:val="right"/>
            </w:pPr>
            <w:r>
              <w:rPr>
                <w:sz w:val="18"/>
                <w:szCs w:val="18"/>
              </w:rPr>
              <w:t xml:space="preserve">5,226</w:t>
            </w:r>
          </w:p>
        </w:tc>
        <w:tc>
          <w:tcPr>
            <w:tcW w:w="2500" w:type="dxa"/>
            <w:vAlign w:val="center"/>
          </w:tcPr>
          <w:p>
            <w:pPr>
              <w:spacing w:before="0" w:after="0"/>
              <w:jc w:val="right"/>
            </w:pPr>
            <w:r>
              <w:rPr>
                <w:sz w:val="18"/>
                <w:szCs w:val="18"/>
              </w:rPr>
              <w:t xml:space="preserve">9,766</w:t>
            </w:r>
          </w:p>
        </w:tc>
      </w:tr>
      <w:tr>
        <w:tc>
          <w:tcPr>
            <w:tcW w:w="4072" w:type="dxa"/>
            <w:vAlign w:val="center"/>
          </w:tcPr>
          <w:p>
            <w:pPr>
              <w:spacing w:before="0" w:after="0"/>
              <w:jc w:val="left"/>
            </w:pPr>
            <w:r>
              <w:rPr>
                <w:sz w:val="18"/>
                <w:szCs w:val="18"/>
              </w:rPr>
              <w:t xml:space="preserve">Conditions of exercise</w:t>
            </w:r>
          </w:p>
        </w:tc>
        <w:tc>
          <w:tcPr>
            <w:tcW w:w="2500" w:type="dxa"/>
            <w:vAlign w:val="center"/>
          </w:tcPr>
          <w:p>
            <w:pPr>
              <w:spacing w:before="0" w:after="0"/>
              <w:jc w:val="right"/>
            </w:pPr>
            <w:r>
              <w:rPr>
                <w:sz w:val="18"/>
                <w:szCs w:val="18"/>
              </w:rPr>
              <w:t xml:space="preserve">1,047</w:t>
            </w:r>
          </w:p>
        </w:tc>
        <w:tc>
          <w:tcPr>
            <w:tcW w:w="2500" w:type="dxa"/>
            <w:vAlign w:val="center"/>
          </w:tcPr>
          <w:p>
            <w:pPr>
              <w:spacing w:before="0" w:after="0"/>
              <w:jc w:val="right"/>
            </w:pPr>
            <w:r>
              <w:rPr>
                <w:sz w:val="18"/>
                <w:szCs w:val="18"/>
              </w:rPr>
              <w:t xml:space="preserve">81</w:t>
            </w:r>
          </w:p>
        </w:tc>
      </w:tr>
      <w:tr>
        <w:tc>
          <w:tcPr>
            <w:tcW w:w="4072" w:type="dxa"/>
            <w:vAlign w:val="center"/>
          </w:tcPr>
          <w:p>
            <w:pPr>
              <w:spacing w:before="0" w:after="0"/>
              <w:jc w:val="left"/>
            </w:pPr>
            <w:r>
              <w:rPr>
                <w:sz w:val="18"/>
                <w:szCs w:val="18"/>
              </w:rPr>
              <w:t xml:space="preserve">Transfer of options</w:t>
            </w:r>
          </w:p>
        </w:tc>
        <w:tc>
          <w:tcPr>
            <w:tcW w:w="2500" w:type="dxa"/>
            <w:vAlign w:val="center"/>
          </w:tcPr>
          <w:p>
            <w:pPr>
              <w:spacing w:before="0" w:after="0"/>
              <w:jc w:val="right"/>
            </w:pPr>
            <w:r>
              <w:rPr>
                <w:sz w:val="18"/>
                <w:szCs w:val="18"/>
              </w:rPr>
              <w:t xml:space="preserve">4,618</w:t>
            </w:r>
          </w:p>
        </w:tc>
        <w:tc>
          <w:tcPr>
            <w:tcW w:w="2500" w:type="dxa"/>
            <w:vAlign w:val="center"/>
          </w:tcPr>
          <w:p>
            <w:pPr>
              <w:spacing w:before="0" w:after="0"/>
              <w:jc w:val="right"/>
            </w:pPr>
            <w:r>
              <w:rPr>
                <w:sz w:val="18"/>
                <w:szCs w:val="18"/>
              </w:rPr>
              <w:t xml:space="preserve">9,714</w:t>
            </w:r>
          </w:p>
        </w:tc>
      </w:tr>
      <w:tr>
        <w:tc>
          <w:tcPr>
            <w:tcW w:w="4072" w:type="dxa"/>
            <w:vAlign w:val="center"/>
          </w:tcPr>
          <w:p>
            <w:pPr>
              <w:spacing w:before="0" w:after="0"/>
              <w:jc w:val="left"/>
            </w:pPr>
            <w:r>
              <w:rPr>
                <w:sz w:val="18"/>
                <w:szCs w:val="18"/>
              </w:rPr>
              <w:t xml:space="preserve">Treatment of options on a merger or reorganization</w:t>
            </w:r>
          </w:p>
        </w:tc>
        <w:tc>
          <w:tcPr>
            <w:tcW w:w="2500" w:type="dxa"/>
            <w:vAlign w:val="center"/>
          </w:tcPr>
          <w:p>
            <w:pPr>
              <w:spacing w:before="0" w:after="0"/>
              <w:jc w:val="right"/>
            </w:pPr>
            <w:r>
              <w:rPr>
                <w:sz w:val="18"/>
                <w:szCs w:val="18"/>
              </w:rPr>
              <w:t xml:space="preserve">6,391</w:t>
            </w:r>
          </w:p>
        </w:tc>
        <w:tc>
          <w:tcPr>
            <w:tcW w:w="2500" w:type="dxa"/>
            <w:vAlign w:val="center"/>
          </w:tcPr>
          <w:p>
            <w:pPr>
              <w:spacing w:before="0" w:after="0"/>
              <w:jc w:val="right"/>
            </w:pPr>
            <w:r>
              <w:rPr>
                <w:sz w:val="18"/>
                <w:szCs w:val="18"/>
              </w:rPr>
              <w:t xml:space="preserve">1,344</w:t>
            </w:r>
          </w:p>
        </w:tc>
      </w:tr>
    </w:tbl>
    <w:p>
      <w:pPr/>
    </w:p>
    <w:p>
      <w:pPr/>
      <w:r>
        <w:t xml:space="preserve">Note: The price of green coffee is volatile, and a sustained increase could reduce gross margin if Nimbus Coffee is unable to pass the cost on to customers through menu prices. Food safety incidents, whether or not they occur at our stores, could harm the reputation of the Nimbus Coffee brand and reduce customer traffic.</w:t>
      </w:r>
    </w:p>
    <w:p>
      <w:r>
        <w:br w:type="page"/>
      </w:r>
    </w:p>
    <w:p>
      <w:pPr>
        <w:keepNext/>
      </w:pPr>
      <w:r>
        <w:rPr>
          <w:b/>
        </w:rPr>
        <w:t xml:space="preserve">Stock options granted under the 2025 Equity Incentive Plan (resolution of the board of directors, June 2025)</w:t>
      </w:r>
    </w:p>
    <w:tbl>
      <w:tblPr>
        <w:tblW w:w="907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72" w:type="dxa"/>
          <w:right w:w="72" w:type="dxa"/>
        </w:tblCellMar>
      </w:tblPr>
      <w:tblGrid>
        <w:gridCol w:w="4072"/>
        <w:gridCol w:w="2500"/>
        <w:gridCol w:w="2500"/>
      </w:tblGrid>
      <w:tr>
        <w:trPr>
          <w:tblHeader/>
        </w:trPr>
        <w:tc>
          <w:tcPr>
            <w:tcW w:w="4072" w:type="dxa"/>
            <w:shd w:val="clear" w:color="auto" w:fill="DDEBF7"/>
            <w:vAlign w:val="center"/>
          </w:tcPr>
          <w:p>
            <w:pPr>
              <w:spacing w:before="0" w:after="0"/>
              <w:jc w:val="center"/>
            </w:pPr>
            <w:r>
              <w:rPr>
                <w:b/>
                <w:sz w:val="18"/>
                <w:szCs w:val="18"/>
              </w:rPr>
              <w:t xml:space="preserve"/>
            </w:r>
          </w:p>
        </w:tc>
        <w:tc>
          <w:tcPr>
            <w:tcW w:w="2500" w:type="dxa"/>
            <w:shd w:val="clear" w:color="auto" w:fill="DDEBF7"/>
            <w:vAlign w:val="center"/>
          </w:tcPr>
          <w:p>
            <w:pPr>
              <w:spacing w:before="0" w:after="0"/>
              <w:jc w:val="center"/>
            </w:pPr>
            <w:r>
              <w:rPr>
                <w:b/>
                <w:sz w:val="18"/>
                <w:szCs w:val="18"/>
              </w:rPr>
              <w:t xml:space="preserve">At fiscal year end</w:t>
            </w:r>
          </w:p>
        </w:tc>
        <w:tc>
          <w:tcPr>
            <w:tcW w:w="2500" w:type="dxa"/>
            <w:shd w:val="clear" w:color="auto" w:fill="DDEBF7"/>
            <w:vAlign w:val="center"/>
          </w:tcPr>
          <w:p>
            <w:pPr>
              <w:spacing w:before="0" w:after="0"/>
              <w:jc w:val="center"/>
            </w:pPr>
            <w:r>
              <w:rPr>
                <w:b/>
                <w:sz w:val="18"/>
                <w:szCs w:val="18"/>
              </w:rPr>
              <w:t xml:space="preserve">At the end of the month before filing</w:t>
            </w:r>
          </w:p>
        </w:tc>
      </w:tr>
      <w:tr>
        <w:tc>
          <w:tcPr>
            <w:tcW w:w="4072" w:type="dxa"/>
            <w:vAlign w:val="center"/>
          </w:tcPr>
          <w:p>
            <w:pPr>
              <w:spacing w:before="0" w:after="0"/>
              <w:jc w:val="left"/>
            </w:pPr>
            <w:r>
              <w:rPr>
                <w:sz w:val="18"/>
                <w:szCs w:val="18"/>
              </w:rPr>
              <w:t xml:space="preserve">Grantees (category and number)</w:t>
            </w:r>
          </w:p>
        </w:tc>
        <w:tc>
          <w:tcPr>
            <w:tcW w:w="2500" w:type="dxa"/>
            <w:vAlign w:val="center"/>
          </w:tcPr>
          <w:p>
            <w:pPr>
              <w:spacing w:before="0" w:after="0"/>
              <w:jc w:val="right"/>
            </w:pPr>
            <w:r>
              <w:rPr>
                <w:sz w:val="18"/>
                <w:szCs w:val="18"/>
              </w:rPr>
              <w:t xml:space="preserve">9,508</w:t>
            </w:r>
          </w:p>
        </w:tc>
        <w:tc>
          <w:tcPr>
            <w:tcW w:w="2500" w:type="dxa"/>
            <w:vAlign w:val="center"/>
          </w:tcPr>
          <w:p>
            <w:pPr>
              <w:spacing w:before="0" w:after="0"/>
              <w:jc w:val="right"/>
            </w:pPr>
            <w:r>
              <w:rPr>
                <w:sz w:val="18"/>
                <w:szCs w:val="18"/>
              </w:rPr>
              <w:t xml:space="preserve">6,337</w:t>
            </w:r>
          </w:p>
        </w:tc>
      </w:tr>
      <w:tr>
        <w:tc>
          <w:tcPr>
            <w:tcW w:w="4072" w:type="dxa"/>
            <w:vAlign w:val="center"/>
          </w:tcPr>
          <w:p>
            <w:pPr>
              <w:spacing w:before="0" w:after="0"/>
              <w:jc w:val="left"/>
            </w:pPr>
            <w:r>
              <w:rPr>
                <w:sz w:val="18"/>
                <w:szCs w:val="18"/>
              </w:rPr>
              <w:t xml:space="preserve">Number of options</w:t>
            </w:r>
          </w:p>
        </w:tc>
        <w:tc>
          <w:tcPr>
            <w:tcW w:w="2500" w:type="dxa"/>
            <w:vAlign w:val="center"/>
          </w:tcPr>
          <w:p>
            <w:pPr>
              <w:spacing w:before="0" w:after="0"/>
              <w:jc w:val="right"/>
            </w:pPr>
            <w:r>
              <w:rPr>
                <w:sz w:val="18"/>
                <w:szCs w:val="18"/>
              </w:rPr>
              <w:t xml:space="preserve">5,957</w:t>
            </w:r>
          </w:p>
        </w:tc>
        <w:tc>
          <w:tcPr>
            <w:tcW w:w="2500" w:type="dxa"/>
            <w:vAlign w:val="center"/>
          </w:tcPr>
          <w:p>
            <w:pPr>
              <w:spacing w:before="0" w:after="0"/>
              <w:jc w:val="right"/>
            </w:pPr>
            <w:r>
              <w:rPr>
                <w:sz w:val="18"/>
                <w:szCs w:val="18"/>
              </w:rPr>
              <w:t xml:space="preserve">7,735</w:t>
            </w:r>
          </w:p>
        </w:tc>
      </w:tr>
      <w:tr>
        <w:tc>
          <w:tcPr>
            <w:tcW w:w="4072" w:type="dxa"/>
            <w:vAlign w:val="center"/>
          </w:tcPr>
          <w:p>
            <w:pPr>
              <w:spacing w:before="0" w:after="0"/>
              <w:jc w:val="left"/>
            </w:pPr>
            <w:r>
              <w:rPr>
                <w:sz w:val="18"/>
                <w:szCs w:val="18"/>
              </w:rPr>
              <w:t xml:space="preserve">Class and number of shares issuable on exercise</w:t>
            </w:r>
          </w:p>
        </w:tc>
        <w:tc>
          <w:tcPr>
            <w:tcW w:w="2500" w:type="dxa"/>
            <w:vAlign w:val="center"/>
          </w:tcPr>
          <w:p>
            <w:pPr>
              <w:spacing w:before="0" w:after="0"/>
              <w:jc w:val="right"/>
            </w:pPr>
            <w:r>
              <w:rPr>
                <w:sz w:val="18"/>
                <w:szCs w:val="18"/>
              </w:rPr>
              <w:t xml:space="preserve">8,486</w:t>
            </w:r>
          </w:p>
        </w:tc>
        <w:tc>
          <w:tcPr>
            <w:tcW w:w="2500" w:type="dxa"/>
            <w:vAlign w:val="center"/>
          </w:tcPr>
          <w:p>
            <w:pPr>
              <w:spacing w:before="0" w:after="0"/>
              <w:jc w:val="right"/>
            </w:pPr>
            <w:r>
              <w:rPr>
                <w:sz w:val="18"/>
                <w:szCs w:val="18"/>
              </w:rPr>
              <w:t xml:space="preserve">3,723</w:t>
            </w:r>
          </w:p>
        </w:tc>
      </w:tr>
      <w:tr>
        <w:tc>
          <w:tcPr>
            <w:tcW w:w="4072" w:type="dxa"/>
            <w:vAlign w:val="center"/>
          </w:tcPr>
          <w:p>
            <w:pPr>
              <w:spacing w:before="0" w:after="0"/>
              <w:jc w:val="left"/>
            </w:pPr>
            <w:r>
              <w:rPr>
                <w:sz w:val="18"/>
                <w:szCs w:val="18"/>
              </w:rPr>
              <w:t xml:space="preserve">Exercise price per share (USD)</w:t>
            </w:r>
          </w:p>
        </w:tc>
        <w:tc>
          <w:tcPr>
            <w:tcW w:w="2500" w:type="dxa"/>
            <w:vAlign w:val="center"/>
          </w:tcPr>
          <w:p>
            <w:pPr>
              <w:spacing w:before="0" w:after="0"/>
              <w:jc w:val="right"/>
            </w:pPr>
            <w:r>
              <w:rPr>
                <w:sz w:val="18"/>
                <w:szCs w:val="18"/>
              </w:rPr>
              <w:t xml:space="preserve">6,883</w:t>
            </w:r>
          </w:p>
        </w:tc>
        <w:tc>
          <w:tcPr>
            <w:tcW w:w="2500" w:type="dxa"/>
            <w:vAlign w:val="center"/>
          </w:tcPr>
          <w:p>
            <w:pPr>
              <w:spacing w:before="0" w:after="0"/>
              <w:jc w:val="right"/>
            </w:pPr>
            <w:r>
              <w:rPr>
                <w:sz w:val="18"/>
                <w:szCs w:val="18"/>
              </w:rPr>
              <w:t xml:space="preserve">4,376</w:t>
            </w:r>
          </w:p>
        </w:tc>
      </w:tr>
      <w:tr>
        <w:tc>
          <w:tcPr>
            <w:tcW w:w="4072" w:type="dxa"/>
            <w:vAlign w:val="center"/>
          </w:tcPr>
          <w:p>
            <w:pPr>
              <w:spacing w:before="0" w:after="0"/>
              <w:jc w:val="left"/>
            </w:pPr>
            <w:r>
              <w:rPr>
                <w:sz w:val="18"/>
                <w:szCs w:val="18"/>
              </w:rPr>
              <w:t xml:space="preserve">Exercise period</w:t>
            </w:r>
          </w:p>
        </w:tc>
        <w:tc>
          <w:tcPr>
            <w:tcW w:w="2500" w:type="dxa"/>
            <w:vAlign w:val="center"/>
          </w:tcPr>
          <w:p>
            <w:pPr>
              <w:spacing w:before="0" w:after="0"/>
              <w:jc w:val="right"/>
            </w:pPr>
            <w:r>
              <w:rPr>
                <w:sz w:val="18"/>
                <w:szCs w:val="18"/>
              </w:rPr>
              <w:t xml:space="preserve">7,723</w:t>
            </w:r>
          </w:p>
        </w:tc>
        <w:tc>
          <w:tcPr>
            <w:tcW w:w="2500" w:type="dxa"/>
            <w:vAlign w:val="center"/>
          </w:tcPr>
          <w:p>
            <w:pPr>
              <w:spacing w:before="0" w:after="0"/>
              <w:jc w:val="right"/>
            </w:pPr>
            <w:r>
              <w:rPr>
                <w:sz w:val="18"/>
                <w:szCs w:val="18"/>
              </w:rPr>
              <w:t xml:space="preserve">7,185</w:t>
            </w:r>
          </w:p>
        </w:tc>
      </w:tr>
      <w:tr>
        <w:tc>
          <w:tcPr>
            <w:tcW w:w="4072" w:type="dxa"/>
            <w:vAlign w:val="center"/>
          </w:tcPr>
          <w:p>
            <w:pPr>
              <w:spacing w:before="0" w:after="0"/>
              <w:jc w:val="left"/>
            </w:pPr>
            <w:r>
              <w:rPr>
                <w:sz w:val="18"/>
                <w:szCs w:val="18"/>
              </w:rPr>
              <w:t xml:space="preserve">Issue price and amount credited to capital on exercise (USD)</w:t>
            </w:r>
          </w:p>
        </w:tc>
        <w:tc>
          <w:tcPr>
            <w:tcW w:w="2500" w:type="dxa"/>
            <w:vAlign w:val="center"/>
          </w:tcPr>
          <w:p>
            <w:pPr>
              <w:spacing w:before="0" w:after="0"/>
              <w:jc w:val="right"/>
            </w:pPr>
            <w:r>
              <w:rPr>
                <w:sz w:val="18"/>
                <w:szCs w:val="18"/>
              </w:rPr>
              <w:t xml:space="preserve">4,322</w:t>
            </w:r>
          </w:p>
        </w:tc>
        <w:tc>
          <w:tcPr>
            <w:tcW w:w="2500" w:type="dxa"/>
            <w:vAlign w:val="center"/>
          </w:tcPr>
          <w:p>
            <w:pPr>
              <w:spacing w:before="0" w:after="0"/>
              <w:jc w:val="right"/>
            </w:pPr>
            <w:r>
              <w:rPr>
                <w:sz w:val="18"/>
                <w:szCs w:val="18"/>
              </w:rPr>
              <w:t xml:space="preserve">4,018</w:t>
            </w:r>
          </w:p>
        </w:tc>
      </w:tr>
      <w:tr>
        <w:tc>
          <w:tcPr>
            <w:tcW w:w="4072" w:type="dxa"/>
            <w:vAlign w:val="center"/>
          </w:tcPr>
          <w:p>
            <w:pPr>
              <w:spacing w:before="0" w:after="0"/>
              <w:jc w:val="left"/>
            </w:pPr>
            <w:r>
              <w:rPr>
                <w:sz w:val="18"/>
                <w:szCs w:val="18"/>
              </w:rPr>
              <w:t xml:space="preserve">Conditions of exercise</w:t>
            </w:r>
          </w:p>
        </w:tc>
        <w:tc>
          <w:tcPr>
            <w:tcW w:w="2500" w:type="dxa"/>
            <w:vAlign w:val="center"/>
          </w:tcPr>
          <w:p>
            <w:pPr>
              <w:spacing w:before="0" w:after="0"/>
              <w:jc w:val="right"/>
            </w:pPr>
            <w:r>
              <w:rPr>
                <w:sz w:val="18"/>
                <w:szCs w:val="18"/>
              </w:rPr>
              <w:t xml:space="preserve">9,863</w:t>
            </w:r>
          </w:p>
        </w:tc>
        <w:tc>
          <w:tcPr>
            <w:tcW w:w="2500" w:type="dxa"/>
            <w:vAlign w:val="center"/>
          </w:tcPr>
          <w:p>
            <w:pPr>
              <w:spacing w:before="0" w:after="0"/>
              <w:jc w:val="right"/>
            </w:pPr>
            <w:r>
              <w:rPr>
                <w:sz w:val="18"/>
                <w:szCs w:val="18"/>
              </w:rPr>
              <w:t xml:space="preserve">3,254</w:t>
            </w:r>
          </w:p>
        </w:tc>
      </w:tr>
      <w:tr>
        <w:tc>
          <w:tcPr>
            <w:tcW w:w="4072" w:type="dxa"/>
            <w:vAlign w:val="center"/>
          </w:tcPr>
          <w:p>
            <w:pPr>
              <w:spacing w:before="0" w:after="0"/>
              <w:jc w:val="left"/>
            </w:pPr>
            <w:r>
              <w:rPr>
                <w:sz w:val="18"/>
                <w:szCs w:val="18"/>
              </w:rPr>
              <w:t xml:space="preserve">Transfer of options</w:t>
            </w:r>
          </w:p>
        </w:tc>
        <w:tc>
          <w:tcPr>
            <w:tcW w:w="2500" w:type="dxa"/>
            <w:vAlign w:val="center"/>
          </w:tcPr>
          <w:p>
            <w:pPr>
              <w:spacing w:before="0" w:after="0"/>
              <w:jc w:val="right"/>
            </w:pPr>
            <w:r>
              <w:rPr>
                <w:sz w:val="18"/>
                <w:szCs w:val="18"/>
              </w:rPr>
              <w:t xml:space="preserve">6,083</w:t>
            </w:r>
          </w:p>
        </w:tc>
        <w:tc>
          <w:tcPr>
            <w:tcW w:w="2500" w:type="dxa"/>
            <w:vAlign w:val="center"/>
          </w:tcPr>
          <w:p>
            <w:pPr>
              <w:spacing w:before="0" w:after="0"/>
              <w:jc w:val="right"/>
            </w:pPr>
            <w:r>
              <w:rPr>
                <w:sz w:val="18"/>
                <w:szCs w:val="18"/>
              </w:rPr>
              <w:t xml:space="preserve">352</w:t>
            </w:r>
          </w:p>
        </w:tc>
      </w:tr>
      <w:tr>
        <w:tc>
          <w:tcPr>
            <w:tcW w:w="4072" w:type="dxa"/>
            <w:vAlign w:val="center"/>
          </w:tcPr>
          <w:p>
            <w:pPr>
              <w:spacing w:before="0" w:after="0"/>
              <w:jc w:val="left"/>
            </w:pPr>
            <w:r>
              <w:rPr>
                <w:sz w:val="18"/>
                <w:szCs w:val="18"/>
              </w:rPr>
              <w:t xml:space="preserve">Treatment of options on a merger or reorganization</w:t>
            </w:r>
          </w:p>
        </w:tc>
        <w:tc>
          <w:tcPr>
            <w:tcW w:w="2500" w:type="dxa"/>
            <w:vAlign w:val="center"/>
          </w:tcPr>
          <w:p>
            <w:pPr>
              <w:spacing w:before="0" w:after="0"/>
              <w:jc w:val="right"/>
            </w:pPr>
            <w:r>
              <w:rPr>
                <w:sz w:val="18"/>
                <w:szCs w:val="18"/>
              </w:rPr>
              <w:t xml:space="preserve">7,634</w:t>
            </w:r>
          </w:p>
        </w:tc>
        <w:tc>
          <w:tcPr>
            <w:tcW w:w="2500" w:type="dxa"/>
            <w:vAlign w:val="center"/>
          </w:tcPr>
          <w:p>
            <w:pPr>
              <w:spacing w:before="0" w:after="0"/>
              <w:jc w:val="right"/>
            </w:pPr>
            <w:r>
              <w:rPr>
                <w:sz w:val="18"/>
                <w:szCs w:val="18"/>
              </w:rPr>
              <w:t xml:space="preserve">9,461</w:t>
            </w:r>
          </w:p>
        </w:tc>
      </w:tr>
    </w:tbl>
    <w:p>
      <w:pPr/>
    </w:p>
    <w:p>
      <w:pPr/>
      <w:r>
        <w:t xml:space="preserve">Note: The price of green coffee is volatile, and a sustained increase could reduce gross margin if the Group is unable to pass the cost on to customers through menu prices. These forward-looking statements are based on information available as of the date of this statement, and actual results may differ materially because of many factors.</w:t>
      </w:r>
    </w:p>
    <w:p>
      <w:r>
        <w:br w:type="page"/>
      </w:r>
    </w:p>
    <w:p>
      <w:pPr>
        <w:pStyle w:val="Heading2"/>
        <w:keepNext/>
      </w:pPr>
      <w:r>
        <w:t xml:space="preserve">Item 5. Financial Information</w:t>
      </w:r>
    </w:p>
    <w:p>
      <w:pPr>
        <w:pStyle w:val="Heading3"/>
        <w:keepNext/>
      </w:pPr>
      <w:r>
        <w:t xml:space="preserve">1. Financial Statements (Fiscal year 2024, consolidated)</w:t>
      </w:r>
    </w:p>
    <w:p>
      <w:pPr>
        <w:ind w:left="0" w:firstLine="360"/>
      </w:pPr>
      <w:r>
        <w:t xml:space="preserve">Energy use per store decreased 2.0% compared with the prior year, as older espresso machines and refrigerators were replaced with more efficient models. Net cash used in financing activities was $24,640 thousand, reflecting repayments of the term loan and dividends paid. Merchandise sales, consisting of mugs, brewing equipment and seasonal gift sets, are highest in the fourth quarter of each year. Inventories consist of green coffee, roasted coffee, packaging, food and merchandise, and are stated at the lower of cost and net realizable value. Green coffee is purchased from exporters and cooperatives in Central America, South America and East Africa under fixed-price contracts that generally cover the next nine to twelve months of expected needs. The Company depends on a small number of dairy and bakery suppliers in each region, and an interruption in their deliveries could affect sales at the stores they serve.</w:t>
      </w:r>
    </w:p>
    <w:p>
      <w:pPr>
        <w:ind w:left="0" w:firstLine="360"/>
      </w:pPr>
      <w:r>
        <w:t xml:space="preserve">The price of green coffee is volatile, and a sustained increase could reduce gross margin if the Company is unable to pass the cost on to customers through menu prices. Revenue from stores in the Northfield region was $48,779 thousand, or 23.1% of total revenue. The Company buys 7.6% of its green coffee by volume from farms certified under recognized sustainability standards. At the end of the fiscal year, Nimbus Coffee operated 180 company-operated stores in eight regions: Northfield, Eastbay, Southport, Westridge, Lakeside, Hillcrest, Riverside and Harborview. Total assets at the end of the fiscal year were $165,485 thousand, an increase of $2,905 thousand from the end of the prior fiscal year.</w:t>
      </w:r>
    </w:p>
    <w:p>
      <w:r>
        <w:br w:type="page"/>
      </w:r>
    </w:p>
    <w:p>
      <w:pPr>
        <w:pStyle w:val="Heading3"/>
        <w:keepNext/>
      </w:pPr>
      <w:r>
        <w:t xml:space="preserve">Balance Sheets (Assets)</w:t>
      </w:r>
    </w:p>
    <w:p>
      <w:pPr>
        <w:jc w:val="right"/>
      </w:pPr>
      <w:r>
        <w:rPr>
          <w:sz w:val="18"/>
          <w:szCs w:val="18"/>
        </w:rPr>
        <w:t xml:space="preserve">(In thousands of U.S. dollars)</w:t>
      </w:r>
    </w:p>
    <w:tbl>
      <w:tblPr>
        <w:tblW w:w="907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72" w:type="dxa"/>
          <w:right w:w="72" w:type="dxa"/>
        </w:tblCellMar>
      </w:tblPr>
      <w:tblGrid>
        <w:gridCol w:w="4872"/>
        <w:gridCol w:w="800"/>
        <w:gridCol w:w="1700"/>
        <w:gridCol w:w="1700"/>
      </w:tblGrid>
      <w:tr>
        <w:trPr>
          <w:tblHeader/>
        </w:trPr>
        <w:tc>
          <w:tcPr>
            <w:tcW w:w="4872" w:type="dxa"/>
            <w:shd w:val="clear" w:color="auto" w:fill="DDEBF7"/>
            <w:vAlign w:val="center"/>
          </w:tcPr>
          <w:p>
            <w:pPr>
              <w:spacing w:before="0" w:after="0"/>
              <w:jc w:val="center"/>
            </w:pPr>
            <w:r>
              <w:rPr>
                <w:b/>
                <w:sz w:val="18"/>
                <w:szCs w:val="18"/>
              </w:rPr>
              <w:t xml:space="preserve"/>
            </w:r>
          </w:p>
        </w:tc>
        <w:tc>
          <w:tcPr>
            <w:tcW w:w="800" w:type="dxa"/>
            <w:shd w:val="clear" w:color="auto" w:fill="DDEBF7"/>
            <w:vAlign w:val="center"/>
          </w:tcPr>
          <w:p>
            <w:pPr>
              <w:spacing w:before="0" w:after="0"/>
              <w:jc w:val="center"/>
            </w:pPr>
            <w:r>
              <w:rPr>
                <w:b/>
                <w:sz w:val="18"/>
                <w:szCs w:val="18"/>
              </w:rPr>
              <w:t xml:space="preserve">Note</w:t>
            </w:r>
          </w:p>
        </w:tc>
        <w:tc>
          <w:tcPr>
            <w:tcW w:w="1700" w:type="dxa"/>
            <w:shd w:val="clear" w:color="auto" w:fill="DDEBF7"/>
            <w:vAlign w:val="center"/>
          </w:tcPr>
          <w:p>
            <w:pPr>
              <w:spacing w:before="0" w:after="0"/>
              <w:jc w:val="center"/>
            </w:pPr>
            <w:r>
              <w:rPr>
                <w:b/>
                <w:sz w:val="18"/>
                <w:szCs w:val="18"/>
              </w:rPr>
              <w:t xml:space="preserve">FY2023</w:t>
            </w:r>
          </w:p>
        </w:tc>
        <w:tc>
          <w:tcPr>
            <w:tcW w:w="1700" w:type="dxa"/>
            <w:shd w:val="clear" w:color="auto" w:fill="DDEBF7"/>
            <w:vAlign w:val="center"/>
          </w:tcPr>
          <w:p>
            <w:pPr>
              <w:spacing w:before="0" w:after="0"/>
              <w:jc w:val="center"/>
            </w:pPr>
            <w:r>
              <w:rPr>
                <w:b/>
                <w:sz w:val="18"/>
                <w:szCs w:val="18"/>
              </w:rPr>
              <w:t xml:space="preserve">FY2024</w:t>
            </w:r>
          </w:p>
        </w:tc>
      </w:tr>
      <w:tr>
        <w:tc>
          <w:tcPr>
            <w:tcW w:w="4872" w:type="dxa"/>
            <w:vAlign w:val="center"/>
          </w:tcPr>
          <w:p>
            <w:pPr>
              <w:spacing w:before="0" w:after="0"/>
              <w:jc w:val="left"/>
            </w:pPr>
            <w:r>
              <w:rPr>
                <w:b/>
                <w:sz w:val="18"/>
                <w:szCs w:val="18"/>
              </w:rPr>
              <w:t xml:space="preserve">Current assets</w:t>
            </w:r>
          </w:p>
        </w:tc>
        <w:tc>
          <w:tcPr>
            <w:tcW w:w="800" w:type="dxa"/>
            <w:vAlign w:val="center"/>
          </w:tcPr>
          <w:p>
            <w:pPr>
              <w:spacing w:before="0" w:after="0"/>
              <w:jc w:val="left"/>
            </w:pPr>
            <w:r>
              <w:rPr>
                <w:b/>
                <w:sz w:val="18"/>
                <w:szCs w:val="18"/>
              </w:rPr>
              <w:t xml:space="preserve"/>
            </w:r>
          </w:p>
        </w:tc>
        <w:tc>
          <w:tcPr>
            <w:tcW w:w="1700" w:type="dxa"/>
            <w:vAlign w:val="center"/>
          </w:tcPr>
          <w:p>
            <w:pPr>
              <w:spacing w:before="0" w:after="0"/>
              <w:jc w:val="right"/>
            </w:pPr>
            <w:r>
              <w:rPr>
                <w:b/>
                <w:sz w:val="18"/>
                <w:szCs w:val="18"/>
              </w:rPr>
              <w:t xml:space="preserve"/>
            </w:r>
          </w:p>
        </w:tc>
        <w:tc>
          <w:tcPr>
            <w:tcW w:w="1700" w:type="dxa"/>
            <w:vAlign w:val="center"/>
          </w:tcPr>
          <w:p>
            <w:pPr>
              <w:spacing w:before="0" w:after="0"/>
              <w:jc w:val="right"/>
            </w:pPr>
            <w:r>
              <w:rPr>
                <w:b/>
                <w:sz w:val="18"/>
                <w:szCs w:val="18"/>
              </w:rPr>
              <w:t xml:space="preserve"/>
            </w:r>
          </w:p>
        </w:tc>
      </w:tr>
      <w:tr>
        <w:tc>
          <w:tcPr>
            <w:tcW w:w="4872" w:type="dxa"/>
            <w:vAlign w:val="center"/>
          </w:tcPr>
          <w:p>
            <w:pPr>
              <w:spacing w:before="0" w:after="0"/>
              <w:jc w:val="left"/>
            </w:pPr>
            <w:r>
              <w:rPr>
                <w:sz w:val="18"/>
                <w:szCs w:val="18"/>
              </w:rPr>
              <w:t xml:space="preserve">Cash and cash equivalents</w:t>
            </w:r>
          </w:p>
        </w:tc>
        <w:tc>
          <w:tcPr>
            <w:tcW w:w="800" w:type="dxa"/>
            <w:vAlign w:val="center"/>
          </w:tcPr>
          <w:p>
            <w:pPr>
              <w:spacing w:before="0" w:after="0"/>
              <w:jc w:val="left"/>
            </w:pPr>
            <w:r>
              <w:rPr>
                <w:sz w:val="18"/>
                <w:szCs w:val="18"/>
              </w:rPr>
              <w:t xml:space="preserve"/>
            </w:r>
          </w:p>
        </w:tc>
        <w:tc>
          <w:tcPr>
            <w:tcW w:w="1700" w:type="dxa"/>
            <w:vAlign w:val="center"/>
          </w:tcPr>
          <w:p>
            <w:pPr>
              <w:spacing w:before="0" w:after="0"/>
              <w:jc w:val="right"/>
            </w:pPr>
            <w:r>
              <w:rPr>
                <w:sz w:val="18"/>
                <w:szCs w:val="18"/>
              </w:rPr>
              <w:t xml:space="preserve">45,709</w:t>
            </w:r>
          </w:p>
        </w:tc>
        <w:tc>
          <w:tcPr>
            <w:tcW w:w="1700" w:type="dxa"/>
            <w:vAlign w:val="center"/>
          </w:tcPr>
          <w:p>
            <w:pPr>
              <w:spacing w:before="0" w:after="0"/>
              <w:jc w:val="right"/>
            </w:pPr>
            <w:r>
              <w:rPr>
                <w:sz w:val="18"/>
                <w:szCs w:val="18"/>
              </w:rPr>
              <w:t xml:space="preserve">48,964</w:t>
            </w:r>
          </w:p>
        </w:tc>
      </w:tr>
      <w:tr>
        <w:tc>
          <w:tcPr>
            <w:tcW w:w="4872" w:type="dxa"/>
            <w:vAlign w:val="center"/>
          </w:tcPr>
          <w:p>
            <w:pPr>
              <w:spacing w:before="0" w:after="0"/>
              <w:jc w:val="left"/>
            </w:pPr>
            <w:r>
              <w:rPr>
                <w:sz w:val="18"/>
                <w:szCs w:val="18"/>
              </w:rPr>
              <w:t xml:space="preserve">Short-term investments</w:t>
            </w:r>
          </w:p>
        </w:tc>
        <w:tc>
          <w:tcPr>
            <w:tcW w:w="800" w:type="dxa"/>
            <w:vAlign w:val="center"/>
          </w:tcPr>
          <w:p>
            <w:pPr>
              <w:spacing w:before="0" w:after="0"/>
              <w:jc w:val="left"/>
            </w:pPr>
            <w:r>
              <w:rPr>
                <w:sz w:val="18"/>
                <w:szCs w:val="18"/>
              </w:rPr>
              <w:t xml:space="preserve"/>
            </w:r>
          </w:p>
        </w:tc>
        <w:tc>
          <w:tcPr>
            <w:tcW w:w="1700" w:type="dxa"/>
            <w:vAlign w:val="center"/>
          </w:tcPr>
          <w:p>
            <w:pPr>
              <w:spacing w:before="0" w:after="0"/>
              <w:jc w:val="right"/>
            </w:pPr>
            <w:r>
              <w:rPr>
                <w:sz w:val="18"/>
                <w:szCs w:val="18"/>
              </w:rPr>
              <w:t xml:space="preserve">10,013</w:t>
            </w:r>
          </w:p>
        </w:tc>
        <w:tc>
          <w:tcPr>
            <w:tcW w:w="1700" w:type="dxa"/>
            <w:vAlign w:val="center"/>
          </w:tcPr>
          <w:p>
            <w:pPr>
              <w:spacing w:before="0" w:after="0"/>
              <w:jc w:val="right"/>
            </w:pPr>
            <w:r>
              <w:rPr>
                <w:sz w:val="18"/>
                <w:szCs w:val="18"/>
              </w:rPr>
              <w:t xml:space="preserve">11,794</w:t>
            </w:r>
          </w:p>
        </w:tc>
      </w:tr>
      <w:tr>
        <w:tc>
          <w:tcPr>
            <w:tcW w:w="4872" w:type="dxa"/>
            <w:vAlign w:val="center"/>
          </w:tcPr>
          <w:p>
            <w:pPr>
              <w:spacing w:before="0" w:after="0"/>
              <w:jc w:val="left"/>
            </w:pPr>
            <w:r>
              <w:rPr>
                <w:sz w:val="18"/>
                <w:szCs w:val="18"/>
              </w:rPr>
              <w:t xml:space="preserve">Accounts receivable, net</w:t>
            </w:r>
          </w:p>
        </w:tc>
        <w:tc>
          <w:tcPr>
            <w:tcW w:w="800" w:type="dxa"/>
            <w:vAlign w:val="center"/>
          </w:tcPr>
          <w:p>
            <w:pPr>
              <w:spacing w:before="0" w:after="0"/>
              <w:jc w:val="left"/>
            </w:pPr>
            <w:r>
              <w:rPr>
                <w:sz w:val="18"/>
                <w:szCs w:val="18"/>
              </w:rPr>
              <w:t xml:space="preserve"/>
            </w:r>
          </w:p>
        </w:tc>
        <w:tc>
          <w:tcPr>
            <w:tcW w:w="1700" w:type="dxa"/>
            <w:vAlign w:val="center"/>
          </w:tcPr>
          <w:p>
            <w:pPr>
              <w:spacing w:before="0" w:after="0"/>
              <w:jc w:val="right"/>
            </w:pPr>
            <w:r>
              <w:rPr>
                <w:sz w:val="18"/>
                <w:szCs w:val="18"/>
              </w:rPr>
              <w:t xml:space="preserve">7,847</w:t>
            </w:r>
          </w:p>
        </w:tc>
        <w:tc>
          <w:tcPr>
            <w:tcW w:w="1700" w:type="dxa"/>
            <w:vAlign w:val="center"/>
          </w:tcPr>
          <w:p>
            <w:pPr>
              <w:spacing w:before="0" w:after="0"/>
              <w:jc w:val="right"/>
            </w:pPr>
            <w:r>
              <w:rPr>
                <w:sz w:val="18"/>
                <w:szCs w:val="18"/>
              </w:rPr>
              <w:t xml:space="preserve">8,765</w:t>
            </w:r>
          </w:p>
        </w:tc>
      </w:tr>
      <w:tr>
        <w:tc>
          <w:tcPr>
            <w:tcW w:w="4872" w:type="dxa"/>
            <w:vAlign w:val="center"/>
          </w:tcPr>
          <w:p>
            <w:pPr>
              <w:spacing w:before="0" w:after="0"/>
              <w:jc w:val="left"/>
            </w:pPr>
            <w:r>
              <w:rPr>
                <w:sz w:val="18"/>
                <w:szCs w:val="18"/>
              </w:rPr>
              <w:t xml:space="preserve">Inventories</w:t>
            </w:r>
          </w:p>
        </w:tc>
        <w:tc>
          <w:tcPr>
            <w:tcW w:w="800" w:type="dxa"/>
            <w:vAlign w:val="center"/>
          </w:tcPr>
          <w:p>
            <w:pPr>
              <w:spacing w:before="0" w:after="0"/>
              <w:jc w:val="left"/>
            </w:pPr>
            <w:r>
              <w:rPr>
                <w:sz w:val="18"/>
                <w:szCs w:val="18"/>
              </w:rPr>
              <w:t xml:space="preserve"/>
            </w:r>
          </w:p>
        </w:tc>
        <w:tc>
          <w:tcPr>
            <w:tcW w:w="1700" w:type="dxa"/>
            <w:vAlign w:val="center"/>
          </w:tcPr>
          <w:p>
            <w:pPr>
              <w:spacing w:before="0" w:after="0"/>
              <w:jc w:val="right"/>
            </w:pPr>
            <w:r>
              <w:rPr>
                <w:sz w:val="18"/>
                <w:szCs w:val="18"/>
              </w:rPr>
              <w:t xml:space="preserve">19,141</w:t>
            </w:r>
          </w:p>
        </w:tc>
        <w:tc>
          <w:tcPr>
            <w:tcW w:w="1700" w:type="dxa"/>
            <w:vAlign w:val="center"/>
          </w:tcPr>
          <w:p>
            <w:pPr>
              <w:spacing w:before="0" w:after="0"/>
              <w:jc w:val="right"/>
            </w:pPr>
            <w:r>
              <w:rPr>
                <w:sz w:val="18"/>
                <w:szCs w:val="18"/>
              </w:rPr>
              <w:t xml:space="preserve">21,382</w:t>
            </w:r>
          </w:p>
        </w:tc>
      </w:tr>
      <w:tr>
        <w:tc>
          <w:tcPr>
            <w:tcW w:w="4872" w:type="dxa"/>
            <w:vAlign w:val="center"/>
          </w:tcPr>
          <w:p>
            <w:pPr>
              <w:spacing w:before="0" w:after="0"/>
              <w:jc w:val="left"/>
            </w:pPr>
            <w:r>
              <w:rPr>
                <w:sz w:val="18"/>
                <w:szCs w:val="18"/>
              </w:rPr>
              <w:t xml:space="preserve">Prepaid expenses and other current assets</w:t>
            </w:r>
          </w:p>
        </w:tc>
        <w:tc>
          <w:tcPr>
            <w:tcW w:w="800" w:type="dxa"/>
            <w:vAlign w:val="center"/>
          </w:tcPr>
          <w:p>
            <w:pPr>
              <w:spacing w:before="0" w:after="0"/>
              <w:jc w:val="left"/>
            </w:pPr>
            <w:r>
              <w:rPr>
                <w:sz w:val="18"/>
                <w:szCs w:val="18"/>
              </w:rPr>
              <w:t xml:space="preserve"/>
            </w:r>
          </w:p>
        </w:tc>
        <w:tc>
          <w:tcPr>
            <w:tcW w:w="1700" w:type="dxa"/>
            <w:vAlign w:val="center"/>
          </w:tcPr>
          <w:p>
            <w:pPr>
              <w:spacing w:before="0" w:after="0"/>
              <w:jc w:val="right"/>
            </w:pPr>
            <w:r>
              <w:rPr>
                <w:sz w:val="18"/>
                <w:szCs w:val="18"/>
              </w:rPr>
              <w:t xml:space="preserve">6,151</w:t>
            </w:r>
          </w:p>
        </w:tc>
        <w:tc>
          <w:tcPr>
            <w:tcW w:w="1700" w:type="dxa"/>
            <w:vAlign w:val="center"/>
          </w:tcPr>
          <w:p>
            <w:pPr>
              <w:spacing w:before="0" w:after="0"/>
              <w:jc w:val="right"/>
            </w:pPr>
            <w:r>
              <w:rPr>
                <w:sz w:val="18"/>
                <w:szCs w:val="18"/>
              </w:rPr>
              <w:t xml:space="preserve">7,121</w:t>
            </w:r>
          </w:p>
        </w:tc>
      </w:tr>
      <w:tr>
        <w:tc>
          <w:tcPr>
            <w:tcW w:w="4872" w:type="dxa"/>
            <w:vAlign w:val="center"/>
          </w:tcPr>
          <w:p>
            <w:pPr>
              <w:spacing w:before="0" w:after="0"/>
              <w:jc w:val="left"/>
            </w:pPr>
            <w:r>
              <w:rPr>
                <w:b/>
                <w:sz w:val="18"/>
                <w:szCs w:val="18"/>
              </w:rPr>
              <w:t xml:space="preserve">Total current assets</w:t>
            </w:r>
          </w:p>
        </w:tc>
        <w:tc>
          <w:tcPr>
            <w:tcW w:w="800" w:type="dxa"/>
            <w:vAlign w:val="center"/>
          </w:tcPr>
          <w:p>
            <w:pPr>
              <w:spacing w:before="0" w:after="0"/>
              <w:jc w:val="left"/>
            </w:pPr>
            <w:r>
              <w:rPr>
                <w:b/>
                <w:sz w:val="18"/>
                <w:szCs w:val="18"/>
              </w:rPr>
              <w:t xml:space="preserve"/>
            </w:r>
          </w:p>
        </w:tc>
        <w:tc>
          <w:tcPr>
            <w:tcW w:w="1700" w:type="dxa"/>
            <w:vAlign w:val="center"/>
          </w:tcPr>
          <w:p>
            <w:pPr>
              <w:spacing w:before="0" w:after="0"/>
              <w:jc w:val="right"/>
            </w:pPr>
            <w:r>
              <w:rPr>
                <w:b/>
                <w:sz w:val="18"/>
                <w:szCs w:val="18"/>
              </w:rPr>
              <w:t xml:space="preserve">88,861</w:t>
            </w:r>
          </w:p>
        </w:tc>
        <w:tc>
          <w:tcPr>
            <w:tcW w:w="1700" w:type="dxa"/>
            <w:vAlign w:val="center"/>
          </w:tcPr>
          <w:p>
            <w:pPr>
              <w:spacing w:before="0" w:after="0"/>
              <w:jc w:val="right"/>
            </w:pPr>
            <w:r>
              <w:rPr>
                <w:b/>
                <w:sz w:val="18"/>
                <w:szCs w:val="18"/>
              </w:rPr>
              <w:t xml:space="preserve">98,026</w:t>
            </w:r>
          </w:p>
        </w:tc>
      </w:tr>
      <w:tr>
        <w:tc>
          <w:tcPr>
            <w:tcW w:w="4872" w:type="dxa"/>
            <w:vAlign w:val="center"/>
          </w:tcPr>
          <w:p>
            <w:pPr>
              <w:spacing w:before="0" w:after="0"/>
              <w:jc w:val="left"/>
            </w:pPr>
            <w:r>
              <w:rPr>
                <w:b/>
                <w:sz w:val="18"/>
                <w:szCs w:val="18"/>
              </w:rPr>
              <w:t xml:space="preserve">Non-current assets</w:t>
            </w:r>
          </w:p>
        </w:tc>
        <w:tc>
          <w:tcPr>
            <w:tcW w:w="800" w:type="dxa"/>
            <w:vAlign w:val="center"/>
          </w:tcPr>
          <w:p>
            <w:pPr>
              <w:spacing w:before="0" w:after="0"/>
              <w:jc w:val="left"/>
            </w:pPr>
            <w:r>
              <w:rPr>
                <w:b/>
                <w:sz w:val="18"/>
                <w:szCs w:val="18"/>
              </w:rPr>
              <w:t xml:space="preserve"/>
            </w:r>
          </w:p>
        </w:tc>
        <w:tc>
          <w:tcPr>
            <w:tcW w:w="1700" w:type="dxa"/>
            <w:vAlign w:val="center"/>
          </w:tcPr>
          <w:p>
            <w:pPr>
              <w:spacing w:before="0" w:after="0"/>
              <w:jc w:val="right"/>
            </w:pPr>
            <w:r>
              <w:rPr>
                <w:b/>
                <w:sz w:val="18"/>
                <w:szCs w:val="18"/>
              </w:rPr>
              <w:t xml:space="preserve"/>
            </w:r>
          </w:p>
        </w:tc>
        <w:tc>
          <w:tcPr>
            <w:tcW w:w="1700" w:type="dxa"/>
            <w:vAlign w:val="center"/>
          </w:tcPr>
          <w:p>
            <w:pPr>
              <w:spacing w:before="0" w:after="0"/>
              <w:jc w:val="right"/>
            </w:pPr>
            <w:r>
              <w:rPr>
                <w:b/>
                <w:sz w:val="18"/>
                <w:szCs w:val="18"/>
              </w:rPr>
              <w:t xml:space="preserve"/>
            </w:r>
          </w:p>
        </w:tc>
      </w:tr>
      <w:tr>
        <w:tc>
          <w:tcPr>
            <w:tcW w:w="4872" w:type="dxa"/>
            <w:vAlign w:val="center"/>
          </w:tcPr>
          <w:p>
            <w:pPr>
              <w:spacing w:before="0" w:after="0"/>
              <w:jc w:val="left"/>
            </w:pPr>
            <w:r>
              <w:rPr>
                <w:sz w:val="18"/>
                <w:szCs w:val="18"/>
              </w:rPr>
              <w:t xml:space="preserve">Property and equipment, net</w:t>
            </w:r>
          </w:p>
        </w:tc>
        <w:tc>
          <w:tcPr>
            <w:tcW w:w="800" w:type="dxa"/>
            <w:vAlign w:val="center"/>
          </w:tcPr>
          <w:p>
            <w:pPr>
              <w:spacing w:before="0" w:after="0"/>
              <w:jc w:val="left"/>
            </w:pPr>
            <w:r>
              <w:rPr>
                <w:sz w:val="18"/>
                <w:szCs w:val="18"/>
              </w:rPr>
              <w:t xml:space="preserve">18</w:t>
            </w:r>
          </w:p>
        </w:tc>
        <w:tc>
          <w:tcPr>
            <w:tcW w:w="1700" w:type="dxa"/>
            <w:vAlign w:val="center"/>
          </w:tcPr>
          <w:p>
            <w:pPr>
              <w:spacing w:before="0" w:after="0"/>
              <w:jc w:val="right"/>
            </w:pPr>
            <w:r>
              <w:rPr>
                <w:sz w:val="18"/>
                <w:szCs w:val="18"/>
              </w:rPr>
              <w:t xml:space="preserve">113,481</w:t>
            </w:r>
          </w:p>
        </w:tc>
        <w:tc>
          <w:tcPr>
            <w:tcW w:w="1700" w:type="dxa"/>
            <w:vAlign w:val="center"/>
          </w:tcPr>
          <w:p>
            <w:pPr>
              <w:spacing w:before="0" w:after="0"/>
              <w:jc w:val="right"/>
            </w:pPr>
            <w:r>
              <w:rPr>
                <w:sz w:val="18"/>
                <w:szCs w:val="18"/>
              </w:rPr>
              <w:t xml:space="preserve">117,581</w:t>
            </w:r>
          </w:p>
        </w:tc>
      </w:tr>
      <w:tr>
        <w:tc>
          <w:tcPr>
            <w:tcW w:w="4872" w:type="dxa"/>
            <w:vAlign w:val="center"/>
          </w:tcPr>
          <w:p>
            <w:pPr>
              <w:spacing w:before="0" w:after="0"/>
              <w:jc w:val="left"/>
            </w:pPr>
            <w:r>
              <w:rPr>
                <w:sz w:val="18"/>
                <w:szCs w:val="18"/>
              </w:rPr>
              <w:t xml:space="preserve">Operating lease right-of-use assets</w:t>
            </w:r>
          </w:p>
        </w:tc>
        <w:tc>
          <w:tcPr>
            <w:tcW w:w="800" w:type="dxa"/>
            <w:vAlign w:val="center"/>
          </w:tcPr>
          <w:p>
            <w:pPr>
              <w:spacing w:before="0" w:after="0"/>
              <w:jc w:val="left"/>
            </w:pPr>
            <w:r>
              <w:rPr>
                <w:sz w:val="18"/>
                <w:szCs w:val="18"/>
              </w:rPr>
              <w:t xml:space="preserve"/>
            </w:r>
          </w:p>
        </w:tc>
        <w:tc>
          <w:tcPr>
            <w:tcW w:w="1700" w:type="dxa"/>
            <w:vAlign w:val="center"/>
          </w:tcPr>
          <w:p>
            <w:pPr>
              <w:spacing w:before="0" w:after="0"/>
              <w:jc w:val="right"/>
            </w:pPr>
            <w:r>
              <w:rPr>
                <w:sz w:val="18"/>
                <w:szCs w:val="18"/>
              </w:rPr>
              <w:t xml:space="preserve">107,753</w:t>
            </w:r>
          </w:p>
        </w:tc>
        <w:tc>
          <w:tcPr>
            <w:tcW w:w="1700" w:type="dxa"/>
            <w:vAlign w:val="center"/>
          </w:tcPr>
          <w:p>
            <w:pPr>
              <w:spacing w:before="0" w:after="0"/>
              <w:jc w:val="right"/>
            </w:pPr>
            <w:r>
              <w:rPr>
                <w:sz w:val="18"/>
                <w:szCs w:val="18"/>
              </w:rPr>
              <w:t xml:space="preserve">119,436</w:t>
            </w:r>
          </w:p>
        </w:tc>
      </w:tr>
      <w:tr>
        <w:tc>
          <w:tcPr>
            <w:tcW w:w="4872" w:type="dxa"/>
            <w:vAlign w:val="center"/>
          </w:tcPr>
          <w:p>
            <w:pPr>
              <w:spacing w:before="0" w:after="0"/>
              <w:jc w:val="left"/>
            </w:pPr>
            <w:r>
              <w:rPr>
                <w:sz w:val="18"/>
                <w:szCs w:val="18"/>
              </w:rPr>
              <w:t xml:space="preserve">Deferred income taxes</w:t>
            </w:r>
          </w:p>
        </w:tc>
        <w:tc>
          <w:tcPr>
            <w:tcW w:w="800" w:type="dxa"/>
            <w:vAlign w:val="center"/>
          </w:tcPr>
          <w:p>
            <w:pPr>
              <w:spacing w:before="0" w:after="0"/>
              <w:jc w:val="left"/>
            </w:pPr>
            <w:r>
              <w:rPr>
                <w:sz w:val="18"/>
                <w:szCs w:val="18"/>
              </w:rPr>
              <w:t xml:space="preserve"/>
            </w:r>
          </w:p>
        </w:tc>
        <w:tc>
          <w:tcPr>
            <w:tcW w:w="1700" w:type="dxa"/>
            <w:vAlign w:val="center"/>
          </w:tcPr>
          <w:p>
            <w:pPr>
              <w:spacing w:before="0" w:after="0"/>
              <w:jc w:val="right"/>
            </w:pPr>
            <w:r>
              <w:rPr>
                <w:sz w:val="18"/>
                <w:szCs w:val="18"/>
              </w:rPr>
              <w:t xml:space="preserve">4,861</w:t>
            </w:r>
          </w:p>
        </w:tc>
        <w:tc>
          <w:tcPr>
            <w:tcW w:w="1700" w:type="dxa"/>
            <w:vAlign w:val="center"/>
          </w:tcPr>
          <w:p>
            <w:pPr>
              <w:spacing w:before="0" w:after="0"/>
              <w:jc w:val="right"/>
            </w:pPr>
            <w:r>
              <w:rPr>
                <w:sz w:val="18"/>
                <w:szCs w:val="18"/>
              </w:rPr>
              <w:t xml:space="preserve">5,754</w:t>
            </w:r>
          </w:p>
        </w:tc>
      </w:tr>
      <w:tr>
        <w:tc>
          <w:tcPr>
            <w:tcW w:w="4872" w:type="dxa"/>
            <w:vAlign w:val="center"/>
          </w:tcPr>
          <w:p>
            <w:pPr>
              <w:spacing w:before="0" w:after="0"/>
              <w:jc w:val="left"/>
            </w:pPr>
            <w:r>
              <w:rPr>
                <w:sz w:val="18"/>
                <w:szCs w:val="18"/>
              </w:rPr>
              <w:t xml:space="preserve">Goodwill</w:t>
            </w:r>
          </w:p>
        </w:tc>
        <w:tc>
          <w:tcPr>
            <w:tcW w:w="800" w:type="dxa"/>
            <w:vAlign w:val="center"/>
          </w:tcPr>
          <w:p>
            <w:pPr>
              <w:spacing w:before="0" w:after="0"/>
              <w:jc w:val="left"/>
            </w:pPr>
            <w:r>
              <w:rPr>
                <w:sz w:val="18"/>
                <w:szCs w:val="18"/>
              </w:rPr>
              <w:t xml:space="preserve"/>
            </w:r>
          </w:p>
        </w:tc>
        <w:tc>
          <w:tcPr>
            <w:tcW w:w="1700" w:type="dxa"/>
            <w:vAlign w:val="center"/>
          </w:tcPr>
          <w:p>
            <w:pPr>
              <w:spacing w:before="0" w:after="0"/>
              <w:jc w:val="right"/>
            </w:pPr>
            <w:r>
              <w:rPr>
                <w:sz w:val="18"/>
                <w:szCs w:val="18"/>
              </w:rPr>
              <w:t xml:space="preserve">6,876</w:t>
            </w:r>
          </w:p>
        </w:tc>
        <w:tc>
          <w:tcPr>
            <w:tcW w:w="1700" w:type="dxa"/>
            <w:vAlign w:val="center"/>
          </w:tcPr>
          <w:p>
            <w:pPr>
              <w:spacing w:before="0" w:after="0"/>
              <w:jc w:val="right"/>
            </w:pPr>
            <w:r>
              <w:rPr>
                <w:sz w:val="18"/>
                <w:szCs w:val="18"/>
              </w:rPr>
              <w:t xml:space="preserve">7,766</w:t>
            </w:r>
          </w:p>
        </w:tc>
      </w:tr>
      <w:tr>
        <w:tc>
          <w:tcPr>
            <w:tcW w:w="4872" w:type="dxa"/>
            <w:vAlign w:val="center"/>
          </w:tcPr>
          <w:p>
            <w:pPr>
              <w:spacing w:before="0" w:after="0"/>
              <w:jc w:val="left"/>
            </w:pPr>
            <w:r>
              <w:rPr>
                <w:sz w:val="18"/>
                <w:szCs w:val="18"/>
              </w:rPr>
              <w:t xml:space="preserve">Other intangible assets, net</w:t>
            </w:r>
          </w:p>
        </w:tc>
        <w:tc>
          <w:tcPr>
            <w:tcW w:w="800" w:type="dxa"/>
            <w:vAlign w:val="center"/>
          </w:tcPr>
          <w:p>
            <w:pPr>
              <w:spacing w:before="0" w:after="0"/>
              <w:jc w:val="left"/>
            </w:pPr>
            <w:r>
              <w:rPr>
                <w:sz w:val="18"/>
                <w:szCs w:val="18"/>
              </w:rPr>
              <w:t xml:space="preserve"/>
            </w:r>
          </w:p>
        </w:tc>
        <w:tc>
          <w:tcPr>
            <w:tcW w:w="1700" w:type="dxa"/>
            <w:vAlign w:val="center"/>
          </w:tcPr>
          <w:p>
            <w:pPr>
              <w:spacing w:before="0" w:after="0"/>
              <w:jc w:val="right"/>
            </w:pPr>
            <w:r>
              <w:rPr>
                <w:sz w:val="18"/>
                <w:szCs w:val="18"/>
              </w:rPr>
              <w:t xml:space="preserve">3,547</w:t>
            </w:r>
          </w:p>
        </w:tc>
        <w:tc>
          <w:tcPr>
            <w:tcW w:w="1700" w:type="dxa"/>
            <w:vAlign w:val="center"/>
          </w:tcPr>
          <w:p>
            <w:pPr>
              <w:spacing w:before="0" w:after="0"/>
              <w:jc w:val="right"/>
            </w:pPr>
            <w:r>
              <w:rPr>
                <w:sz w:val="18"/>
                <w:szCs w:val="18"/>
              </w:rPr>
              <w:t xml:space="preserve">3,571</w:t>
            </w:r>
          </w:p>
        </w:tc>
      </w:tr>
      <w:tr>
        <w:tc>
          <w:tcPr>
            <w:tcW w:w="4872" w:type="dxa"/>
            <w:vAlign w:val="center"/>
          </w:tcPr>
          <w:p>
            <w:pPr>
              <w:spacing w:before="0" w:after="0"/>
              <w:jc w:val="left"/>
            </w:pPr>
            <w:r>
              <w:rPr>
                <w:sz w:val="18"/>
                <w:szCs w:val="18"/>
              </w:rPr>
              <w:t xml:space="preserve">Security deposits</w:t>
            </w:r>
          </w:p>
        </w:tc>
        <w:tc>
          <w:tcPr>
            <w:tcW w:w="800" w:type="dxa"/>
            <w:vAlign w:val="center"/>
          </w:tcPr>
          <w:p>
            <w:pPr>
              <w:spacing w:before="0" w:after="0"/>
              <w:jc w:val="left"/>
            </w:pPr>
            <w:r>
              <w:rPr>
                <w:sz w:val="18"/>
                <w:szCs w:val="18"/>
              </w:rPr>
              <w:t xml:space="preserve"/>
            </w:r>
          </w:p>
        </w:tc>
        <w:tc>
          <w:tcPr>
            <w:tcW w:w="1700" w:type="dxa"/>
            <w:vAlign w:val="center"/>
          </w:tcPr>
          <w:p>
            <w:pPr>
              <w:spacing w:before="0" w:after="0"/>
              <w:jc w:val="right"/>
            </w:pPr>
            <w:r>
              <w:rPr>
                <w:sz w:val="18"/>
                <w:szCs w:val="18"/>
              </w:rPr>
              <w:t xml:space="preserve">6,334</w:t>
            </w:r>
          </w:p>
        </w:tc>
        <w:tc>
          <w:tcPr>
            <w:tcW w:w="1700" w:type="dxa"/>
            <w:vAlign w:val="center"/>
          </w:tcPr>
          <w:p>
            <w:pPr>
              <w:spacing w:before="0" w:after="0"/>
              <w:jc w:val="right"/>
            </w:pPr>
            <w:r>
              <w:rPr>
                <w:sz w:val="18"/>
                <w:szCs w:val="18"/>
              </w:rPr>
              <w:t xml:space="preserve">7,651</w:t>
            </w:r>
          </w:p>
        </w:tc>
      </w:tr>
      <w:tr>
        <w:tc>
          <w:tcPr>
            <w:tcW w:w="4872" w:type="dxa"/>
            <w:vAlign w:val="center"/>
          </w:tcPr>
          <w:p>
            <w:pPr>
              <w:spacing w:before="0" w:after="0"/>
              <w:jc w:val="left"/>
            </w:pPr>
            <w:r>
              <w:rPr>
                <w:sz w:val="18"/>
                <w:szCs w:val="18"/>
              </w:rPr>
              <w:t xml:space="preserve">Other long-term assets</w:t>
            </w:r>
          </w:p>
        </w:tc>
        <w:tc>
          <w:tcPr>
            <w:tcW w:w="800" w:type="dxa"/>
            <w:vAlign w:val="center"/>
          </w:tcPr>
          <w:p>
            <w:pPr>
              <w:spacing w:before="0" w:after="0"/>
              <w:jc w:val="left"/>
            </w:pPr>
            <w:r>
              <w:rPr>
                <w:sz w:val="18"/>
                <w:szCs w:val="18"/>
              </w:rPr>
              <w:t xml:space="preserve"/>
            </w:r>
          </w:p>
        </w:tc>
        <w:tc>
          <w:tcPr>
            <w:tcW w:w="1700" w:type="dxa"/>
            <w:vAlign w:val="center"/>
          </w:tcPr>
          <w:p>
            <w:pPr>
              <w:spacing w:before="0" w:after="0"/>
              <w:jc w:val="right"/>
            </w:pPr>
            <w:r>
              <w:rPr>
                <w:sz w:val="18"/>
                <w:szCs w:val="18"/>
              </w:rPr>
              <w:t xml:space="preserve">3,543</w:t>
            </w:r>
          </w:p>
        </w:tc>
        <w:tc>
          <w:tcPr>
            <w:tcW w:w="1700" w:type="dxa"/>
            <w:vAlign w:val="center"/>
          </w:tcPr>
          <w:p>
            <w:pPr>
              <w:spacing w:before="0" w:after="0"/>
              <w:jc w:val="right"/>
            </w:pPr>
            <w:r>
              <w:rPr>
                <w:sz w:val="18"/>
                <w:szCs w:val="18"/>
              </w:rPr>
              <w:t xml:space="preserve">3,843</w:t>
            </w:r>
          </w:p>
        </w:tc>
      </w:tr>
      <w:tr>
        <w:tc>
          <w:tcPr>
            <w:tcW w:w="4872" w:type="dxa"/>
            <w:vAlign w:val="center"/>
          </w:tcPr>
          <w:p>
            <w:pPr>
              <w:spacing w:before="0" w:after="0"/>
              <w:jc w:val="left"/>
            </w:pPr>
            <w:r>
              <w:rPr>
                <w:b/>
                <w:sz w:val="18"/>
                <w:szCs w:val="18"/>
              </w:rPr>
              <w:t xml:space="preserve">Total non-current assets</w:t>
            </w:r>
          </w:p>
        </w:tc>
        <w:tc>
          <w:tcPr>
            <w:tcW w:w="800" w:type="dxa"/>
            <w:vAlign w:val="center"/>
          </w:tcPr>
          <w:p>
            <w:pPr>
              <w:spacing w:before="0" w:after="0"/>
              <w:jc w:val="left"/>
            </w:pPr>
            <w:r>
              <w:rPr>
                <w:b/>
                <w:sz w:val="18"/>
                <w:szCs w:val="18"/>
              </w:rPr>
              <w:t xml:space="preserve"/>
            </w:r>
          </w:p>
        </w:tc>
        <w:tc>
          <w:tcPr>
            <w:tcW w:w="1700" w:type="dxa"/>
            <w:vAlign w:val="center"/>
          </w:tcPr>
          <w:p>
            <w:pPr>
              <w:spacing w:before="0" w:after="0"/>
              <w:jc w:val="right"/>
            </w:pPr>
            <w:r>
              <w:rPr>
                <w:b/>
                <w:sz w:val="18"/>
                <w:szCs w:val="18"/>
              </w:rPr>
              <w:t xml:space="preserve">246,395</w:t>
            </w:r>
          </w:p>
        </w:tc>
        <w:tc>
          <w:tcPr>
            <w:tcW w:w="1700" w:type="dxa"/>
            <w:vAlign w:val="center"/>
          </w:tcPr>
          <w:p>
            <w:pPr>
              <w:spacing w:before="0" w:after="0"/>
              <w:jc w:val="right"/>
            </w:pPr>
            <w:r>
              <w:rPr>
                <w:b/>
                <w:sz w:val="18"/>
                <w:szCs w:val="18"/>
              </w:rPr>
              <w:t xml:space="preserve">265,602</w:t>
            </w:r>
          </w:p>
        </w:tc>
      </w:tr>
      <w:tr>
        <w:tc>
          <w:tcPr>
            <w:tcW w:w="4872" w:type="dxa"/>
            <w:vAlign w:val="center"/>
          </w:tcPr>
          <w:p>
            <w:pPr>
              <w:spacing w:before="0" w:after="0"/>
              <w:jc w:val="left"/>
            </w:pPr>
            <w:r>
              <w:rPr>
                <w:b/>
                <w:sz w:val="18"/>
                <w:szCs w:val="18"/>
              </w:rPr>
              <w:t xml:space="preserve">Total assets</w:t>
            </w:r>
          </w:p>
        </w:tc>
        <w:tc>
          <w:tcPr>
            <w:tcW w:w="800" w:type="dxa"/>
            <w:vAlign w:val="center"/>
          </w:tcPr>
          <w:p>
            <w:pPr>
              <w:spacing w:before="0" w:after="0"/>
              <w:jc w:val="left"/>
            </w:pPr>
            <w:r>
              <w:rPr>
                <w:b/>
                <w:sz w:val="18"/>
                <w:szCs w:val="18"/>
              </w:rPr>
              <w:t xml:space="preserve"/>
            </w:r>
          </w:p>
        </w:tc>
        <w:tc>
          <w:tcPr>
            <w:tcW w:w="1700" w:type="dxa"/>
            <w:vAlign w:val="center"/>
          </w:tcPr>
          <w:p>
            <w:pPr>
              <w:spacing w:before="0" w:after="0"/>
              <w:jc w:val="right"/>
            </w:pPr>
            <w:r>
              <w:rPr>
                <w:b/>
                <w:sz w:val="18"/>
                <w:szCs w:val="18"/>
              </w:rPr>
              <w:t xml:space="preserve">335,256</w:t>
            </w:r>
          </w:p>
        </w:tc>
        <w:tc>
          <w:tcPr>
            <w:tcW w:w="1700" w:type="dxa"/>
            <w:vAlign w:val="center"/>
          </w:tcPr>
          <w:p>
            <w:pPr>
              <w:spacing w:before="0" w:after="0"/>
              <w:jc w:val="right"/>
            </w:pPr>
            <w:r>
              <w:rPr>
                <w:b/>
                <w:sz w:val="18"/>
                <w:szCs w:val="18"/>
              </w:rPr>
              <w:t xml:space="preserve">363,628</w:t>
            </w:r>
          </w:p>
        </w:tc>
      </w:tr>
    </w:tbl>
    <w:p>
      <w:pPr/>
    </w:p>
    <w:p>
      <w:r>
        <w:br w:type="page"/>
      </w:r>
    </w:p>
    <w:p>
      <w:pPr>
        <w:pStyle w:val="Heading3"/>
        <w:keepNext/>
      </w:pPr>
      <w:r>
        <w:t xml:space="preserve">Balance Sheets (Liabilities and Stockholders' Equity)</w:t>
      </w:r>
    </w:p>
    <w:p>
      <w:pPr>
        <w:jc w:val="right"/>
      </w:pPr>
      <w:r>
        <w:rPr>
          <w:sz w:val="18"/>
          <w:szCs w:val="18"/>
        </w:rPr>
        <w:t xml:space="preserve">(In thousands of U.S. dollars)</w:t>
      </w:r>
    </w:p>
    <w:tbl>
      <w:tblPr>
        <w:tblW w:w="907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72" w:type="dxa"/>
          <w:right w:w="72" w:type="dxa"/>
        </w:tblCellMar>
      </w:tblPr>
      <w:tblGrid>
        <w:gridCol w:w="4872"/>
        <w:gridCol w:w="800"/>
        <w:gridCol w:w="1700"/>
        <w:gridCol w:w="1700"/>
      </w:tblGrid>
      <w:tr>
        <w:trPr>
          <w:tblHeader/>
        </w:trPr>
        <w:tc>
          <w:tcPr>
            <w:tcW w:w="4872" w:type="dxa"/>
            <w:shd w:val="clear" w:color="auto" w:fill="DDEBF7"/>
            <w:vAlign w:val="center"/>
          </w:tcPr>
          <w:p>
            <w:pPr>
              <w:spacing w:before="0" w:after="0"/>
              <w:jc w:val="center"/>
            </w:pPr>
            <w:r>
              <w:rPr>
                <w:b/>
                <w:sz w:val="18"/>
                <w:szCs w:val="18"/>
              </w:rPr>
              <w:t xml:space="preserve"/>
            </w:r>
          </w:p>
        </w:tc>
        <w:tc>
          <w:tcPr>
            <w:tcW w:w="800" w:type="dxa"/>
            <w:shd w:val="clear" w:color="auto" w:fill="DDEBF7"/>
            <w:vAlign w:val="center"/>
          </w:tcPr>
          <w:p>
            <w:pPr>
              <w:spacing w:before="0" w:after="0"/>
              <w:jc w:val="center"/>
            </w:pPr>
            <w:r>
              <w:rPr>
                <w:b/>
                <w:sz w:val="18"/>
                <w:szCs w:val="18"/>
              </w:rPr>
              <w:t xml:space="preserve">Note</w:t>
            </w:r>
          </w:p>
        </w:tc>
        <w:tc>
          <w:tcPr>
            <w:tcW w:w="1700" w:type="dxa"/>
            <w:shd w:val="clear" w:color="auto" w:fill="DDEBF7"/>
            <w:vAlign w:val="center"/>
          </w:tcPr>
          <w:p>
            <w:pPr>
              <w:spacing w:before="0" w:after="0"/>
              <w:jc w:val="center"/>
            </w:pPr>
            <w:r>
              <w:rPr>
                <w:b/>
                <w:sz w:val="18"/>
                <w:szCs w:val="18"/>
              </w:rPr>
              <w:t xml:space="preserve">FY2023</w:t>
            </w:r>
          </w:p>
        </w:tc>
        <w:tc>
          <w:tcPr>
            <w:tcW w:w="1700" w:type="dxa"/>
            <w:shd w:val="clear" w:color="auto" w:fill="DDEBF7"/>
            <w:vAlign w:val="center"/>
          </w:tcPr>
          <w:p>
            <w:pPr>
              <w:spacing w:before="0" w:after="0"/>
              <w:jc w:val="center"/>
            </w:pPr>
            <w:r>
              <w:rPr>
                <w:b/>
                <w:sz w:val="18"/>
                <w:szCs w:val="18"/>
              </w:rPr>
              <w:t xml:space="preserve">FY2024</w:t>
            </w:r>
          </w:p>
        </w:tc>
      </w:tr>
      <w:tr>
        <w:tc>
          <w:tcPr>
            <w:tcW w:w="4872" w:type="dxa"/>
            <w:vAlign w:val="center"/>
          </w:tcPr>
          <w:p>
            <w:pPr>
              <w:spacing w:before="0" w:after="0"/>
              <w:jc w:val="left"/>
            </w:pPr>
            <w:r>
              <w:rPr>
                <w:b/>
                <w:sz w:val="18"/>
                <w:szCs w:val="18"/>
              </w:rPr>
              <w:t xml:space="preserve">Current liabilities</w:t>
            </w:r>
          </w:p>
        </w:tc>
        <w:tc>
          <w:tcPr>
            <w:tcW w:w="800" w:type="dxa"/>
            <w:vAlign w:val="center"/>
          </w:tcPr>
          <w:p>
            <w:pPr>
              <w:spacing w:before="0" w:after="0"/>
              <w:jc w:val="left"/>
            </w:pPr>
            <w:r>
              <w:rPr>
                <w:b/>
                <w:sz w:val="18"/>
                <w:szCs w:val="18"/>
              </w:rPr>
              <w:t xml:space="preserve"/>
            </w:r>
          </w:p>
        </w:tc>
        <w:tc>
          <w:tcPr>
            <w:tcW w:w="1700" w:type="dxa"/>
            <w:vAlign w:val="center"/>
          </w:tcPr>
          <w:p>
            <w:pPr>
              <w:spacing w:before="0" w:after="0"/>
              <w:jc w:val="right"/>
            </w:pPr>
            <w:r>
              <w:rPr>
                <w:b/>
                <w:sz w:val="18"/>
                <w:szCs w:val="18"/>
              </w:rPr>
              <w:t xml:space="preserve"/>
            </w:r>
          </w:p>
        </w:tc>
        <w:tc>
          <w:tcPr>
            <w:tcW w:w="1700" w:type="dxa"/>
            <w:vAlign w:val="center"/>
          </w:tcPr>
          <w:p>
            <w:pPr>
              <w:spacing w:before="0" w:after="0"/>
              <w:jc w:val="right"/>
            </w:pPr>
            <w:r>
              <w:rPr>
                <w:b/>
                <w:sz w:val="18"/>
                <w:szCs w:val="18"/>
              </w:rPr>
              <w:t xml:space="preserve"/>
            </w:r>
          </w:p>
        </w:tc>
      </w:tr>
      <w:tr>
        <w:tc>
          <w:tcPr>
            <w:tcW w:w="4872" w:type="dxa"/>
            <w:vAlign w:val="center"/>
          </w:tcPr>
          <w:p>
            <w:pPr>
              <w:spacing w:before="0" w:after="0"/>
              <w:jc w:val="left"/>
            </w:pPr>
            <w:r>
              <w:rPr>
                <w:sz w:val="18"/>
                <w:szCs w:val="18"/>
              </w:rPr>
              <w:t xml:space="preserve">Accounts payable</w:t>
            </w:r>
          </w:p>
        </w:tc>
        <w:tc>
          <w:tcPr>
            <w:tcW w:w="800" w:type="dxa"/>
            <w:vAlign w:val="center"/>
          </w:tcPr>
          <w:p>
            <w:pPr>
              <w:spacing w:before="0" w:after="0"/>
              <w:jc w:val="left"/>
            </w:pPr>
            <w:r>
              <w:rPr>
                <w:sz w:val="18"/>
                <w:szCs w:val="18"/>
              </w:rPr>
              <w:t xml:space="preserve"/>
            </w:r>
          </w:p>
        </w:tc>
        <w:tc>
          <w:tcPr>
            <w:tcW w:w="1700" w:type="dxa"/>
            <w:vAlign w:val="center"/>
          </w:tcPr>
          <w:p>
            <w:pPr>
              <w:spacing w:before="0" w:after="0"/>
              <w:jc w:val="right"/>
            </w:pPr>
            <w:r>
              <w:rPr>
                <w:sz w:val="18"/>
                <w:szCs w:val="18"/>
              </w:rPr>
              <w:t xml:space="preserve">12,993</w:t>
            </w:r>
          </w:p>
        </w:tc>
        <w:tc>
          <w:tcPr>
            <w:tcW w:w="1700" w:type="dxa"/>
            <w:vAlign w:val="center"/>
          </w:tcPr>
          <w:p>
            <w:pPr>
              <w:spacing w:before="0" w:after="0"/>
              <w:jc w:val="right"/>
            </w:pPr>
            <w:r>
              <w:rPr>
                <w:sz w:val="18"/>
                <w:szCs w:val="18"/>
              </w:rPr>
              <w:t xml:space="preserve">13,810</w:t>
            </w:r>
          </w:p>
        </w:tc>
      </w:tr>
      <w:tr>
        <w:tc>
          <w:tcPr>
            <w:tcW w:w="4872" w:type="dxa"/>
            <w:vAlign w:val="center"/>
          </w:tcPr>
          <w:p>
            <w:pPr>
              <w:spacing w:before="0" w:after="0"/>
              <w:jc w:val="left"/>
            </w:pPr>
            <w:r>
              <w:rPr>
                <w:sz w:val="18"/>
                <w:szCs w:val="18"/>
              </w:rPr>
              <w:t xml:space="preserve">Accrued payroll and benefits</w:t>
            </w:r>
          </w:p>
        </w:tc>
        <w:tc>
          <w:tcPr>
            <w:tcW w:w="800" w:type="dxa"/>
            <w:vAlign w:val="center"/>
          </w:tcPr>
          <w:p>
            <w:pPr>
              <w:spacing w:before="0" w:after="0"/>
              <w:jc w:val="left"/>
            </w:pPr>
            <w:r>
              <w:rPr>
                <w:sz w:val="18"/>
                <w:szCs w:val="18"/>
              </w:rPr>
              <w:t xml:space="preserve">4</w:t>
            </w:r>
          </w:p>
        </w:tc>
        <w:tc>
          <w:tcPr>
            <w:tcW w:w="1700" w:type="dxa"/>
            <w:vAlign w:val="center"/>
          </w:tcPr>
          <w:p>
            <w:pPr>
              <w:spacing w:before="0" w:after="0"/>
              <w:jc w:val="right"/>
            </w:pPr>
            <w:r>
              <w:rPr>
                <w:sz w:val="18"/>
                <w:szCs w:val="18"/>
              </w:rPr>
              <w:t xml:space="preserve">9,601</w:t>
            </w:r>
          </w:p>
        </w:tc>
        <w:tc>
          <w:tcPr>
            <w:tcW w:w="1700" w:type="dxa"/>
            <w:vAlign w:val="center"/>
          </w:tcPr>
          <w:p>
            <w:pPr>
              <w:spacing w:before="0" w:after="0"/>
              <w:jc w:val="right"/>
            </w:pPr>
            <w:r>
              <w:rPr>
                <w:sz w:val="18"/>
                <w:szCs w:val="18"/>
              </w:rPr>
              <w:t xml:space="preserve">11,596</w:t>
            </w:r>
          </w:p>
        </w:tc>
      </w:tr>
      <w:tr>
        <w:tc>
          <w:tcPr>
            <w:tcW w:w="4872" w:type="dxa"/>
            <w:vAlign w:val="center"/>
          </w:tcPr>
          <w:p>
            <w:pPr>
              <w:spacing w:before="0" w:after="0"/>
              <w:jc w:val="left"/>
            </w:pPr>
            <w:r>
              <w:rPr>
                <w:sz w:val="18"/>
                <w:szCs w:val="18"/>
              </w:rPr>
              <w:t xml:space="preserve">Current portion of operating lease liabilities</w:t>
            </w:r>
          </w:p>
        </w:tc>
        <w:tc>
          <w:tcPr>
            <w:tcW w:w="800" w:type="dxa"/>
            <w:vAlign w:val="center"/>
          </w:tcPr>
          <w:p>
            <w:pPr>
              <w:spacing w:before="0" w:after="0"/>
              <w:jc w:val="left"/>
            </w:pPr>
            <w:r>
              <w:rPr>
                <w:sz w:val="18"/>
                <w:szCs w:val="18"/>
              </w:rPr>
              <w:t xml:space="preserve"/>
            </w:r>
          </w:p>
        </w:tc>
        <w:tc>
          <w:tcPr>
            <w:tcW w:w="1700" w:type="dxa"/>
            <w:vAlign w:val="center"/>
          </w:tcPr>
          <w:p>
            <w:pPr>
              <w:spacing w:before="0" w:after="0"/>
              <w:jc w:val="right"/>
            </w:pPr>
            <w:r>
              <w:rPr>
                <w:sz w:val="18"/>
                <w:szCs w:val="18"/>
              </w:rPr>
              <w:t xml:space="preserve">16,038</w:t>
            </w:r>
          </w:p>
        </w:tc>
        <w:tc>
          <w:tcPr>
            <w:tcW w:w="1700" w:type="dxa"/>
            <w:vAlign w:val="center"/>
          </w:tcPr>
          <w:p>
            <w:pPr>
              <w:spacing w:before="0" w:after="0"/>
              <w:jc w:val="right"/>
            </w:pPr>
            <w:r>
              <w:rPr>
                <w:sz w:val="18"/>
                <w:szCs w:val="18"/>
              </w:rPr>
              <w:t xml:space="preserve">17,651</w:t>
            </w:r>
          </w:p>
        </w:tc>
      </w:tr>
      <w:tr>
        <w:tc>
          <w:tcPr>
            <w:tcW w:w="4872" w:type="dxa"/>
            <w:vAlign w:val="center"/>
          </w:tcPr>
          <w:p>
            <w:pPr>
              <w:spacing w:before="0" w:after="0"/>
              <w:jc w:val="left"/>
            </w:pPr>
            <w:r>
              <w:rPr>
                <w:sz w:val="18"/>
                <w:szCs w:val="18"/>
              </w:rPr>
              <w:t xml:space="preserve">Current portion of long-term debt</w:t>
            </w:r>
          </w:p>
        </w:tc>
        <w:tc>
          <w:tcPr>
            <w:tcW w:w="800" w:type="dxa"/>
            <w:vAlign w:val="center"/>
          </w:tcPr>
          <w:p>
            <w:pPr>
              <w:spacing w:before="0" w:after="0"/>
              <w:jc w:val="left"/>
            </w:pPr>
            <w:r>
              <w:rPr>
                <w:sz w:val="18"/>
                <w:szCs w:val="18"/>
              </w:rPr>
              <w:t xml:space="preserve"/>
            </w:r>
          </w:p>
        </w:tc>
        <w:tc>
          <w:tcPr>
            <w:tcW w:w="1700" w:type="dxa"/>
            <w:vAlign w:val="center"/>
          </w:tcPr>
          <w:p>
            <w:pPr>
              <w:spacing w:before="0" w:after="0"/>
              <w:jc w:val="right"/>
            </w:pPr>
            <w:r>
              <w:rPr>
                <w:sz w:val="18"/>
                <w:szCs w:val="18"/>
              </w:rPr>
              <w:t xml:space="preserve">6,729</w:t>
            </w:r>
          </w:p>
        </w:tc>
        <w:tc>
          <w:tcPr>
            <w:tcW w:w="1700" w:type="dxa"/>
            <w:vAlign w:val="center"/>
          </w:tcPr>
          <w:p>
            <w:pPr>
              <w:spacing w:before="0" w:after="0"/>
              <w:jc w:val="right"/>
            </w:pPr>
            <w:r>
              <w:rPr>
                <w:sz w:val="18"/>
                <w:szCs w:val="18"/>
              </w:rPr>
              <w:t xml:space="preserve">7,290</w:t>
            </w:r>
          </w:p>
        </w:tc>
      </w:tr>
      <w:tr>
        <w:tc>
          <w:tcPr>
            <w:tcW w:w="4872" w:type="dxa"/>
            <w:vAlign w:val="center"/>
          </w:tcPr>
          <w:p>
            <w:pPr>
              <w:spacing w:before="0" w:after="0"/>
              <w:jc w:val="left"/>
            </w:pPr>
            <w:r>
              <w:rPr>
                <w:sz w:val="18"/>
                <w:szCs w:val="18"/>
              </w:rPr>
              <w:t xml:space="preserve">Deferred revenue (gift cards and loyalty)</w:t>
            </w:r>
          </w:p>
        </w:tc>
        <w:tc>
          <w:tcPr>
            <w:tcW w:w="800" w:type="dxa"/>
            <w:vAlign w:val="center"/>
          </w:tcPr>
          <w:p>
            <w:pPr>
              <w:spacing w:before="0" w:after="0"/>
              <w:jc w:val="left"/>
            </w:pPr>
            <w:r>
              <w:rPr>
                <w:sz w:val="18"/>
                <w:szCs w:val="18"/>
              </w:rPr>
              <w:t xml:space="preserve"/>
            </w:r>
          </w:p>
        </w:tc>
        <w:tc>
          <w:tcPr>
            <w:tcW w:w="1700" w:type="dxa"/>
            <w:vAlign w:val="center"/>
          </w:tcPr>
          <w:p>
            <w:pPr>
              <w:spacing w:before="0" w:after="0"/>
              <w:jc w:val="right"/>
            </w:pPr>
            <w:r>
              <w:rPr>
                <w:sz w:val="18"/>
                <w:szCs w:val="18"/>
              </w:rPr>
              <w:t xml:space="preserve">8,091</w:t>
            </w:r>
          </w:p>
        </w:tc>
        <w:tc>
          <w:tcPr>
            <w:tcW w:w="1700" w:type="dxa"/>
            <w:vAlign w:val="center"/>
          </w:tcPr>
          <w:p>
            <w:pPr>
              <w:spacing w:before="0" w:after="0"/>
              <w:jc w:val="right"/>
            </w:pPr>
            <w:r>
              <w:rPr>
                <w:sz w:val="18"/>
                <w:szCs w:val="18"/>
              </w:rPr>
              <w:t xml:space="preserve">9,668</w:t>
            </w:r>
          </w:p>
        </w:tc>
      </w:tr>
      <w:tr>
        <w:tc>
          <w:tcPr>
            <w:tcW w:w="4872" w:type="dxa"/>
            <w:vAlign w:val="center"/>
          </w:tcPr>
          <w:p>
            <w:pPr>
              <w:spacing w:before="0" w:after="0"/>
              <w:jc w:val="left"/>
            </w:pPr>
            <w:r>
              <w:rPr>
                <w:sz w:val="18"/>
                <w:szCs w:val="18"/>
              </w:rPr>
              <w:t xml:space="preserve">Income taxes payable</w:t>
            </w:r>
          </w:p>
        </w:tc>
        <w:tc>
          <w:tcPr>
            <w:tcW w:w="800" w:type="dxa"/>
            <w:vAlign w:val="center"/>
          </w:tcPr>
          <w:p>
            <w:pPr>
              <w:spacing w:before="0" w:after="0"/>
              <w:jc w:val="left"/>
            </w:pPr>
            <w:r>
              <w:rPr>
                <w:sz w:val="18"/>
                <w:szCs w:val="18"/>
              </w:rPr>
              <w:t xml:space="preserve"/>
            </w:r>
          </w:p>
        </w:tc>
        <w:tc>
          <w:tcPr>
            <w:tcW w:w="1700" w:type="dxa"/>
            <w:vAlign w:val="center"/>
          </w:tcPr>
          <w:p>
            <w:pPr>
              <w:spacing w:before="0" w:after="0"/>
              <w:jc w:val="right"/>
            </w:pPr>
            <w:r>
              <w:rPr>
                <w:sz w:val="18"/>
                <w:szCs w:val="18"/>
              </w:rPr>
              <w:t xml:space="preserve">2,642</w:t>
            </w:r>
          </w:p>
        </w:tc>
        <w:tc>
          <w:tcPr>
            <w:tcW w:w="1700" w:type="dxa"/>
            <w:vAlign w:val="center"/>
          </w:tcPr>
          <w:p>
            <w:pPr>
              <w:spacing w:before="0" w:after="0"/>
              <w:jc w:val="right"/>
            </w:pPr>
            <w:r>
              <w:rPr>
                <w:sz w:val="18"/>
                <w:szCs w:val="18"/>
              </w:rPr>
              <w:t xml:space="preserve">3,092</w:t>
            </w:r>
          </w:p>
        </w:tc>
      </w:tr>
      <w:tr>
        <w:tc>
          <w:tcPr>
            <w:tcW w:w="4872" w:type="dxa"/>
            <w:vAlign w:val="center"/>
          </w:tcPr>
          <w:p>
            <w:pPr>
              <w:spacing w:before="0" w:after="0"/>
              <w:jc w:val="left"/>
            </w:pPr>
            <w:r>
              <w:rPr>
                <w:sz w:val="18"/>
                <w:szCs w:val="18"/>
              </w:rPr>
              <w:t xml:space="preserve">Other accrued liabilities</w:t>
            </w:r>
          </w:p>
        </w:tc>
        <w:tc>
          <w:tcPr>
            <w:tcW w:w="800" w:type="dxa"/>
            <w:vAlign w:val="center"/>
          </w:tcPr>
          <w:p>
            <w:pPr>
              <w:spacing w:before="0" w:after="0"/>
              <w:jc w:val="left"/>
            </w:pPr>
            <w:r>
              <w:rPr>
                <w:sz w:val="18"/>
                <w:szCs w:val="18"/>
              </w:rPr>
              <w:t xml:space="preserve"/>
            </w:r>
          </w:p>
        </w:tc>
        <w:tc>
          <w:tcPr>
            <w:tcW w:w="1700" w:type="dxa"/>
            <w:vAlign w:val="center"/>
          </w:tcPr>
          <w:p>
            <w:pPr>
              <w:spacing w:before="0" w:after="0"/>
              <w:jc w:val="right"/>
            </w:pPr>
            <w:r>
              <w:rPr>
                <w:sz w:val="18"/>
                <w:szCs w:val="18"/>
              </w:rPr>
              <w:t xml:space="preserve">4,906</w:t>
            </w:r>
          </w:p>
        </w:tc>
        <w:tc>
          <w:tcPr>
            <w:tcW w:w="1700" w:type="dxa"/>
            <w:vAlign w:val="center"/>
          </w:tcPr>
          <w:p>
            <w:pPr>
              <w:spacing w:before="0" w:after="0"/>
              <w:jc w:val="right"/>
            </w:pPr>
            <w:r>
              <w:rPr>
                <w:sz w:val="18"/>
                <w:szCs w:val="18"/>
              </w:rPr>
              <w:t xml:space="preserve">5,745</w:t>
            </w:r>
          </w:p>
        </w:tc>
      </w:tr>
      <w:tr>
        <w:tc>
          <w:tcPr>
            <w:tcW w:w="4872" w:type="dxa"/>
            <w:vAlign w:val="center"/>
          </w:tcPr>
          <w:p>
            <w:pPr>
              <w:spacing w:before="0" w:after="0"/>
              <w:jc w:val="left"/>
            </w:pPr>
            <w:r>
              <w:rPr>
                <w:b/>
                <w:sz w:val="18"/>
                <w:szCs w:val="18"/>
              </w:rPr>
              <w:t xml:space="preserve">Total current liabilities</w:t>
            </w:r>
          </w:p>
        </w:tc>
        <w:tc>
          <w:tcPr>
            <w:tcW w:w="800" w:type="dxa"/>
            <w:vAlign w:val="center"/>
          </w:tcPr>
          <w:p>
            <w:pPr>
              <w:spacing w:before="0" w:after="0"/>
              <w:jc w:val="left"/>
            </w:pPr>
            <w:r>
              <w:rPr>
                <w:b/>
                <w:sz w:val="18"/>
                <w:szCs w:val="18"/>
              </w:rPr>
              <w:t xml:space="preserve"/>
            </w:r>
          </w:p>
        </w:tc>
        <w:tc>
          <w:tcPr>
            <w:tcW w:w="1700" w:type="dxa"/>
            <w:vAlign w:val="center"/>
          </w:tcPr>
          <w:p>
            <w:pPr>
              <w:spacing w:before="0" w:after="0"/>
              <w:jc w:val="right"/>
            </w:pPr>
            <w:r>
              <w:rPr>
                <w:b/>
                <w:sz w:val="18"/>
                <w:szCs w:val="18"/>
              </w:rPr>
              <w:t xml:space="preserve">61,000</w:t>
            </w:r>
          </w:p>
        </w:tc>
        <w:tc>
          <w:tcPr>
            <w:tcW w:w="1700" w:type="dxa"/>
            <w:vAlign w:val="center"/>
          </w:tcPr>
          <w:p>
            <w:pPr>
              <w:spacing w:before="0" w:after="0"/>
              <w:jc w:val="right"/>
            </w:pPr>
            <w:r>
              <w:rPr>
                <w:b/>
                <w:sz w:val="18"/>
                <w:szCs w:val="18"/>
              </w:rPr>
              <w:t xml:space="preserve">68,852</w:t>
            </w:r>
          </w:p>
        </w:tc>
      </w:tr>
      <w:tr>
        <w:tc>
          <w:tcPr>
            <w:tcW w:w="4872" w:type="dxa"/>
            <w:vAlign w:val="center"/>
          </w:tcPr>
          <w:p>
            <w:pPr>
              <w:spacing w:before="0" w:after="0"/>
              <w:jc w:val="left"/>
            </w:pPr>
            <w:r>
              <w:rPr>
                <w:b/>
                <w:sz w:val="18"/>
                <w:szCs w:val="18"/>
              </w:rPr>
              <w:t xml:space="preserve">Non-current liabilities</w:t>
            </w:r>
          </w:p>
        </w:tc>
        <w:tc>
          <w:tcPr>
            <w:tcW w:w="800" w:type="dxa"/>
            <w:vAlign w:val="center"/>
          </w:tcPr>
          <w:p>
            <w:pPr>
              <w:spacing w:before="0" w:after="0"/>
              <w:jc w:val="left"/>
            </w:pPr>
            <w:r>
              <w:rPr>
                <w:b/>
                <w:sz w:val="18"/>
                <w:szCs w:val="18"/>
              </w:rPr>
              <w:t xml:space="preserve"/>
            </w:r>
          </w:p>
        </w:tc>
        <w:tc>
          <w:tcPr>
            <w:tcW w:w="1700" w:type="dxa"/>
            <w:vAlign w:val="center"/>
          </w:tcPr>
          <w:p>
            <w:pPr>
              <w:spacing w:before="0" w:after="0"/>
              <w:jc w:val="right"/>
            </w:pPr>
            <w:r>
              <w:rPr>
                <w:b/>
                <w:sz w:val="18"/>
                <w:szCs w:val="18"/>
              </w:rPr>
              <w:t xml:space="preserve"/>
            </w:r>
          </w:p>
        </w:tc>
        <w:tc>
          <w:tcPr>
            <w:tcW w:w="1700" w:type="dxa"/>
            <w:vAlign w:val="center"/>
          </w:tcPr>
          <w:p>
            <w:pPr>
              <w:spacing w:before="0" w:after="0"/>
              <w:jc w:val="right"/>
            </w:pPr>
            <w:r>
              <w:rPr>
                <w:b/>
                <w:sz w:val="18"/>
                <w:szCs w:val="18"/>
              </w:rPr>
              <w:t xml:space="preserve"/>
            </w:r>
          </w:p>
        </w:tc>
      </w:tr>
      <w:tr>
        <w:tc>
          <w:tcPr>
            <w:tcW w:w="4872" w:type="dxa"/>
            <w:vAlign w:val="center"/>
          </w:tcPr>
          <w:p>
            <w:pPr>
              <w:spacing w:before="0" w:after="0"/>
              <w:jc w:val="left"/>
            </w:pPr>
            <w:r>
              <w:rPr>
                <w:sz w:val="18"/>
                <w:szCs w:val="18"/>
              </w:rPr>
              <w:t xml:space="preserve">Long-term debt, net of current portion</w:t>
            </w:r>
          </w:p>
        </w:tc>
        <w:tc>
          <w:tcPr>
            <w:tcW w:w="800" w:type="dxa"/>
            <w:vAlign w:val="center"/>
          </w:tcPr>
          <w:p>
            <w:pPr>
              <w:spacing w:before="0" w:after="0"/>
              <w:jc w:val="left"/>
            </w:pPr>
            <w:r>
              <w:rPr>
                <w:sz w:val="18"/>
                <w:szCs w:val="18"/>
              </w:rPr>
              <w:t xml:space="preserve">6</w:t>
            </w:r>
          </w:p>
        </w:tc>
        <w:tc>
          <w:tcPr>
            <w:tcW w:w="1700" w:type="dxa"/>
            <w:vAlign w:val="center"/>
          </w:tcPr>
          <w:p>
            <w:pPr>
              <w:spacing w:before="0" w:after="0"/>
              <w:jc w:val="right"/>
            </w:pPr>
            <w:r>
              <w:rPr>
                <w:sz w:val="18"/>
                <w:szCs w:val="18"/>
              </w:rPr>
              <w:t xml:space="preserve">31,192</w:t>
            </w:r>
          </w:p>
        </w:tc>
        <w:tc>
          <w:tcPr>
            <w:tcW w:w="1700" w:type="dxa"/>
            <w:vAlign w:val="center"/>
          </w:tcPr>
          <w:p>
            <w:pPr>
              <w:spacing w:before="0" w:after="0"/>
              <w:jc w:val="right"/>
            </w:pPr>
            <w:r>
              <w:rPr>
                <w:sz w:val="18"/>
                <w:szCs w:val="18"/>
              </w:rPr>
              <w:t xml:space="preserve">32,373</w:t>
            </w:r>
          </w:p>
        </w:tc>
      </w:tr>
      <w:tr>
        <w:tc>
          <w:tcPr>
            <w:tcW w:w="4872" w:type="dxa"/>
            <w:vAlign w:val="center"/>
          </w:tcPr>
          <w:p>
            <w:pPr>
              <w:spacing w:before="0" w:after="0"/>
              <w:jc w:val="left"/>
            </w:pPr>
            <w:r>
              <w:rPr>
                <w:sz w:val="18"/>
                <w:szCs w:val="18"/>
              </w:rPr>
              <w:t xml:space="preserve">Operating lease liabilities, net of current portion</w:t>
            </w:r>
          </w:p>
        </w:tc>
        <w:tc>
          <w:tcPr>
            <w:tcW w:w="800" w:type="dxa"/>
            <w:vAlign w:val="center"/>
          </w:tcPr>
          <w:p>
            <w:pPr>
              <w:spacing w:before="0" w:after="0"/>
              <w:jc w:val="left"/>
            </w:pPr>
            <w:r>
              <w:rPr>
                <w:sz w:val="18"/>
                <w:szCs w:val="18"/>
              </w:rPr>
              <w:t xml:space="preserve"/>
            </w:r>
          </w:p>
        </w:tc>
        <w:tc>
          <w:tcPr>
            <w:tcW w:w="1700" w:type="dxa"/>
            <w:vAlign w:val="center"/>
          </w:tcPr>
          <w:p>
            <w:pPr>
              <w:spacing w:before="0" w:after="0"/>
              <w:jc w:val="right"/>
            </w:pPr>
            <w:r>
              <w:rPr>
                <w:sz w:val="18"/>
                <w:szCs w:val="18"/>
              </w:rPr>
              <w:t xml:space="preserve">94,731</w:t>
            </w:r>
          </w:p>
        </w:tc>
        <w:tc>
          <w:tcPr>
            <w:tcW w:w="1700" w:type="dxa"/>
            <w:vAlign w:val="center"/>
          </w:tcPr>
          <w:p>
            <w:pPr>
              <w:spacing w:before="0" w:after="0"/>
              <w:jc w:val="right"/>
            </w:pPr>
            <w:r>
              <w:rPr>
                <w:sz w:val="18"/>
                <w:szCs w:val="18"/>
              </w:rPr>
              <w:t xml:space="preserve">96,771</w:t>
            </w:r>
          </w:p>
        </w:tc>
      </w:tr>
      <w:tr>
        <w:tc>
          <w:tcPr>
            <w:tcW w:w="4872" w:type="dxa"/>
            <w:vAlign w:val="center"/>
          </w:tcPr>
          <w:p>
            <w:pPr>
              <w:spacing w:before="0" w:after="0"/>
              <w:jc w:val="left"/>
            </w:pPr>
            <w:r>
              <w:rPr>
                <w:sz w:val="18"/>
                <w:szCs w:val="18"/>
              </w:rPr>
              <w:t xml:space="preserve">Deferred rent and asset retirement obligations</w:t>
            </w:r>
          </w:p>
        </w:tc>
        <w:tc>
          <w:tcPr>
            <w:tcW w:w="800" w:type="dxa"/>
            <w:vAlign w:val="center"/>
          </w:tcPr>
          <w:p>
            <w:pPr>
              <w:spacing w:before="0" w:after="0"/>
              <w:jc w:val="left"/>
            </w:pPr>
            <w:r>
              <w:rPr>
                <w:sz w:val="18"/>
                <w:szCs w:val="18"/>
              </w:rPr>
              <w:t xml:space="preserve">6</w:t>
            </w:r>
          </w:p>
        </w:tc>
        <w:tc>
          <w:tcPr>
            <w:tcW w:w="1700" w:type="dxa"/>
            <w:vAlign w:val="center"/>
          </w:tcPr>
          <w:p>
            <w:pPr>
              <w:spacing w:before="0" w:after="0"/>
              <w:jc w:val="right"/>
            </w:pPr>
            <w:r>
              <w:rPr>
                <w:sz w:val="18"/>
                <w:szCs w:val="18"/>
              </w:rPr>
              <w:t xml:space="preserve">3,666</w:t>
            </w:r>
          </w:p>
        </w:tc>
        <w:tc>
          <w:tcPr>
            <w:tcW w:w="1700" w:type="dxa"/>
            <w:vAlign w:val="center"/>
          </w:tcPr>
          <w:p>
            <w:pPr>
              <w:spacing w:before="0" w:after="0"/>
              <w:jc w:val="right"/>
            </w:pPr>
            <w:r>
              <w:rPr>
                <w:sz w:val="18"/>
                <w:szCs w:val="18"/>
              </w:rPr>
              <w:t xml:space="preserve">4,643</w:t>
            </w:r>
          </w:p>
        </w:tc>
      </w:tr>
      <w:tr>
        <w:tc>
          <w:tcPr>
            <w:tcW w:w="4872" w:type="dxa"/>
            <w:vAlign w:val="center"/>
          </w:tcPr>
          <w:p>
            <w:pPr>
              <w:spacing w:before="0" w:after="0"/>
              <w:jc w:val="left"/>
            </w:pPr>
            <w:r>
              <w:rPr>
                <w:sz w:val="18"/>
                <w:szCs w:val="18"/>
              </w:rPr>
              <w:t xml:space="preserve">Other long-term liabilities</w:t>
            </w:r>
          </w:p>
        </w:tc>
        <w:tc>
          <w:tcPr>
            <w:tcW w:w="800" w:type="dxa"/>
            <w:vAlign w:val="center"/>
          </w:tcPr>
          <w:p>
            <w:pPr>
              <w:spacing w:before="0" w:after="0"/>
              <w:jc w:val="left"/>
            </w:pPr>
            <w:r>
              <w:rPr>
                <w:sz w:val="18"/>
                <w:szCs w:val="18"/>
              </w:rPr>
              <w:t xml:space="preserve"/>
            </w:r>
          </w:p>
        </w:tc>
        <w:tc>
          <w:tcPr>
            <w:tcW w:w="1700" w:type="dxa"/>
            <w:vAlign w:val="center"/>
          </w:tcPr>
          <w:p>
            <w:pPr>
              <w:spacing w:before="0" w:after="0"/>
              <w:jc w:val="right"/>
            </w:pPr>
            <w:r>
              <w:rPr>
                <w:sz w:val="18"/>
                <w:szCs w:val="18"/>
              </w:rPr>
              <w:t xml:space="preserve">2,629</w:t>
            </w:r>
          </w:p>
        </w:tc>
        <w:tc>
          <w:tcPr>
            <w:tcW w:w="1700" w:type="dxa"/>
            <w:vAlign w:val="center"/>
          </w:tcPr>
          <w:p>
            <w:pPr>
              <w:spacing w:before="0" w:after="0"/>
              <w:jc w:val="right"/>
            </w:pPr>
            <w:r>
              <w:rPr>
                <w:sz w:val="18"/>
                <w:szCs w:val="18"/>
              </w:rPr>
              <w:t xml:space="preserve">2,869</w:t>
            </w:r>
          </w:p>
        </w:tc>
      </w:tr>
      <w:tr>
        <w:tc>
          <w:tcPr>
            <w:tcW w:w="4872" w:type="dxa"/>
            <w:vAlign w:val="center"/>
          </w:tcPr>
          <w:p>
            <w:pPr>
              <w:spacing w:before="0" w:after="0"/>
              <w:jc w:val="left"/>
            </w:pPr>
            <w:r>
              <w:rPr>
                <w:b/>
                <w:sz w:val="18"/>
                <w:szCs w:val="18"/>
              </w:rPr>
              <w:t xml:space="preserve">Total non-current liabilities</w:t>
            </w:r>
          </w:p>
        </w:tc>
        <w:tc>
          <w:tcPr>
            <w:tcW w:w="800" w:type="dxa"/>
            <w:vAlign w:val="center"/>
          </w:tcPr>
          <w:p>
            <w:pPr>
              <w:spacing w:before="0" w:after="0"/>
              <w:jc w:val="left"/>
            </w:pPr>
            <w:r>
              <w:rPr>
                <w:b/>
                <w:sz w:val="18"/>
                <w:szCs w:val="18"/>
              </w:rPr>
              <w:t xml:space="preserve"/>
            </w:r>
          </w:p>
        </w:tc>
        <w:tc>
          <w:tcPr>
            <w:tcW w:w="1700" w:type="dxa"/>
            <w:vAlign w:val="center"/>
          </w:tcPr>
          <w:p>
            <w:pPr>
              <w:spacing w:before="0" w:after="0"/>
              <w:jc w:val="right"/>
            </w:pPr>
            <w:r>
              <w:rPr>
                <w:b/>
                <w:sz w:val="18"/>
                <w:szCs w:val="18"/>
              </w:rPr>
              <w:t xml:space="preserve">132,218</w:t>
            </w:r>
          </w:p>
        </w:tc>
        <w:tc>
          <w:tcPr>
            <w:tcW w:w="1700" w:type="dxa"/>
            <w:vAlign w:val="center"/>
          </w:tcPr>
          <w:p>
            <w:pPr>
              <w:spacing w:before="0" w:after="0"/>
              <w:jc w:val="right"/>
            </w:pPr>
            <w:r>
              <w:rPr>
                <w:b/>
                <w:sz w:val="18"/>
                <w:szCs w:val="18"/>
              </w:rPr>
              <w:t xml:space="preserve">136,656</w:t>
            </w:r>
          </w:p>
        </w:tc>
      </w:tr>
      <w:tr>
        <w:tc>
          <w:tcPr>
            <w:tcW w:w="4872" w:type="dxa"/>
            <w:vAlign w:val="center"/>
          </w:tcPr>
          <w:p>
            <w:pPr>
              <w:spacing w:before="0" w:after="0"/>
              <w:jc w:val="left"/>
            </w:pPr>
            <w:r>
              <w:rPr>
                <w:b/>
                <w:sz w:val="18"/>
                <w:szCs w:val="18"/>
              </w:rPr>
              <w:t xml:space="preserve">Total liabilities</w:t>
            </w:r>
          </w:p>
        </w:tc>
        <w:tc>
          <w:tcPr>
            <w:tcW w:w="800" w:type="dxa"/>
            <w:vAlign w:val="center"/>
          </w:tcPr>
          <w:p>
            <w:pPr>
              <w:spacing w:before="0" w:after="0"/>
              <w:jc w:val="left"/>
            </w:pPr>
            <w:r>
              <w:rPr>
                <w:b/>
                <w:sz w:val="18"/>
                <w:szCs w:val="18"/>
              </w:rPr>
              <w:t xml:space="preserve"/>
            </w:r>
          </w:p>
        </w:tc>
        <w:tc>
          <w:tcPr>
            <w:tcW w:w="1700" w:type="dxa"/>
            <w:vAlign w:val="center"/>
          </w:tcPr>
          <w:p>
            <w:pPr>
              <w:spacing w:before="0" w:after="0"/>
              <w:jc w:val="right"/>
            </w:pPr>
            <w:r>
              <w:rPr>
                <w:b/>
                <w:sz w:val="18"/>
                <w:szCs w:val="18"/>
              </w:rPr>
              <w:t xml:space="preserve">193,218</w:t>
            </w:r>
          </w:p>
        </w:tc>
        <w:tc>
          <w:tcPr>
            <w:tcW w:w="1700" w:type="dxa"/>
            <w:vAlign w:val="center"/>
          </w:tcPr>
          <w:p>
            <w:pPr>
              <w:spacing w:before="0" w:after="0"/>
              <w:jc w:val="right"/>
            </w:pPr>
            <w:r>
              <w:rPr>
                <w:b/>
                <w:sz w:val="18"/>
                <w:szCs w:val="18"/>
              </w:rPr>
              <w:t xml:space="preserve">205,508</w:t>
            </w:r>
          </w:p>
        </w:tc>
      </w:tr>
      <w:tr>
        <w:tc>
          <w:tcPr>
            <w:tcW w:w="4872" w:type="dxa"/>
            <w:vAlign w:val="center"/>
          </w:tcPr>
          <w:p>
            <w:pPr>
              <w:spacing w:before="0" w:after="0"/>
              <w:jc w:val="left"/>
            </w:pPr>
            <w:r>
              <w:rPr>
                <w:b/>
                <w:sz w:val="18"/>
                <w:szCs w:val="18"/>
              </w:rPr>
              <w:t xml:space="preserve">Stockholders' equity</w:t>
            </w:r>
          </w:p>
        </w:tc>
        <w:tc>
          <w:tcPr>
            <w:tcW w:w="800" w:type="dxa"/>
            <w:vAlign w:val="center"/>
          </w:tcPr>
          <w:p>
            <w:pPr>
              <w:spacing w:before="0" w:after="0"/>
              <w:jc w:val="left"/>
            </w:pPr>
            <w:r>
              <w:rPr>
                <w:b/>
                <w:sz w:val="18"/>
                <w:szCs w:val="18"/>
              </w:rPr>
              <w:t xml:space="preserve"/>
            </w:r>
          </w:p>
        </w:tc>
        <w:tc>
          <w:tcPr>
            <w:tcW w:w="1700" w:type="dxa"/>
            <w:vAlign w:val="center"/>
          </w:tcPr>
          <w:p>
            <w:pPr>
              <w:spacing w:before="0" w:after="0"/>
              <w:jc w:val="right"/>
            </w:pPr>
            <w:r>
              <w:rPr>
                <w:b/>
                <w:sz w:val="18"/>
                <w:szCs w:val="18"/>
              </w:rPr>
              <w:t xml:space="preserve"/>
            </w:r>
          </w:p>
        </w:tc>
        <w:tc>
          <w:tcPr>
            <w:tcW w:w="1700" w:type="dxa"/>
            <w:vAlign w:val="center"/>
          </w:tcPr>
          <w:p>
            <w:pPr>
              <w:spacing w:before="0" w:after="0"/>
              <w:jc w:val="right"/>
            </w:pPr>
            <w:r>
              <w:rPr>
                <w:b/>
                <w:sz w:val="18"/>
                <w:szCs w:val="18"/>
              </w:rPr>
              <w:t xml:space="preserve"/>
            </w:r>
          </w:p>
        </w:tc>
      </w:tr>
      <w:tr>
        <w:tc>
          <w:tcPr>
            <w:tcW w:w="4872" w:type="dxa"/>
            <w:vAlign w:val="center"/>
          </w:tcPr>
          <w:p>
            <w:pPr>
              <w:spacing w:before="0" w:after="0"/>
              <w:jc w:val="left"/>
            </w:pPr>
            <w:r>
              <w:rPr>
                <w:sz w:val="18"/>
                <w:szCs w:val="18"/>
              </w:rPr>
              <w:t xml:space="preserve">Common stock</w:t>
            </w:r>
          </w:p>
        </w:tc>
        <w:tc>
          <w:tcPr>
            <w:tcW w:w="800" w:type="dxa"/>
            <w:vAlign w:val="center"/>
          </w:tcPr>
          <w:p>
            <w:pPr>
              <w:spacing w:before="0" w:after="0"/>
              <w:jc w:val="left"/>
            </w:pPr>
            <w:r>
              <w:rPr>
                <w:sz w:val="18"/>
                <w:szCs w:val="18"/>
              </w:rPr>
              <w:t xml:space="preserve">12</w:t>
            </w:r>
          </w:p>
        </w:tc>
        <w:tc>
          <w:tcPr>
            <w:tcW w:w="1700" w:type="dxa"/>
            <w:vAlign w:val="center"/>
          </w:tcPr>
          <w:p>
            <w:pPr>
              <w:spacing w:before="0" w:after="0"/>
              <w:jc w:val="right"/>
            </w:pPr>
            <w:r>
              <w:rPr>
                <w:sz w:val="18"/>
                <w:szCs w:val="18"/>
              </w:rPr>
              <w:t xml:space="preserve">341</w:t>
            </w:r>
          </w:p>
        </w:tc>
        <w:tc>
          <w:tcPr>
            <w:tcW w:w="1700" w:type="dxa"/>
            <w:vAlign w:val="center"/>
          </w:tcPr>
          <w:p>
            <w:pPr>
              <w:spacing w:before="0" w:after="0"/>
              <w:jc w:val="right"/>
            </w:pPr>
            <w:r>
              <w:rPr>
                <w:sz w:val="18"/>
                <w:szCs w:val="18"/>
              </w:rPr>
              <w:t xml:space="preserve">384</w:t>
            </w:r>
          </w:p>
        </w:tc>
      </w:tr>
      <w:tr>
        <w:tc>
          <w:tcPr>
            <w:tcW w:w="4872" w:type="dxa"/>
            <w:vAlign w:val="center"/>
          </w:tcPr>
          <w:p>
            <w:pPr>
              <w:spacing w:before="0" w:after="0"/>
              <w:jc w:val="left"/>
            </w:pPr>
            <w:r>
              <w:rPr>
                <w:sz w:val="18"/>
                <w:szCs w:val="18"/>
              </w:rPr>
              <w:t xml:space="preserve">Additional paid-in capital</w:t>
            </w:r>
          </w:p>
        </w:tc>
        <w:tc>
          <w:tcPr>
            <w:tcW w:w="800" w:type="dxa"/>
            <w:vAlign w:val="center"/>
          </w:tcPr>
          <w:p>
            <w:pPr>
              <w:spacing w:before="0" w:after="0"/>
              <w:jc w:val="left"/>
            </w:pPr>
            <w:r>
              <w:rPr>
                <w:sz w:val="18"/>
                <w:szCs w:val="18"/>
              </w:rPr>
              <w:t xml:space="preserve"/>
            </w:r>
          </w:p>
        </w:tc>
        <w:tc>
          <w:tcPr>
            <w:tcW w:w="1700" w:type="dxa"/>
            <w:vAlign w:val="center"/>
          </w:tcPr>
          <w:p>
            <w:pPr>
              <w:spacing w:before="0" w:after="0"/>
              <w:jc w:val="right"/>
            </w:pPr>
            <w:r>
              <w:rPr>
                <w:sz w:val="18"/>
                <w:szCs w:val="18"/>
              </w:rPr>
              <w:t xml:space="preserve">39,720</w:t>
            </w:r>
          </w:p>
        </w:tc>
        <w:tc>
          <w:tcPr>
            <w:tcW w:w="1700" w:type="dxa"/>
            <w:vAlign w:val="center"/>
          </w:tcPr>
          <w:p>
            <w:pPr>
              <w:spacing w:before="0" w:after="0"/>
              <w:jc w:val="right"/>
            </w:pPr>
            <w:r>
              <w:rPr>
                <w:sz w:val="18"/>
                <w:szCs w:val="18"/>
              </w:rPr>
              <w:t xml:space="preserve">41,320</w:t>
            </w:r>
          </w:p>
        </w:tc>
      </w:tr>
      <w:tr>
        <w:tc>
          <w:tcPr>
            <w:tcW w:w="4872" w:type="dxa"/>
            <w:vAlign w:val="center"/>
          </w:tcPr>
          <w:p>
            <w:pPr>
              <w:spacing w:before="0" w:after="0"/>
              <w:jc w:val="left"/>
            </w:pPr>
            <w:r>
              <w:rPr>
                <w:sz w:val="18"/>
                <w:szCs w:val="18"/>
              </w:rPr>
              <w:t xml:space="preserve">Retained earnings</w:t>
            </w:r>
          </w:p>
        </w:tc>
        <w:tc>
          <w:tcPr>
            <w:tcW w:w="800" w:type="dxa"/>
            <w:vAlign w:val="center"/>
          </w:tcPr>
          <w:p>
            <w:pPr>
              <w:spacing w:before="0" w:after="0"/>
              <w:jc w:val="left"/>
            </w:pPr>
            <w:r>
              <w:rPr>
                <w:sz w:val="18"/>
                <w:szCs w:val="18"/>
              </w:rPr>
              <w:t xml:space="preserve"/>
            </w:r>
          </w:p>
        </w:tc>
        <w:tc>
          <w:tcPr>
            <w:tcW w:w="1700" w:type="dxa"/>
            <w:vAlign w:val="center"/>
          </w:tcPr>
          <w:p>
            <w:pPr>
              <w:spacing w:before="0" w:after="0"/>
              <w:jc w:val="right"/>
            </w:pPr>
            <w:r>
              <w:rPr>
                <w:sz w:val="18"/>
                <w:szCs w:val="18"/>
              </w:rPr>
              <w:t xml:space="preserve">106,147</w:t>
            </w:r>
          </w:p>
        </w:tc>
        <w:tc>
          <w:tcPr>
            <w:tcW w:w="1700" w:type="dxa"/>
            <w:vAlign w:val="center"/>
          </w:tcPr>
          <w:p>
            <w:pPr>
              <w:spacing w:before="0" w:after="0"/>
              <w:jc w:val="right"/>
            </w:pPr>
            <w:r>
              <w:rPr>
                <w:sz w:val="18"/>
                <w:szCs w:val="18"/>
              </w:rPr>
              <w:t xml:space="preserve">120,868</w:t>
            </w:r>
          </w:p>
        </w:tc>
      </w:tr>
      <w:tr>
        <w:tc>
          <w:tcPr>
            <w:tcW w:w="4872" w:type="dxa"/>
            <w:vAlign w:val="center"/>
          </w:tcPr>
          <w:p>
            <w:pPr>
              <w:spacing w:before="0" w:after="0"/>
              <w:jc w:val="left"/>
            </w:pPr>
            <w:r>
              <w:rPr>
                <w:sz w:val="18"/>
                <w:szCs w:val="18"/>
              </w:rPr>
              <w:t xml:space="preserve">Treasury stock, at cost</w:t>
            </w:r>
          </w:p>
        </w:tc>
        <w:tc>
          <w:tcPr>
            <w:tcW w:w="800" w:type="dxa"/>
            <w:vAlign w:val="center"/>
          </w:tcPr>
          <w:p>
            <w:pPr>
              <w:spacing w:before="0" w:after="0"/>
              <w:jc w:val="left"/>
            </w:pPr>
            <w:r>
              <w:rPr>
                <w:sz w:val="18"/>
                <w:szCs w:val="18"/>
              </w:rPr>
              <w:t xml:space="preserve"/>
            </w:r>
          </w:p>
        </w:tc>
        <w:tc>
          <w:tcPr>
            <w:tcW w:w="1700" w:type="dxa"/>
            <w:vAlign w:val="center"/>
          </w:tcPr>
          <w:p>
            <w:pPr>
              <w:spacing w:before="0" w:after="0"/>
              <w:jc w:val="right"/>
            </w:pPr>
            <w:r>
              <w:rPr>
                <w:sz w:val="18"/>
                <w:szCs w:val="18"/>
              </w:rPr>
              <w:t xml:space="preserve">(3,062)</w:t>
            </w:r>
          </w:p>
        </w:tc>
        <w:tc>
          <w:tcPr>
            <w:tcW w:w="1700" w:type="dxa"/>
            <w:vAlign w:val="center"/>
          </w:tcPr>
          <w:p>
            <w:pPr>
              <w:spacing w:before="0" w:after="0"/>
              <w:jc w:val="right"/>
            </w:pPr>
            <w:r>
              <w:rPr>
                <w:sz w:val="18"/>
                <w:szCs w:val="18"/>
              </w:rPr>
              <w:t xml:space="preserve">(3,443)</w:t>
            </w:r>
          </w:p>
        </w:tc>
      </w:tr>
      <w:tr>
        <w:tc>
          <w:tcPr>
            <w:tcW w:w="4872" w:type="dxa"/>
            <w:vAlign w:val="center"/>
          </w:tcPr>
          <w:p>
            <w:pPr>
              <w:spacing w:before="0" w:after="0"/>
              <w:jc w:val="left"/>
            </w:pPr>
            <w:r>
              <w:rPr>
                <w:sz w:val="18"/>
                <w:szCs w:val="18"/>
              </w:rPr>
              <w:t xml:space="preserve">Accumulated other comprehensive income (loss)</w:t>
            </w:r>
          </w:p>
        </w:tc>
        <w:tc>
          <w:tcPr>
            <w:tcW w:w="800" w:type="dxa"/>
            <w:vAlign w:val="center"/>
          </w:tcPr>
          <w:p>
            <w:pPr>
              <w:spacing w:before="0" w:after="0"/>
              <w:jc w:val="left"/>
            </w:pPr>
            <w:r>
              <w:rPr>
                <w:sz w:val="18"/>
                <w:szCs w:val="18"/>
              </w:rPr>
              <w:t xml:space="preserve"/>
            </w:r>
          </w:p>
        </w:tc>
        <w:tc>
          <w:tcPr>
            <w:tcW w:w="1700" w:type="dxa"/>
            <w:vAlign w:val="center"/>
          </w:tcPr>
          <w:p>
            <w:pPr>
              <w:spacing w:before="0" w:after="0"/>
              <w:jc w:val="right"/>
            </w:pPr>
            <w:r>
              <w:rPr>
                <w:sz w:val="18"/>
                <w:szCs w:val="18"/>
              </w:rPr>
              <w:t xml:space="preserve">(1,108)</w:t>
            </w:r>
          </w:p>
        </w:tc>
        <w:tc>
          <w:tcPr>
            <w:tcW w:w="1700" w:type="dxa"/>
            <w:vAlign w:val="center"/>
          </w:tcPr>
          <w:p>
            <w:pPr>
              <w:spacing w:before="0" w:after="0"/>
              <w:jc w:val="right"/>
            </w:pPr>
            <w:r>
              <w:rPr>
                <w:sz w:val="18"/>
                <w:szCs w:val="18"/>
              </w:rPr>
              <w:t xml:space="preserve">(1,009)</w:t>
            </w:r>
          </w:p>
        </w:tc>
      </w:tr>
      <w:tr>
        <w:tc>
          <w:tcPr>
            <w:tcW w:w="4872" w:type="dxa"/>
            <w:vAlign w:val="center"/>
          </w:tcPr>
          <w:p>
            <w:pPr>
              <w:spacing w:before="0" w:after="0"/>
              <w:jc w:val="left"/>
            </w:pPr>
            <w:r>
              <w:rPr>
                <w:b/>
                <w:sz w:val="18"/>
                <w:szCs w:val="18"/>
              </w:rPr>
              <w:t xml:space="preserve">Total stockholders' equity</w:t>
            </w:r>
          </w:p>
        </w:tc>
        <w:tc>
          <w:tcPr>
            <w:tcW w:w="800" w:type="dxa"/>
            <w:vAlign w:val="center"/>
          </w:tcPr>
          <w:p>
            <w:pPr>
              <w:spacing w:before="0" w:after="0"/>
              <w:jc w:val="left"/>
            </w:pPr>
            <w:r>
              <w:rPr>
                <w:b/>
                <w:sz w:val="18"/>
                <w:szCs w:val="18"/>
              </w:rPr>
              <w:t xml:space="preserve"/>
            </w:r>
          </w:p>
        </w:tc>
        <w:tc>
          <w:tcPr>
            <w:tcW w:w="1700" w:type="dxa"/>
            <w:vAlign w:val="center"/>
          </w:tcPr>
          <w:p>
            <w:pPr>
              <w:spacing w:before="0" w:after="0"/>
              <w:jc w:val="right"/>
            </w:pPr>
            <w:r>
              <w:rPr>
                <w:b/>
                <w:sz w:val="18"/>
                <w:szCs w:val="18"/>
              </w:rPr>
              <w:t xml:space="preserve">142,038</w:t>
            </w:r>
          </w:p>
        </w:tc>
        <w:tc>
          <w:tcPr>
            <w:tcW w:w="1700" w:type="dxa"/>
            <w:vAlign w:val="center"/>
          </w:tcPr>
          <w:p>
            <w:pPr>
              <w:spacing w:before="0" w:after="0"/>
              <w:jc w:val="right"/>
            </w:pPr>
            <w:r>
              <w:rPr>
                <w:b/>
                <w:sz w:val="18"/>
                <w:szCs w:val="18"/>
              </w:rPr>
              <w:t xml:space="preserve">158,120</w:t>
            </w:r>
          </w:p>
        </w:tc>
      </w:tr>
      <w:tr>
        <w:tc>
          <w:tcPr>
            <w:tcW w:w="4872" w:type="dxa"/>
            <w:vAlign w:val="center"/>
          </w:tcPr>
          <w:p>
            <w:pPr>
              <w:spacing w:before="0" w:after="0"/>
              <w:jc w:val="left"/>
            </w:pPr>
            <w:r>
              <w:rPr>
                <w:b/>
                <w:sz w:val="18"/>
                <w:szCs w:val="18"/>
              </w:rPr>
              <w:t xml:space="preserve">Total liabilities and stockholders' equity</w:t>
            </w:r>
          </w:p>
        </w:tc>
        <w:tc>
          <w:tcPr>
            <w:tcW w:w="800" w:type="dxa"/>
            <w:vAlign w:val="center"/>
          </w:tcPr>
          <w:p>
            <w:pPr>
              <w:spacing w:before="0" w:after="0"/>
              <w:jc w:val="left"/>
            </w:pPr>
            <w:r>
              <w:rPr>
                <w:b/>
                <w:sz w:val="18"/>
                <w:szCs w:val="18"/>
              </w:rPr>
              <w:t xml:space="preserve"/>
            </w:r>
          </w:p>
        </w:tc>
        <w:tc>
          <w:tcPr>
            <w:tcW w:w="1700" w:type="dxa"/>
            <w:vAlign w:val="center"/>
          </w:tcPr>
          <w:p>
            <w:pPr>
              <w:spacing w:before="0" w:after="0"/>
              <w:jc w:val="right"/>
            </w:pPr>
            <w:r>
              <w:rPr>
                <w:b/>
                <w:sz w:val="18"/>
                <w:szCs w:val="18"/>
              </w:rPr>
              <w:t xml:space="preserve">335,256</w:t>
            </w:r>
          </w:p>
        </w:tc>
        <w:tc>
          <w:tcPr>
            <w:tcW w:w="1700" w:type="dxa"/>
            <w:vAlign w:val="center"/>
          </w:tcPr>
          <w:p>
            <w:pPr>
              <w:spacing w:before="0" w:after="0"/>
              <w:jc w:val="right"/>
            </w:pPr>
            <w:r>
              <w:rPr>
                <w:b/>
                <w:sz w:val="18"/>
                <w:szCs w:val="18"/>
              </w:rPr>
              <w:t xml:space="preserve">363,628</w:t>
            </w:r>
          </w:p>
        </w:tc>
      </w:tr>
    </w:tbl>
    <w:p>
      <w:pPr/>
    </w:p>
    <w:p>
      <w:r>
        <w:br w:type="page"/>
      </w:r>
    </w:p>
    <w:p>
      <w:pPr>
        <w:pStyle w:val="Heading3"/>
        <w:keepNext/>
      </w:pPr>
      <w:r>
        <w:t xml:space="preserve">Statements of Income</w:t>
      </w:r>
    </w:p>
    <w:p>
      <w:pPr>
        <w:jc w:val="right"/>
      </w:pPr>
      <w:r>
        <w:rPr>
          <w:sz w:val="18"/>
          <w:szCs w:val="18"/>
        </w:rPr>
        <w:t xml:space="preserve">(In thousands of U.S. dollars)</w:t>
      </w:r>
    </w:p>
    <w:tbl>
      <w:tblPr>
        <w:tblW w:w="907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72" w:type="dxa"/>
          <w:right w:w="72" w:type="dxa"/>
        </w:tblCellMar>
      </w:tblPr>
      <w:tblGrid>
        <w:gridCol w:w="4872"/>
        <w:gridCol w:w="800"/>
        <w:gridCol w:w="1700"/>
        <w:gridCol w:w="1700"/>
      </w:tblGrid>
      <w:tr>
        <w:trPr>
          <w:tblHeader/>
        </w:trPr>
        <w:tc>
          <w:tcPr>
            <w:tcW w:w="4872" w:type="dxa"/>
            <w:shd w:val="clear" w:color="auto" w:fill="DDEBF7"/>
            <w:vAlign w:val="center"/>
          </w:tcPr>
          <w:p>
            <w:pPr>
              <w:spacing w:before="0" w:after="0"/>
              <w:jc w:val="center"/>
            </w:pPr>
            <w:r>
              <w:rPr>
                <w:b/>
                <w:sz w:val="18"/>
                <w:szCs w:val="18"/>
              </w:rPr>
              <w:t xml:space="preserve"/>
            </w:r>
          </w:p>
        </w:tc>
        <w:tc>
          <w:tcPr>
            <w:tcW w:w="800" w:type="dxa"/>
            <w:shd w:val="clear" w:color="auto" w:fill="DDEBF7"/>
            <w:vAlign w:val="center"/>
          </w:tcPr>
          <w:p>
            <w:pPr>
              <w:spacing w:before="0" w:after="0"/>
              <w:jc w:val="center"/>
            </w:pPr>
            <w:r>
              <w:rPr>
                <w:b/>
                <w:sz w:val="18"/>
                <w:szCs w:val="18"/>
              </w:rPr>
              <w:t xml:space="preserve">Note</w:t>
            </w:r>
          </w:p>
        </w:tc>
        <w:tc>
          <w:tcPr>
            <w:tcW w:w="1700" w:type="dxa"/>
            <w:shd w:val="clear" w:color="auto" w:fill="DDEBF7"/>
            <w:vAlign w:val="center"/>
          </w:tcPr>
          <w:p>
            <w:pPr>
              <w:spacing w:before="0" w:after="0"/>
              <w:jc w:val="center"/>
            </w:pPr>
            <w:r>
              <w:rPr>
                <w:b/>
                <w:sz w:val="18"/>
                <w:szCs w:val="18"/>
              </w:rPr>
              <w:t xml:space="preserve">FY2023</w:t>
            </w:r>
          </w:p>
        </w:tc>
        <w:tc>
          <w:tcPr>
            <w:tcW w:w="1700" w:type="dxa"/>
            <w:shd w:val="clear" w:color="auto" w:fill="DDEBF7"/>
            <w:vAlign w:val="center"/>
          </w:tcPr>
          <w:p>
            <w:pPr>
              <w:spacing w:before="0" w:after="0"/>
              <w:jc w:val="center"/>
            </w:pPr>
            <w:r>
              <w:rPr>
                <w:b/>
                <w:sz w:val="18"/>
                <w:szCs w:val="18"/>
              </w:rPr>
              <w:t xml:space="preserve">FY2024</w:t>
            </w:r>
          </w:p>
        </w:tc>
      </w:tr>
      <w:tr>
        <w:tc>
          <w:tcPr>
            <w:tcW w:w="4872" w:type="dxa"/>
            <w:vAlign w:val="center"/>
          </w:tcPr>
          <w:p>
            <w:pPr>
              <w:spacing w:before="0" w:after="0"/>
              <w:jc w:val="left"/>
            </w:pPr>
            <w:r>
              <w:rPr>
                <w:b/>
                <w:sz w:val="18"/>
                <w:szCs w:val="18"/>
              </w:rPr>
              <w:t xml:space="preserve">Revenue</w:t>
            </w:r>
          </w:p>
        </w:tc>
        <w:tc>
          <w:tcPr>
            <w:tcW w:w="800" w:type="dxa"/>
            <w:vAlign w:val="center"/>
          </w:tcPr>
          <w:p>
            <w:pPr>
              <w:spacing w:before="0" w:after="0"/>
              <w:jc w:val="left"/>
            </w:pPr>
            <w:r>
              <w:rPr>
                <w:b/>
                <w:sz w:val="18"/>
                <w:szCs w:val="18"/>
              </w:rPr>
              <w:t xml:space="preserve"/>
            </w:r>
          </w:p>
        </w:tc>
        <w:tc>
          <w:tcPr>
            <w:tcW w:w="1700" w:type="dxa"/>
            <w:vAlign w:val="center"/>
          </w:tcPr>
          <w:p>
            <w:pPr>
              <w:spacing w:before="0" w:after="0"/>
              <w:jc w:val="right"/>
            </w:pPr>
            <w:r>
              <w:rPr>
                <w:b/>
                <w:sz w:val="18"/>
                <w:szCs w:val="18"/>
              </w:rPr>
              <w:t xml:space="preserve"/>
            </w:r>
          </w:p>
        </w:tc>
        <w:tc>
          <w:tcPr>
            <w:tcW w:w="1700" w:type="dxa"/>
            <w:vAlign w:val="center"/>
          </w:tcPr>
          <w:p>
            <w:pPr>
              <w:spacing w:before="0" w:after="0"/>
              <w:jc w:val="right"/>
            </w:pPr>
            <w:r>
              <w:rPr>
                <w:b/>
                <w:sz w:val="18"/>
                <w:szCs w:val="18"/>
              </w:rPr>
              <w:t xml:space="preserve"/>
            </w:r>
          </w:p>
        </w:tc>
      </w:tr>
      <w:tr>
        <w:tc>
          <w:tcPr>
            <w:tcW w:w="4872" w:type="dxa"/>
            <w:vAlign w:val="center"/>
          </w:tcPr>
          <w:p>
            <w:pPr>
              <w:spacing w:before="0" w:after="0"/>
              <w:jc w:val="left"/>
            </w:pPr>
            <w:r>
              <w:rPr>
                <w:sz w:val="18"/>
                <w:szCs w:val="18"/>
              </w:rPr>
              <w:t xml:space="preserve">Company-operated stores</w:t>
            </w:r>
          </w:p>
        </w:tc>
        <w:tc>
          <w:tcPr>
            <w:tcW w:w="800" w:type="dxa"/>
            <w:vAlign w:val="center"/>
          </w:tcPr>
          <w:p>
            <w:pPr>
              <w:spacing w:before="0" w:after="0"/>
              <w:jc w:val="left"/>
            </w:pPr>
            <w:r>
              <w:rPr>
                <w:sz w:val="18"/>
                <w:szCs w:val="18"/>
              </w:rPr>
              <w:t xml:space="preserve">8</w:t>
            </w:r>
          </w:p>
        </w:tc>
        <w:tc>
          <w:tcPr>
            <w:tcW w:w="1700" w:type="dxa"/>
            <w:vAlign w:val="center"/>
          </w:tcPr>
          <w:p>
            <w:pPr>
              <w:spacing w:before="0" w:after="0"/>
              <w:jc w:val="right"/>
            </w:pPr>
            <w:r>
              <w:rPr>
                <w:sz w:val="18"/>
                <w:szCs w:val="18"/>
              </w:rPr>
              <w:t xml:space="preserve">197,025</w:t>
            </w:r>
          </w:p>
        </w:tc>
        <w:tc>
          <w:tcPr>
            <w:tcW w:w="1700" w:type="dxa"/>
            <w:vAlign w:val="center"/>
          </w:tcPr>
          <w:p>
            <w:pPr>
              <w:spacing w:before="0" w:after="0"/>
              <w:jc w:val="right"/>
            </w:pPr>
            <w:r>
              <w:rPr>
                <w:sz w:val="18"/>
                <w:szCs w:val="18"/>
              </w:rPr>
              <w:t xml:space="preserve">224,864</w:t>
            </w:r>
          </w:p>
        </w:tc>
      </w:tr>
      <w:tr>
        <w:tc>
          <w:tcPr>
            <w:tcW w:w="4872" w:type="dxa"/>
            <w:vAlign w:val="center"/>
          </w:tcPr>
          <w:p>
            <w:pPr>
              <w:spacing w:before="0" w:after="0"/>
              <w:jc w:val="left"/>
            </w:pPr>
            <w:r>
              <w:rPr>
                <w:sz w:val="18"/>
                <w:szCs w:val="18"/>
              </w:rPr>
              <w:t xml:space="preserve">Online store</w:t>
            </w:r>
          </w:p>
        </w:tc>
        <w:tc>
          <w:tcPr>
            <w:tcW w:w="800" w:type="dxa"/>
            <w:vAlign w:val="center"/>
          </w:tcPr>
          <w:p>
            <w:pPr>
              <w:spacing w:before="0" w:after="0"/>
              <w:jc w:val="left"/>
            </w:pPr>
            <w:r>
              <w:rPr>
                <w:sz w:val="18"/>
                <w:szCs w:val="18"/>
              </w:rPr>
              <w:t xml:space="preserve">10</w:t>
            </w:r>
          </w:p>
        </w:tc>
        <w:tc>
          <w:tcPr>
            <w:tcW w:w="1700" w:type="dxa"/>
            <w:vAlign w:val="center"/>
          </w:tcPr>
          <w:p>
            <w:pPr>
              <w:spacing w:before="0" w:after="0"/>
              <w:jc w:val="right"/>
            </w:pPr>
            <w:r>
              <w:rPr>
                <w:sz w:val="18"/>
                <w:szCs w:val="18"/>
              </w:rPr>
              <w:t xml:space="preserve">24,936</w:t>
            </w:r>
          </w:p>
        </w:tc>
        <w:tc>
          <w:tcPr>
            <w:tcW w:w="1700" w:type="dxa"/>
            <w:vAlign w:val="center"/>
          </w:tcPr>
          <w:p>
            <w:pPr>
              <w:spacing w:before="0" w:after="0"/>
              <w:jc w:val="right"/>
            </w:pPr>
            <w:r>
              <w:rPr>
                <w:sz w:val="18"/>
                <w:szCs w:val="18"/>
              </w:rPr>
              <w:t xml:space="preserve">32,162</w:t>
            </w:r>
          </w:p>
        </w:tc>
      </w:tr>
      <w:tr>
        <w:tc>
          <w:tcPr>
            <w:tcW w:w="4872" w:type="dxa"/>
            <w:vAlign w:val="center"/>
          </w:tcPr>
          <w:p>
            <w:pPr>
              <w:spacing w:before="0" w:after="0"/>
              <w:jc w:val="left"/>
            </w:pPr>
            <w:r>
              <w:rPr>
                <w:sz w:val="18"/>
                <w:szCs w:val="18"/>
              </w:rPr>
              <w:t xml:space="preserve">Wholesale</w:t>
            </w:r>
          </w:p>
        </w:tc>
        <w:tc>
          <w:tcPr>
            <w:tcW w:w="800" w:type="dxa"/>
            <w:vAlign w:val="center"/>
          </w:tcPr>
          <w:p>
            <w:pPr>
              <w:spacing w:before="0" w:after="0"/>
              <w:jc w:val="left"/>
            </w:pPr>
            <w:r>
              <w:rPr>
                <w:sz w:val="18"/>
                <w:szCs w:val="18"/>
              </w:rPr>
              <w:t xml:space="preserve"/>
            </w:r>
          </w:p>
        </w:tc>
        <w:tc>
          <w:tcPr>
            <w:tcW w:w="1700" w:type="dxa"/>
            <w:vAlign w:val="center"/>
          </w:tcPr>
          <w:p>
            <w:pPr>
              <w:spacing w:before="0" w:after="0"/>
              <w:jc w:val="right"/>
            </w:pPr>
            <w:r>
              <w:rPr>
                <w:sz w:val="18"/>
                <w:szCs w:val="18"/>
              </w:rPr>
              <w:t xml:space="preserve">17,296</w:t>
            </w:r>
          </w:p>
        </w:tc>
        <w:tc>
          <w:tcPr>
            <w:tcW w:w="1700" w:type="dxa"/>
            <w:vAlign w:val="center"/>
          </w:tcPr>
          <w:p>
            <w:pPr>
              <w:spacing w:before="0" w:after="0"/>
              <w:jc w:val="right"/>
            </w:pPr>
            <w:r>
              <w:rPr>
                <w:sz w:val="18"/>
                <w:szCs w:val="18"/>
              </w:rPr>
              <w:t xml:space="preserve">18,974</w:t>
            </w:r>
          </w:p>
        </w:tc>
      </w:tr>
      <w:tr>
        <w:tc>
          <w:tcPr>
            <w:tcW w:w="4872" w:type="dxa"/>
            <w:vAlign w:val="center"/>
          </w:tcPr>
          <w:p>
            <w:pPr>
              <w:spacing w:before="0" w:after="0"/>
              <w:jc w:val="left"/>
            </w:pPr>
            <w:r>
              <w:rPr>
                <w:b/>
                <w:sz w:val="18"/>
                <w:szCs w:val="18"/>
              </w:rPr>
              <w:t xml:space="preserve">Total revenue</w:t>
            </w:r>
          </w:p>
        </w:tc>
        <w:tc>
          <w:tcPr>
            <w:tcW w:w="800" w:type="dxa"/>
            <w:vAlign w:val="center"/>
          </w:tcPr>
          <w:p>
            <w:pPr>
              <w:spacing w:before="0" w:after="0"/>
              <w:jc w:val="left"/>
            </w:pPr>
            <w:r>
              <w:rPr>
                <w:b/>
                <w:sz w:val="18"/>
                <w:szCs w:val="18"/>
              </w:rPr>
              <w:t xml:space="preserve"/>
            </w:r>
          </w:p>
        </w:tc>
        <w:tc>
          <w:tcPr>
            <w:tcW w:w="1700" w:type="dxa"/>
            <w:vAlign w:val="center"/>
          </w:tcPr>
          <w:p>
            <w:pPr>
              <w:spacing w:before="0" w:after="0"/>
              <w:jc w:val="right"/>
            </w:pPr>
            <w:r>
              <w:rPr>
                <w:b/>
                <w:sz w:val="18"/>
                <w:szCs w:val="18"/>
              </w:rPr>
              <w:t xml:space="preserve">239,257</w:t>
            </w:r>
          </w:p>
        </w:tc>
        <w:tc>
          <w:tcPr>
            <w:tcW w:w="1700" w:type="dxa"/>
            <w:vAlign w:val="center"/>
          </w:tcPr>
          <w:p>
            <w:pPr>
              <w:spacing w:before="0" w:after="0"/>
              <w:jc w:val="right"/>
            </w:pPr>
            <w:r>
              <w:rPr>
                <w:b/>
                <w:sz w:val="18"/>
                <w:szCs w:val="18"/>
              </w:rPr>
              <w:t xml:space="preserve">276,000</w:t>
            </w:r>
          </w:p>
        </w:tc>
      </w:tr>
      <w:tr>
        <w:tc>
          <w:tcPr>
            <w:tcW w:w="4872" w:type="dxa"/>
            <w:vAlign w:val="center"/>
          </w:tcPr>
          <w:p>
            <w:pPr>
              <w:spacing w:before="0" w:after="0"/>
              <w:jc w:val="left"/>
            </w:pPr>
            <w:r>
              <w:rPr>
                <w:b/>
                <w:sz w:val="18"/>
                <w:szCs w:val="18"/>
              </w:rPr>
              <w:t xml:space="preserve">Operating expenses</w:t>
            </w:r>
          </w:p>
        </w:tc>
        <w:tc>
          <w:tcPr>
            <w:tcW w:w="800" w:type="dxa"/>
            <w:vAlign w:val="center"/>
          </w:tcPr>
          <w:p>
            <w:pPr>
              <w:spacing w:before="0" w:after="0"/>
              <w:jc w:val="left"/>
            </w:pPr>
            <w:r>
              <w:rPr>
                <w:b/>
                <w:sz w:val="18"/>
                <w:szCs w:val="18"/>
              </w:rPr>
              <w:t xml:space="preserve"/>
            </w:r>
          </w:p>
        </w:tc>
        <w:tc>
          <w:tcPr>
            <w:tcW w:w="1700" w:type="dxa"/>
            <w:vAlign w:val="center"/>
          </w:tcPr>
          <w:p>
            <w:pPr>
              <w:spacing w:before="0" w:after="0"/>
              <w:jc w:val="right"/>
            </w:pPr>
            <w:r>
              <w:rPr>
                <w:b/>
                <w:sz w:val="18"/>
                <w:szCs w:val="18"/>
              </w:rPr>
              <w:t xml:space="preserve"/>
            </w:r>
          </w:p>
        </w:tc>
        <w:tc>
          <w:tcPr>
            <w:tcW w:w="1700" w:type="dxa"/>
            <w:vAlign w:val="center"/>
          </w:tcPr>
          <w:p>
            <w:pPr>
              <w:spacing w:before="0" w:after="0"/>
              <w:jc w:val="right"/>
            </w:pPr>
            <w:r>
              <w:rPr>
                <w:b/>
                <w:sz w:val="18"/>
                <w:szCs w:val="18"/>
              </w:rPr>
              <w:t xml:space="preserve"/>
            </w:r>
          </w:p>
        </w:tc>
      </w:tr>
      <w:tr>
        <w:tc>
          <w:tcPr>
            <w:tcW w:w="4872" w:type="dxa"/>
            <w:vAlign w:val="center"/>
          </w:tcPr>
          <w:p>
            <w:pPr>
              <w:spacing w:before="0" w:after="0"/>
              <w:jc w:val="left"/>
            </w:pPr>
            <w:r>
              <w:rPr>
                <w:sz w:val="18"/>
                <w:szCs w:val="18"/>
              </w:rPr>
              <w:t xml:space="preserve">Product and distribution costs</w:t>
            </w:r>
          </w:p>
        </w:tc>
        <w:tc>
          <w:tcPr>
            <w:tcW w:w="800" w:type="dxa"/>
            <w:vAlign w:val="center"/>
          </w:tcPr>
          <w:p>
            <w:pPr>
              <w:spacing w:before="0" w:after="0"/>
              <w:jc w:val="left"/>
            </w:pPr>
            <w:r>
              <w:rPr>
                <w:sz w:val="18"/>
                <w:szCs w:val="18"/>
              </w:rPr>
              <w:t xml:space="preserve"/>
            </w:r>
          </w:p>
        </w:tc>
        <w:tc>
          <w:tcPr>
            <w:tcW w:w="1700" w:type="dxa"/>
            <w:vAlign w:val="center"/>
          </w:tcPr>
          <w:p>
            <w:pPr>
              <w:spacing w:before="0" w:after="0"/>
              <w:jc w:val="right"/>
            </w:pPr>
            <w:r>
              <w:rPr>
                <w:sz w:val="18"/>
                <w:szCs w:val="18"/>
              </w:rPr>
              <w:t xml:space="preserve">72,444</w:t>
            </w:r>
          </w:p>
        </w:tc>
        <w:tc>
          <w:tcPr>
            <w:tcW w:w="1700" w:type="dxa"/>
            <w:vAlign w:val="center"/>
          </w:tcPr>
          <w:p>
            <w:pPr>
              <w:spacing w:before="0" w:after="0"/>
              <w:jc w:val="right"/>
            </w:pPr>
            <w:r>
              <w:rPr>
                <w:sz w:val="18"/>
                <w:szCs w:val="18"/>
              </w:rPr>
              <w:t xml:space="preserve">82,572</w:t>
            </w:r>
          </w:p>
        </w:tc>
      </w:tr>
      <w:tr>
        <w:tc>
          <w:tcPr>
            <w:tcW w:w="4872" w:type="dxa"/>
            <w:vAlign w:val="center"/>
          </w:tcPr>
          <w:p>
            <w:pPr>
              <w:spacing w:before="0" w:after="0"/>
              <w:jc w:val="left"/>
            </w:pPr>
            <w:r>
              <w:rPr>
                <w:sz w:val="18"/>
                <w:szCs w:val="18"/>
              </w:rPr>
              <w:t xml:space="preserve">Store operating expenses</w:t>
            </w:r>
          </w:p>
        </w:tc>
        <w:tc>
          <w:tcPr>
            <w:tcW w:w="800" w:type="dxa"/>
            <w:vAlign w:val="center"/>
          </w:tcPr>
          <w:p>
            <w:pPr>
              <w:spacing w:before="0" w:after="0"/>
              <w:jc w:val="left"/>
            </w:pPr>
            <w:r>
              <w:rPr>
                <w:sz w:val="18"/>
                <w:szCs w:val="18"/>
              </w:rPr>
              <w:t xml:space="preserve"/>
            </w:r>
          </w:p>
        </w:tc>
        <w:tc>
          <w:tcPr>
            <w:tcW w:w="1700" w:type="dxa"/>
            <w:vAlign w:val="center"/>
          </w:tcPr>
          <w:p>
            <w:pPr>
              <w:spacing w:before="0" w:after="0"/>
              <w:jc w:val="right"/>
            </w:pPr>
            <w:r>
              <w:rPr>
                <w:sz w:val="18"/>
                <w:szCs w:val="18"/>
              </w:rPr>
              <w:t xml:space="preserve">83,145</w:t>
            </w:r>
          </w:p>
        </w:tc>
        <w:tc>
          <w:tcPr>
            <w:tcW w:w="1700" w:type="dxa"/>
            <w:vAlign w:val="center"/>
          </w:tcPr>
          <w:p>
            <w:pPr>
              <w:spacing w:before="0" w:after="0"/>
              <w:jc w:val="right"/>
            </w:pPr>
            <w:r>
              <w:rPr>
                <w:sz w:val="18"/>
                <w:szCs w:val="18"/>
              </w:rPr>
              <w:t xml:space="preserve">95,753</w:t>
            </w:r>
          </w:p>
        </w:tc>
      </w:tr>
      <w:tr>
        <w:tc>
          <w:tcPr>
            <w:tcW w:w="4872" w:type="dxa"/>
            <w:vAlign w:val="center"/>
          </w:tcPr>
          <w:p>
            <w:pPr>
              <w:spacing w:before="0" w:after="0"/>
              <w:jc w:val="left"/>
            </w:pPr>
            <w:r>
              <w:rPr>
                <w:sz w:val="18"/>
                <w:szCs w:val="18"/>
              </w:rPr>
              <w:t xml:space="preserve">Occupancy costs</w:t>
            </w:r>
          </w:p>
        </w:tc>
        <w:tc>
          <w:tcPr>
            <w:tcW w:w="800" w:type="dxa"/>
            <w:vAlign w:val="center"/>
          </w:tcPr>
          <w:p>
            <w:pPr>
              <w:spacing w:before="0" w:after="0"/>
              <w:jc w:val="left"/>
            </w:pPr>
            <w:r>
              <w:rPr>
                <w:sz w:val="18"/>
                <w:szCs w:val="18"/>
              </w:rPr>
              <w:t xml:space="preserve"/>
            </w:r>
          </w:p>
        </w:tc>
        <w:tc>
          <w:tcPr>
            <w:tcW w:w="1700" w:type="dxa"/>
            <w:vAlign w:val="center"/>
          </w:tcPr>
          <w:p>
            <w:pPr>
              <w:spacing w:before="0" w:after="0"/>
              <w:jc w:val="right"/>
            </w:pPr>
            <w:r>
              <w:rPr>
                <w:sz w:val="18"/>
                <w:szCs w:val="18"/>
              </w:rPr>
              <w:t xml:space="preserve">28,118</w:t>
            </w:r>
          </w:p>
        </w:tc>
        <w:tc>
          <w:tcPr>
            <w:tcW w:w="1700" w:type="dxa"/>
            <w:vAlign w:val="center"/>
          </w:tcPr>
          <w:p>
            <w:pPr>
              <w:spacing w:before="0" w:after="0"/>
              <w:jc w:val="right"/>
            </w:pPr>
            <w:r>
              <w:rPr>
                <w:sz w:val="18"/>
                <w:szCs w:val="18"/>
              </w:rPr>
              <w:t xml:space="preserve">31,849</w:t>
            </w:r>
          </w:p>
        </w:tc>
      </w:tr>
      <w:tr>
        <w:tc>
          <w:tcPr>
            <w:tcW w:w="4872" w:type="dxa"/>
            <w:vAlign w:val="center"/>
          </w:tcPr>
          <w:p>
            <w:pPr>
              <w:spacing w:before="0" w:after="0"/>
              <w:jc w:val="left"/>
            </w:pPr>
            <w:r>
              <w:rPr>
                <w:sz w:val="18"/>
                <w:szCs w:val="18"/>
              </w:rPr>
              <w:t xml:space="preserve">Depreciation and amortization</w:t>
            </w:r>
          </w:p>
        </w:tc>
        <w:tc>
          <w:tcPr>
            <w:tcW w:w="800" w:type="dxa"/>
            <w:vAlign w:val="center"/>
          </w:tcPr>
          <w:p>
            <w:pPr>
              <w:spacing w:before="0" w:after="0"/>
              <w:jc w:val="left"/>
            </w:pPr>
            <w:r>
              <w:rPr>
                <w:sz w:val="18"/>
                <w:szCs w:val="18"/>
              </w:rPr>
              <w:t xml:space="preserve"/>
            </w:r>
          </w:p>
        </w:tc>
        <w:tc>
          <w:tcPr>
            <w:tcW w:w="1700" w:type="dxa"/>
            <w:vAlign w:val="center"/>
          </w:tcPr>
          <w:p>
            <w:pPr>
              <w:spacing w:before="0" w:after="0"/>
              <w:jc w:val="right"/>
            </w:pPr>
            <w:r>
              <w:rPr>
                <w:sz w:val="18"/>
                <w:szCs w:val="18"/>
              </w:rPr>
              <w:t xml:space="preserve">12,354</w:t>
            </w:r>
          </w:p>
        </w:tc>
        <w:tc>
          <w:tcPr>
            <w:tcW w:w="1700" w:type="dxa"/>
            <w:vAlign w:val="center"/>
          </w:tcPr>
          <w:p>
            <w:pPr>
              <w:spacing w:before="0" w:after="0"/>
              <w:jc w:val="right"/>
            </w:pPr>
            <w:r>
              <w:rPr>
                <w:sz w:val="18"/>
                <w:szCs w:val="18"/>
              </w:rPr>
              <w:t xml:space="preserve">13,995</w:t>
            </w:r>
          </w:p>
        </w:tc>
      </w:tr>
      <w:tr>
        <w:tc>
          <w:tcPr>
            <w:tcW w:w="4872" w:type="dxa"/>
            <w:vAlign w:val="center"/>
          </w:tcPr>
          <w:p>
            <w:pPr>
              <w:spacing w:before="0" w:after="0"/>
              <w:jc w:val="left"/>
            </w:pPr>
            <w:r>
              <w:rPr>
                <w:sz w:val="18"/>
                <w:szCs w:val="18"/>
              </w:rPr>
              <w:t xml:space="preserve">General and administrative expenses</w:t>
            </w:r>
          </w:p>
        </w:tc>
        <w:tc>
          <w:tcPr>
            <w:tcW w:w="800" w:type="dxa"/>
            <w:vAlign w:val="center"/>
          </w:tcPr>
          <w:p>
            <w:pPr>
              <w:spacing w:before="0" w:after="0"/>
              <w:jc w:val="left"/>
            </w:pPr>
            <w:r>
              <w:rPr>
                <w:sz w:val="18"/>
                <w:szCs w:val="18"/>
              </w:rPr>
              <w:t xml:space="preserve"/>
            </w:r>
          </w:p>
        </w:tc>
        <w:tc>
          <w:tcPr>
            <w:tcW w:w="1700" w:type="dxa"/>
            <w:vAlign w:val="center"/>
          </w:tcPr>
          <w:p>
            <w:pPr>
              <w:spacing w:before="0" w:after="0"/>
              <w:jc w:val="right"/>
            </w:pPr>
            <w:r>
              <w:rPr>
                <w:sz w:val="18"/>
                <w:szCs w:val="18"/>
              </w:rPr>
              <w:t xml:space="preserve">16,263</w:t>
            </w:r>
          </w:p>
        </w:tc>
        <w:tc>
          <w:tcPr>
            <w:tcW w:w="1700" w:type="dxa"/>
            <w:vAlign w:val="center"/>
          </w:tcPr>
          <w:p>
            <w:pPr>
              <w:spacing w:before="0" w:after="0"/>
              <w:jc w:val="right"/>
            </w:pPr>
            <w:r>
              <w:rPr>
                <w:sz w:val="18"/>
                <w:szCs w:val="18"/>
              </w:rPr>
              <w:t xml:space="preserve">18,052</w:t>
            </w:r>
          </w:p>
        </w:tc>
      </w:tr>
      <w:tr>
        <w:tc>
          <w:tcPr>
            <w:tcW w:w="4872" w:type="dxa"/>
            <w:vAlign w:val="center"/>
          </w:tcPr>
          <w:p>
            <w:pPr>
              <w:spacing w:before="0" w:after="0"/>
              <w:jc w:val="left"/>
            </w:pPr>
            <w:r>
              <w:rPr>
                <w:sz w:val="18"/>
                <w:szCs w:val="18"/>
              </w:rPr>
              <w:t xml:space="preserve">Store opening expenses</w:t>
            </w:r>
          </w:p>
        </w:tc>
        <w:tc>
          <w:tcPr>
            <w:tcW w:w="800" w:type="dxa"/>
            <w:vAlign w:val="center"/>
          </w:tcPr>
          <w:p>
            <w:pPr>
              <w:spacing w:before="0" w:after="0"/>
              <w:jc w:val="left"/>
            </w:pPr>
            <w:r>
              <w:rPr>
                <w:sz w:val="18"/>
                <w:szCs w:val="18"/>
              </w:rPr>
              <w:t xml:space="preserve"/>
            </w:r>
          </w:p>
        </w:tc>
        <w:tc>
          <w:tcPr>
            <w:tcW w:w="1700" w:type="dxa"/>
            <w:vAlign w:val="center"/>
          </w:tcPr>
          <w:p>
            <w:pPr>
              <w:spacing w:before="0" w:after="0"/>
              <w:jc w:val="right"/>
            </w:pPr>
            <w:r>
              <w:rPr>
                <w:sz w:val="18"/>
                <w:szCs w:val="18"/>
              </w:rPr>
              <w:t xml:space="preserve">963</w:t>
            </w:r>
          </w:p>
        </w:tc>
        <w:tc>
          <w:tcPr>
            <w:tcW w:w="1700" w:type="dxa"/>
            <w:vAlign w:val="center"/>
          </w:tcPr>
          <w:p>
            <w:pPr>
              <w:spacing w:before="0" w:after="0"/>
              <w:jc w:val="right"/>
            </w:pPr>
            <w:r>
              <w:rPr>
                <w:sz w:val="18"/>
                <w:szCs w:val="18"/>
              </w:rPr>
              <w:t xml:space="preserve">2,152</w:t>
            </w:r>
          </w:p>
        </w:tc>
      </w:tr>
      <w:tr>
        <w:tc>
          <w:tcPr>
            <w:tcW w:w="4872" w:type="dxa"/>
            <w:vAlign w:val="center"/>
          </w:tcPr>
          <w:p>
            <w:pPr>
              <w:spacing w:before="0" w:after="0"/>
              <w:jc w:val="left"/>
            </w:pPr>
            <w:r>
              <w:rPr>
                <w:b/>
                <w:sz w:val="18"/>
                <w:szCs w:val="18"/>
              </w:rPr>
              <w:t xml:space="preserve">Total operating expenses</w:t>
            </w:r>
          </w:p>
        </w:tc>
        <w:tc>
          <w:tcPr>
            <w:tcW w:w="800" w:type="dxa"/>
            <w:vAlign w:val="center"/>
          </w:tcPr>
          <w:p>
            <w:pPr>
              <w:spacing w:before="0" w:after="0"/>
              <w:jc w:val="left"/>
            </w:pPr>
            <w:r>
              <w:rPr>
                <w:b/>
                <w:sz w:val="18"/>
                <w:szCs w:val="18"/>
              </w:rPr>
              <w:t xml:space="preserve"/>
            </w:r>
          </w:p>
        </w:tc>
        <w:tc>
          <w:tcPr>
            <w:tcW w:w="1700" w:type="dxa"/>
            <w:vAlign w:val="center"/>
          </w:tcPr>
          <w:p>
            <w:pPr>
              <w:spacing w:before="0" w:after="0"/>
              <w:jc w:val="right"/>
            </w:pPr>
            <w:r>
              <w:rPr>
                <w:b/>
                <w:sz w:val="18"/>
                <w:szCs w:val="18"/>
              </w:rPr>
              <w:t xml:space="preserve">213,287</w:t>
            </w:r>
          </w:p>
        </w:tc>
        <w:tc>
          <w:tcPr>
            <w:tcW w:w="1700" w:type="dxa"/>
            <w:vAlign w:val="center"/>
          </w:tcPr>
          <w:p>
            <w:pPr>
              <w:spacing w:before="0" w:after="0"/>
              <w:jc w:val="right"/>
            </w:pPr>
            <w:r>
              <w:rPr>
                <w:b/>
                <w:sz w:val="18"/>
                <w:szCs w:val="18"/>
              </w:rPr>
              <w:t xml:space="preserve">244,372</w:t>
            </w:r>
          </w:p>
        </w:tc>
      </w:tr>
      <w:tr>
        <w:tc>
          <w:tcPr>
            <w:tcW w:w="4872" w:type="dxa"/>
            <w:vAlign w:val="center"/>
          </w:tcPr>
          <w:p>
            <w:pPr>
              <w:spacing w:before="0" w:after="0"/>
              <w:jc w:val="left"/>
            </w:pPr>
            <w:r>
              <w:rPr>
                <w:b/>
                <w:sz w:val="18"/>
                <w:szCs w:val="18"/>
              </w:rPr>
              <w:t xml:space="preserve">Operating income</w:t>
            </w:r>
          </w:p>
        </w:tc>
        <w:tc>
          <w:tcPr>
            <w:tcW w:w="800" w:type="dxa"/>
            <w:vAlign w:val="center"/>
          </w:tcPr>
          <w:p>
            <w:pPr>
              <w:spacing w:before="0" w:after="0"/>
              <w:jc w:val="left"/>
            </w:pPr>
            <w:r>
              <w:rPr>
                <w:b/>
                <w:sz w:val="18"/>
                <w:szCs w:val="18"/>
              </w:rPr>
              <w:t xml:space="preserve">1</w:t>
            </w:r>
          </w:p>
        </w:tc>
        <w:tc>
          <w:tcPr>
            <w:tcW w:w="1700" w:type="dxa"/>
            <w:vAlign w:val="center"/>
          </w:tcPr>
          <w:p>
            <w:pPr>
              <w:spacing w:before="0" w:after="0"/>
              <w:jc w:val="right"/>
            </w:pPr>
            <w:r>
              <w:rPr>
                <w:b/>
                <w:sz w:val="18"/>
                <w:szCs w:val="18"/>
              </w:rPr>
              <w:t xml:space="preserve">25,970</w:t>
            </w:r>
          </w:p>
        </w:tc>
        <w:tc>
          <w:tcPr>
            <w:tcW w:w="1700" w:type="dxa"/>
            <w:vAlign w:val="center"/>
          </w:tcPr>
          <w:p>
            <w:pPr>
              <w:spacing w:before="0" w:after="0"/>
              <w:jc w:val="right"/>
            </w:pPr>
            <w:r>
              <w:rPr>
                <w:b/>
                <w:sz w:val="18"/>
                <w:szCs w:val="18"/>
              </w:rPr>
              <w:t xml:space="preserve">31,628</w:t>
            </w:r>
          </w:p>
        </w:tc>
      </w:tr>
      <w:tr>
        <w:tc>
          <w:tcPr>
            <w:tcW w:w="4872" w:type="dxa"/>
            <w:vAlign w:val="center"/>
          </w:tcPr>
          <w:p>
            <w:pPr>
              <w:spacing w:before="0" w:after="0"/>
              <w:jc w:val="left"/>
            </w:pPr>
            <w:r>
              <w:rPr>
                <w:sz w:val="18"/>
                <w:szCs w:val="18"/>
              </w:rPr>
              <w:t xml:space="preserve">Interest income</w:t>
            </w:r>
          </w:p>
        </w:tc>
        <w:tc>
          <w:tcPr>
            <w:tcW w:w="800" w:type="dxa"/>
            <w:vAlign w:val="center"/>
          </w:tcPr>
          <w:p>
            <w:pPr>
              <w:spacing w:before="0" w:after="0"/>
              <w:jc w:val="left"/>
            </w:pPr>
            <w:r>
              <w:rPr>
                <w:sz w:val="18"/>
                <w:szCs w:val="18"/>
              </w:rPr>
              <w:t xml:space="preserve"/>
            </w:r>
          </w:p>
        </w:tc>
        <w:tc>
          <w:tcPr>
            <w:tcW w:w="1700" w:type="dxa"/>
            <w:vAlign w:val="center"/>
          </w:tcPr>
          <w:p>
            <w:pPr>
              <w:spacing w:before="0" w:after="0"/>
              <w:jc w:val="right"/>
            </w:pPr>
            <w:r>
              <w:rPr>
                <w:sz w:val="18"/>
                <w:szCs w:val="18"/>
              </w:rPr>
              <w:t xml:space="preserve">239</w:t>
            </w:r>
          </w:p>
        </w:tc>
        <w:tc>
          <w:tcPr>
            <w:tcW w:w="1700" w:type="dxa"/>
            <w:vAlign w:val="center"/>
          </w:tcPr>
          <w:p>
            <w:pPr>
              <w:spacing w:before="0" w:after="0"/>
              <w:jc w:val="right"/>
            </w:pPr>
            <w:r>
              <w:rPr>
                <w:sz w:val="18"/>
                <w:szCs w:val="18"/>
              </w:rPr>
              <w:t xml:space="preserve">276</w:t>
            </w:r>
          </w:p>
        </w:tc>
      </w:tr>
      <w:tr>
        <w:tc>
          <w:tcPr>
            <w:tcW w:w="4872" w:type="dxa"/>
            <w:vAlign w:val="center"/>
          </w:tcPr>
          <w:p>
            <w:pPr>
              <w:spacing w:before="0" w:after="0"/>
              <w:jc w:val="left"/>
            </w:pPr>
            <w:r>
              <w:rPr>
                <w:sz w:val="18"/>
                <w:szCs w:val="18"/>
              </w:rPr>
              <w:t xml:space="preserve">Interest expense</w:t>
            </w:r>
          </w:p>
        </w:tc>
        <w:tc>
          <w:tcPr>
            <w:tcW w:w="800" w:type="dxa"/>
            <w:vAlign w:val="center"/>
          </w:tcPr>
          <w:p>
            <w:pPr>
              <w:spacing w:before="0" w:after="0"/>
              <w:jc w:val="left"/>
            </w:pPr>
            <w:r>
              <w:rPr>
                <w:sz w:val="18"/>
                <w:szCs w:val="18"/>
              </w:rPr>
              <w:t xml:space="preserve"/>
            </w:r>
          </w:p>
        </w:tc>
        <w:tc>
          <w:tcPr>
            <w:tcW w:w="1700" w:type="dxa"/>
            <w:vAlign w:val="center"/>
          </w:tcPr>
          <w:p>
            <w:pPr>
              <w:spacing w:before="0" w:after="0"/>
              <w:jc w:val="right"/>
            </w:pPr>
            <w:r>
              <w:rPr>
                <w:sz w:val="18"/>
                <w:szCs w:val="18"/>
              </w:rPr>
              <w:t xml:space="preserve">(912)</w:t>
            </w:r>
          </w:p>
        </w:tc>
        <w:tc>
          <w:tcPr>
            <w:tcW w:w="1700" w:type="dxa"/>
            <w:vAlign w:val="center"/>
          </w:tcPr>
          <w:p>
            <w:pPr>
              <w:spacing w:before="0" w:after="0"/>
              <w:jc w:val="right"/>
            </w:pPr>
            <w:r>
              <w:rPr>
                <w:sz w:val="18"/>
                <w:szCs w:val="18"/>
              </w:rPr>
              <w:t xml:space="preserve">(1,302)</w:t>
            </w:r>
          </w:p>
        </w:tc>
      </w:tr>
      <w:tr>
        <w:tc>
          <w:tcPr>
            <w:tcW w:w="4872" w:type="dxa"/>
            <w:vAlign w:val="center"/>
          </w:tcPr>
          <w:p>
            <w:pPr>
              <w:spacing w:before="0" w:after="0"/>
              <w:jc w:val="left"/>
            </w:pPr>
            <w:r>
              <w:rPr>
                <w:sz w:val="18"/>
                <w:szCs w:val="18"/>
              </w:rPr>
              <w:t xml:space="preserve">Other income (expense), net</w:t>
            </w:r>
          </w:p>
        </w:tc>
        <w:tc>
          <w:tcPr>
            <w:tcW w:w="800" w:type="dxa"/>
            <w:vAlign w:val="center"/>
          </w:tcPr>
          <w:p>
            <w:pPr>
              <w:spacing w:before="0" w:after="0"/>
              <w:jc w:val="left"/>
            </w:pPr>
            <w:r>
              <w:rPr>
                <w:sz w:val="18"/>
                <w:szCs w:val="18"/>
              </w:rPr>
              <w:t xml:space="preserve"/>
            </w:r>
          </w:p>
        </w:tc>
        <w:tc>
          <w:tcPr>
            <w:tcW w:w="1700" w:type="dxa"/>
            <w:vAlign w:val="center"/>
          </w:tcPr>
          <w:p>
            <w:pPr>
              <w:spacing w:before="0" w:after="0"/>
              <w:jc w:val="right"/>
            </w:pPr>
            <w:r>
              <w:rPr>
                <w:sz w:val="18"/>
                <w:szCs w:val="18"/>
              </w:rPr>
              <w:t xml:space="preserve">(32)</w:t>
            </w:r>
          </w:p>
        </w:tc>
        <w:tc>
          <w:tcPr>
            <w:tcW w:w="1700" w:type="dxa"/>
            <w:vAlign w:val="center"/>
          </w:tcPr>
          <w:p>
            <w:pPr>
              <w:spacing w:before="0" w:after="0"/>
              <w:jc w:val="right"/>
            </w:pPr>
            <w:r>
              <w:rPr>
                <w:sz w:val="18"/>
                <w:szCs w:val="18"/>
              </w:rPr>
              <w:t xml:space="preserve">243</w:t>
            </w:r>
          </w:p>
        </w:tc>
      </w:tr>
      <w:tr>
        <w:tc>
          <w:tcPr>
            <w:tcW w:w="4872" w:type="dxa"/>
            <w:vAlign w:val="center"/>
          </w:tcPr>
          <w:p>
            <w:pPr>
              <w:spacing w:before="0" w:after="0"/>
              <w:jc w:val="left"/>
            </w:pPr>
            <w:r>
              <w:rPr>
                <w:b/>
                <w:sz w:val="18"/>
                <w:szCs w:val="18"/>
              </w:rPr>
              <w:t xml:space="preserve">Income before income taxes</w:t>
            </w:r>
          </w:p>
        </w:tc>
        <w:tc>
          <w:tcPr>
            <w:tcW w:w="800" w:type="dxa"/>
            <w:vAlign w:val="center"/>
          </w:tcPr>
          <w:p>
            <w:pPr>
              <w:spacing w:before="0" w:after="0"/>
              <w:jc w:val="left"/>
            </w:pPr>
            <w:r>
              <w:rPr>
                <w:b/>
                <w:sz w:val="18"/>
                <w:szCs w:val="18"/>
              </w:rPr>
              <w:t xml:space="preserve"/>
            </w:r>
          </w:p>
        </w:tc>
        <w:tc>
          <w:tcPr>
            <w:tcW w:w="1700" w:type="dxa"/>
            <w:vAlign w:val="center"/>
          </w:tcPr>
          <w:p>
            <w:pPr>
              <w:spacing w:before="0" w:after="0"/>
              <w:jc w:val="right"/>
            </w:pPr>
            <w:r>
              <w:rPr>
                <w:b/>
                <w:sz w:val="18"/>
                <w:szCs w:val="18"/>
              </w:rPr>
              <w:t xml:space="preserve">25,265</w:t>
            </w:r>
          </w:p>
        </w:tc>
        <w:tc>
          <w:tcPr>
            <w:tcW w:w="1700" w:type="dxa"/>
            <w:vAlign w:val="center"/>
          </w:tcPr>
          <w:p>
            <w:pPr>
              <w:spacing w:before="0" w:after="0"/>
              <w:jc w:val="right"/>
            </w:pPr>
            <w:r>
              <w:rPr>
                <w:b/>
                <w:sz w:val="18"/>
                <w:szCs w:val="18"/>
              </w:rPr>
              <w:t xml:space="preserve">30,845</w:t>
            </w:r>
          </w:p>
        </w:tc>
      </w:tr>
      <w:tr>
        <w:tc>
          <w:tcPr>
            <w:tcW w:w="4872" w:type="dxa"/>
            <w:vAlign w:val="center"/>
          </w:tcPr>
          <w:p>
            <w:pPr>
              <w:spacing w:before="0" w:after="0"/>
              <w:jc w:val="left"/>
            </w:pPr>
            <w:r>
              <w:rPr>
                <w:sz w:val="18"/>
                <w:szCs w:val="18"/>
              </w:rPr>
              <w:t xml:space="preserve">Income tax expense</w:t>
            </w:r>
          </w:p>
        </w:tc>
        <w:tc>
          <w:tcPr>
            <w:tcW w:w="800" w:type="dxa"/>
            <w:vAlign w:val="center"/>
          </w:tcPr>
          <w:p>
            <w:pPr>
              <w:spacing w:before="0" w:after="0"/>
              <w:jc w:val="left"/>
            </w:pPr>
            <w:r>
              <w:rPr>
                <w:sz w:val="18"/>
                <w:szCs w:val="18"/>
              </w:rPr>
              <w:t xml:space="preserve"/>
            </w:r>
          </w:p>
        </w:tc>
        <w:tc>
          <w:tcPr>
            <w:tcW w:w="1700" w:type="dxa"/>
            <w:vAlign w:val="center"/>
          </w:tcPr>
          <w:p>
            <w:pPr>
              <w:spacing w:before="0" w:after="0"/>
              <w:jc w:val="right"/>
            </w:pPr>
            <w:r>
              <w:rPr>
                <w:sz w:val="18"/>
                <w:szCs w:val="18"/>
              </w:rPr>
              <w:t xml:space="preserve">(6,546)</w:t>
            </w:r>
          </w:p>
        </w:tc>
        <w:tc>
          <w:tcPr>
            <w:tcW w:w="1700" w:type="dxa"/>
            <w:vAlign w:val="center"/>
          </w:tcPr>
          <w:p>
            <w:pPr>
              <w:spacing w:before="0" w:after="0"/>
              <w:jc w:val="right"/>
            </w:pPr>
            <w:r>
              <w:rPr>
                <w:sz w:val="18"/>
                <w:szCs w:val="18"/>
              </w:rPr>
              <w:t xml:space="preserve">(8,028)</w:t>
            </w:r>
          </w:p>
        </w:tc>
      </w:tr>
      <w:tr>
        <w:tc>
          <w:tcPr>
            <w:tcW w:w="4872" w:type="dxa"/>
            <w:vAlign w:val="center"/>
          </w:tcPr>
          <w:p>
            <w:pPr>
              <w:spacing w:before="0" w:after="0"/>
              <w:jc w:val="left"/>
            </w:pPr>
            <w:r>
              <w:rPr>
                <w:b/>
                <w:sz w:val="18"/>
                <w:szCs w:val="18"/>
              </w:rPr>
              <w:t xml:space="preserve">Net income</w:t>
            </w:r>
          </w:p>
        </w:tc>
        <w:tc>
          <w:tcPr>
            <w:tcW w:w="800" w:type="dxa"/>
            <w:vAlign w:val="center"/>
          </w:tcPr>
          <w:p>
            <w:pPr>
              <w:spacing w:before="0" w:after="0"/>
              <w:jc w:val="left"/>
            </w:pPr>
            <w:r>
              <w:rPr>
                <w:b/>
                <w:sz w:val="18"/>
                <w:szCs w:val="18"/>
              </w:rPr>
              <w:t xml:space="preserve"/>
            </w:r>
          </w:p>
        </w:tc>
        <w:tc>
          <w:tcPr>
            <w:tcW w:w="1700" w:type="dxa"/>
            <w:vAlign w:val="center"/>
          </w:tcPr>
          <w:p>
            <w:pPr>
              <w:spacing w:before="0" w:after="0"/>
              <w:jc w:val="right"/>
            </w:pPr>
            <w:r>
              <w:rPr>
                <w:b/>
                <w:sz w:val="18"/>
                <w:szCs w:val="18"/>
              </w:rPr>
              <w:t xml:space="preserve">18,719</w:t>
            </w:r>
          </w:p>
        </w:tc>
        <w:tc>
          <w:tcPr>
            <w:tcW w:w="1700" w:type="dxa"/>
            <w:vAlign w:val="center"/>
          </w:tcPr>
          <w:p>
            <w:pPr>
              <w:spacing w:before="0" w:after="0"/>
              <w:jc w:val="right"/>
            </w:pPr>
            <w:r>
              <w:rPr>
                <w:b/>
                <w:sz w:val="18"/>
                <w:szCs w:val="18"/>
              </w:rPr>
              <w:t xml:space="preserve">22,817</w:t>
            </w:r>
          </w:p>
        </w:tc>
      </w:tr>
      <w:tr>
        <w:tc>
          <w:tcPr>
            <w:tcW w:w="4872" w:type="dxa"/>
            <w:vAlign w:val="center"/>
          </w:tcPr>
          <w:p>
            <w:pPr>
              <w:spacing w:before="0" w:after="0"/>
              <w:jc w:val="left"/>
            </w:pPr>
            <w:r>
              <w:rPr>
                <w:sz w:val="18"/>
                <w:szCs w:val="18"/>
              </w:rPr>
              <w:t xml:space="preserve">Earnings per share, basic (in dollars)</w:t>
            </w:r>
          </w:p>
        </w:tc>
        <w:tc>
          <w:tcPr>
            <w:tcW w:w="800" w:type="dxa"/>
            <w:vAlign w:val="center"/>
          </w:tcPr>
          <w:p>
            <w:pPr>
              <w:spacing w:before="0" w:after="0"/>
              <w:jc w:val="left"/>
            </w:pPr>
            <w:r>
              <w:rPr>
                <w:sz w:val="18"/>
                <w:szCs w:val="18"/>
              </w:rPr>
              <w:t xml:space="preserve"/>
            </w:r>
          </w:p>
        </w:tc>
        <w:tc>
          <w:tcPr>
            <w:tcW w:w="1700" w:type="dxa"/>
            <w:vAlign w:val="center"/>
          </w:tcPr>
          <w:p>
            <w:pPr>
              <w:spacing w:before="0" w:after="0"/>
              <w:jc w:val="right"/>
            </w:pPr>
            <w:r>
              <w:rPr>
                <w:sz w:val="18"/>
                <w:szCs w:val="18"/>
              </w:rPr>
              <w:t xml:space="preserve">0.45</w:t>
            </w:r>
          </w:p>
        </w:tc>
        <w:tc>
          <w:tcPr>
            <w:tcW w:w="1700" w:type="dxa"/>
            <w:vAlign w:val="center"/>
          </w:tcPr>
          <w:p>
            <w:pPr>
              <w:spacing w:before="0" w:after="0"/>
              <w:jc w:val="right"/>
            </w:pPr>
            <w:r>
              <w:rPr>
                <w:sz w:val="18"/>
                <w:szCs w:val="18"/>
              </w:rPr>
              <w:t xml:space="preserve">0.55</w:t>
            </w:r>
          </w:p>
        </w:tc>
      </w:tr>
      <w:tr>
        <w:tc>
          <w:tcPr>
            <w:tcW w:w="4872" w:type="dxa"/>
            <w:vAlign w:val="center"/>
          </w:tcPr>
          <w:p>
            <w:pPr>
              <w:spacing w:before="0" w:after="0"/>
              <w:jc w:val="left"/>
            </w:pPr>
            <w:r>
              <w:rPr>
                <w:sz w:val="18"/>
                <w:szCs w:val="18"/>
              </w:rPr>
              <w:t xml:space="preserve">Earnings per share, diluted (in dollars)</w:t>
            </w:r>
          </w:p>
        </w:tc>
        <w:tc>
          <w:tcPr>
            <w:tcW w:w="800" w:type="dxa"/>
            <w:vAlign w:val="center"/>
          </w:tcPr>
          <w:p>
            <w:pPr>
              <w:spacing w:before="0" w:after="0"/>
              <w:jc w:val="left"/>
            </w:pPr>
            <w:r>
              <w:rPr>
                <w:sz w:val="18"/>
                <w:szCs w:val="18"/>
              </w:rPr>
              <w:t xml:space="preserve"/>
            </w:r>
          </w:p>
        </w:tc>
        <w:tc>
          <w:tcPr>
            <w:tcW w:w="1700" w:type="dxa"/>
            <w:vAlign w:val="center"/>
          </w:tcPr>
          <w:p>
            <w:pPr>
              <w:spacing w:before="0" w:after="0"/>
              <w:jc w:val="right"/>
            </w:pPr>
            <w:r>
              <w:rPr>
                <w:sz w:val="18"/>
                <w:szCs w:val="18"/>
              </w:rPr>
              <w:t xml:space="preserve">0.44</w:t>
            </w:r>
          </w:p>
        </w:tc>
        <w:tc>
          <w:tcPr>
            <w:tcW w:w="1700" w:type="dxa"/>
            <w:vAlign w:val="center"/>
          </w:tcPr>
          <w:p>
            <w:pPr>
              <w:spacing w:before="0" w:after="0"/>
              <w:jc w:val="right"/>
            </w:pPr>
            <w:r>
              <w:rPr>
                <w:sz w:val="18"/>
                <w:szCs w:val="18"/>
              </w:rPr>
              <w:t xml:space="preserve">0.54</w:t>
            </w:r>
          </w:p>
        </w:tc>
      </w:tr>
    </w:tbl>
    <w:p>
      <w:pPr/>
    </w:p>
    <w:p>
      <w:r>
        <w:br w:type="page"/>
      </w:r>
    </w:p>
    <w:p>
      <w:pPr>
        <w:pStyle w:val="Heading3"/>
        <w:keepNext/>
      </w:pPr>
      <w:r>
        <w:t xml:space="preserve">Statements of Cash Flows</w:t>
      </w:r>
    </w:p>
    <w:p>
      <w:pPr>
        <w:jc w:val="right"/>
      </w:pPr>
      <w:r>
        <w:rPr>
          <w:sz w:val="18"/>
          <w:szCs w:val="18"/>
        </w:rPr>
        <w:t xml:space="preserve">(In thousands of U.S. dollars)</w:t>
      </w:r>
    </w:p>
    <w:tbl>
      <w:tblPr>
        <w:tblW w:w="907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72" w:type="dxa"/>
          <w:right w:w="72" w:type="dxa"/>
        </w:tblCellMar>
      </w:tblPr>
      <w:tblGrid>
        <w:gridCol w:w="4872"/>
        <w:gridCol w:w="800"/>
        <w:gridCol w:w="1700"/>
        <w:gridCol w:w="1700"/>
      </w:tblGrid>
      <w:tr>
        <w:trPr>
          <w:tblHeader/>
        </w:trPr>
        <w:tc>
          <w:tcPr>
            <w:tcW w:w="4872" w:type="dxa"/>
            <w:shd w:val="clear" w:color="auto" w:fill="DDEBF7"/>
            <w:vAlign w:val="center"/>
          </w:tcPr>
          <w:p>
            <w:pPr>
              <w:spacing w:before="0" w:after="0"/>
              <w:jc w:val="center"/>
            </w:pPr>
            <w:r>
              <w:rPr>
                <w:b/>
                <w:sz w:val="18"/>
                <w:szCs w:val="18"/>
              </w:rPr>
              <w:t xml:space="preserve"/>
            </w:r>
          </w:p>
        </w:tc>
        <w:tc>
          <w:tcPr>
            <w:tcW w:w="800" w:type="dxa"/>
            <w:shd w:val="clear" w:color="auto" w:fill="DDEBF7"/>
            <w:vAlign w:val="center"/>
          </w:tcPr>
          <w:p>
            <w:pPr>
              <w:spacing w:before="0" w:after="0"/>
              <w:jc w:val="center"/>
            </w:pPr>
            <w:r>
              <w:rPr>
                <w:b/>
                <w:sz w:val="18"/>
                <w:szCs w:val="18"/>
              </w:rPr>
              <w:t xml:space="preserve">Note</w:t>
            </w:r>
          </w:p>
        </w:tc>
        <w:tc>
          <w:tcPr>
            <w:tcW w:w="1700" w:type="dxa"/>
            <w:shd w:val="clear" w:color="auto" w:fill="DDEBF7"/>
            <w:vAlign w:val="center"/>
          </w:tcPr>
          <w:p>
            <w:pPr>
              <w:spacing w:before="0" w:after="0"/>
              <w:jc w:val="center"/>
            </w:pPr>
            <w:r>
              <w:rPr>
                <w:b/>
                <w:sz w:val="18"/>
                <w:szCs w:val="18"/>
              </w:rPr>
              <w:t xml:space="preserve">FY2023</w:t>
            </w:r>
          </w:p>
        </w:tc>
        <w:tc>
          <w:tcPr>
            <w:tcW w:w="1700" w:type="dxa"/>
            <w:shd w:val="clear" w:color="auto" w:fill="DDEBF7"/>
            <w:vAlign w:val="center"/>
          </w:tcPr>
          <w:p>
            <w:pPr>
              <w:spacing w:before="0" w:after="0"/>
              <w:jc w:val="center"/>
            </w:pPr>
            <w:r>
              <w:rPr>
                <w:b/>
                <w:sz w:val="18"/>
                <w:szCs w:val="18"/>
              </w:rPr>
              <w:t xml:space="preserve">FY2024</w:t>
            </w:r>
          </w:p>
        </w:tc>
      </w:tr>
      <w:tr>
        <w:tc>
          <w:tcPr>
            <w:tcW w:w="4872" w:type="dxa"/>
            <w:vAlign w:val="center"/>
          </w:tcPr>
          <w:p>
            <w:pPr>
              <w:spacing w:before="0" w:after="0"/>
              <w:jc w:val="left"/>
            </w:pPr>
            <w:r>
              <w:rPr>
                <w:b/>
                <w:sz w:val="18"/>
                <w:szCs w:val="18"/>
              </w:rPr>
              <w:t xml:space="preserve">Cash flows from operating activities</w:t>
            </w:r>
          </w:p>
        </w:tc>
        <w:tc>
          <w:tcPr>
            <w:tcW w:w="800" w:type="dxa"/>
            <w:vAlign w:val="center"/>
          </w:tcPr>
          <w:p>
            <w:pPr>
              <w:spacing w:before="0" w:after="0"/>
              <w:jc w:val="left"/>
            </w:pPr>
            <w:r>
              <w:rPr>
                <w:b/>
                <w:sz w:val="18"/>
                <w:szCs w:val="18"/>
              </w:rPr>
              <w:t xml:space="preserve"/>
            </w:r>
          </w:p>
        </w:tc>
        <w:tc>
          <w:tcPr>
            <w:tcW w:w="1700" w:type="dxa"/>
            <w:vAlign w:val="center"/>
          </w:tcPr>
          <w:p>
            <w:pPr>
              <w:spacing w:before="0" w:after="0"/>
              <w:jc w:val="right"/>
            </w:pPr>
            <w:r>
              <w:rPr>
                <w:b/>
                <w:sz w:val="18"/>
                <w:szCs w:val="18"/>
              </w:rPr>
              <w:t xml:space="preserve"/>
            </w:r>
          </w:p>
        </w:tc>
        <w:tc>
          <w:tcPr>
            <w:tcW w:w="1700" w:type="dxa"/>
            <w:vAlign w:val="center"/>
          </w:tcPr>
          <w:p>
            <w:pPr>
              <w:spacing w:before="0" w:after="0"/>
              <w:jc w:val="right"/>
            </w:pPr>
            <w:r>
              <w:rPr>
                <w:b/>
                <w:sz w:val="18"/>
                <w:szCs w:val="18"/>
              </w:rPr>
              <w:t xml:space="preserve"/>
            </w:r>
          </w:p>
        </w:tc>
      </w:tr>
      <w:tr>
        <w:tc>
          <w:tcPr>
            <w:tcW w:w="4872" w:type="dxa"/>
            <w:vAlign w:val="center"/>
          </w:tcPr>
          <w:p>
            <w:pPr>
              <w:spacing w:before="0" w:after="0"/>
              <w:jc w:val="left"/>
            </w:pPr>
            <w:r>
              <w:rPr>
                <w:sz w:val="18"/>
                <w:szCs w:val="18"/>
              </w:rPr>
              <w:t xml:space="preserve">Net income</w:t>
            </w:r>
          </w:p>
        </w:tc>
        <w:tc>
          <w:tcPr>
            <w:tcW w:w="800" w:type="dxa"/>
            <w:vAlign w:val="center"/>
          </w:tcPr>
          <w:p>
            <w:pPr>
              <w:spacing w:before="0" w:after="0"/>
              <w:jc w:val="left"/>
            </w:pPr>
            <w:r>
              <w:rPr>
                <w:sz w:val="18"/>
                <w:szCs w:val="18"/>
              </w:rPr>
              <w:t xml:space="preserve"/>
            </w:r>
          </w:p>
        </w:tc>
        <w:tc>
          <w:tcPr>
            <w:tcW w:w="1700" w:type="dxa"/>
            <w:vAlign w:val="center"/>
          </w:tcPr>
          <w:p>
            <w:pPr>
              <w:spacing w:before="0" w:after="0"/>
              <w:jc w:val="right"/>
            </w:pPr>
            <w:r>
              <w:rPr>
                <w:sz w:val="18"/>
                <w:szCs w:val="18"/>
              </w:rPr>
              <w:t xml:space="preserve">18,719</w:t>
            </w:r>
          </w:p>
        </w:tc>
        <w:tc>
          <w:tcPr>
            <w:tcW w:w="1700" w:type="dxa"/>
            <w:vAlign w:val="center"/>
          </w:tcPr>
          <w:p>
            <w:pPr>
              <w:spacing w:before="0" w:after="0"/>
              <w:jc w:val="right"/>
            </w:pPr>
            <w:r>
              <w:rPr>
                <w:sz w:val="18"/>
                <w:szCs w:val="18"/>
              </w:rPr>
              <w:t xml:space="preserve">22,817</w:t>
            </w:r>
          </w:p>
        </w:tc>
      </w:tr>
      <w:tr>
        <w:tc>
          <w:tcPr>
            <w:tcW w:w="4872" w:type="dxa"/>
            <w:vAlign w:val="center"/>
          </w:tcPr>
          <w:p>
            <w:pPr>
              <w:spacing w:before="0" w:after="0"/>
              <w:jc w:val="left"/>
            </w:pPr>
            <w:r>
              <w:rPr>
                <w:sz w:val="18"/>
                <w:szCs w:val="18"/>
              </w:rPr>
              <w:t xml:space="preserve">Depreciation and amortization</w:t>
            </w:r>
          </w:p>
        </w:tc>
        <w:tc>
          <w:tcPr>
            <w:tcW w:w="800" w:type="dxa"/>
            <w:vAlign w:val="center"/>
          </w:tcPr>
          <w:p>
            <w:pPr>
              <w:spacing w:before="0" w:after="0"/>
              <w:jc w:val="left"/>
            </w:pPr>
            <w:r>
              <w:rPr>
                <w:sz w:val="18"/>
                <w:szCs w:val="18"/>
              </w:rPr>
              <w:t xml:space="preserve"/>
            </w:r>
          </w:p>
        </w:tc>
        <w:tc>
          <w:tcPr>
            <w:tcW w:w="1700" w:type="dxa"/>
            <w:vAlign w:val="center"/>
          </w:tcPr>
          <w:p>
            <w:pPr>
              <w:spacing w:before="0" w:after="0"/>
              <w:jc w:val="right"/>
            </w:pPr>
            <w:r>
              <w:rPr>
                <w:sz w:val="18"/>
                <w:szCs w:val="18"/>
              </w:rPr>
              <w:t xml:space="preserve">12,354</w:t>
            </w:r>
          </w:p>
        </w:tc>
        <w:tc>
          <w:tcPr>
            <w:tcW w:w="1700" w:type="dxa"/>
            <w:vAlign w:val="center"/>
          </w:tcPr>
          <w:p>
            <w:pPr>
              <w:spacing w:before="0" w:after="0"/>
              <w:jc w:val="right"/>
            </w:pPr>
            <w:r>
              <w:rPr>
                <w:sz w:val="18"/>
                <w:szCs w:val="18"/>
              </w:rPr>
              <w:t xml:space="preserve">13,995</w:t>
            </w:r>
          </w:p>
        </w:tc>
      </w:tr>
      <w:tr>
        <w:tc>
          <w:tcPr>
            <w:tcW w:w="4872" w:type="dxa"/>
            <w:vAlign w:val="center"/>
          </w:tcPr>
          <w:p>
            <w:pPr>
              <w:spacing w:before="0" w:after="0"/>
              <w:jc w:val="left"/>
            </w:pPr>
            <w:r>
              <w:rPr>
                <w:sz w:val="18"/>
                <w:szCs w:val="18"/>
              </w:rPr>
              <w:t xml:space="preserve">Stock-based compensation</w:t>
            </w:r>
          </w:p>
        </w:tc>
        <w:tc>
          <w:tcPr>
            <w:tcW w:w="800" w:type="dxa"/>
            <w:vAlign w:val="center"/>
          </w:tcPr>
          <w:p>
            <w:pPr>
              <w:spacing w:before="0" w:after="0"/>
              <w:jc w:val="left"/>
            </w:pPr>
            <w:r>
              <w:rPr>
                <w:sz w:val="18"/>
                <w:szCs w:val="18"/>
              </w:rPr>
              <w:t xml:space="preserve"/>
            </w:r>
          </w:p>
        </w:tc>
        <w:tc>
          <w:tcPr>
            <w:tcW w:w="1700" w:type="dxa"/>
            <w:vAlign w:val="center"/>
          </w:tcPr>
          <w:p>
            <w:pPr>
              <w:spacing w:before="0" w:after="0"/>
              <w:jc w:val="right"/>
            </w:pPr>
            <w:r>
              <w:rPr>
                <w:sz w:val="18"/>
                <w:szCs w:val="18"/>
              </w:rPr>
              <w:t xml:space="preserve">1,436</w:t>
            </w:r>
          </w:p>
        </w:tc>
        <w:tc>
          <w:tcPr>
            <w:tcW w:w="1700" w:type="dxa"/>
            <w:vAlign w:val="center"/>
          </w:tcPr>
          <w:p>
            <w:pPr>
              <w:spacing w:before="0" w:after="0"/>
              <w:jc w:val="right"/>
            </w:pPr>
            <w:r>
              <w:rPr>
                <w:sz w:val="18"/>
                <w:szCs w:val="18"/>
              </w:rPr>
              <w:t xml:space="preserve">1,656</w:t>
            </w:r>
          </w:p>
        </w:tc>
      </w:tr>
      <w:tr>
        <w:tc>
          <w:tcPr>
            <w:tcW w:w="4872" w:type="dxa"/>
            <w:vAlign w:val="center"/>
          </w:tcPr>
          <w:p>
            <w:pPr>
              <w:spacing w:before="0" w:after="0"/>
              <w:jc w:val="left"/>
            </w:pPr>
            <w:r>
              <w:rPr>
                <w:sz w:val="18"/>
                <w:szCs w:val="18"/>
              </w:rPr>
              <w:t xml:space="preserve">Deferred income taxes</w:t>
            </w:r>
          </w:p>
        </w:tc>
        <w:tc>
          <w:tcPr>
            <w:tcW w:w="800" w:type="dxa"/>
            <w:vAlign w:val="center"/>
          </w:tcPr>
          <w:p>
            <w:pPr>
              <w:spacing w:before="0" w:after="0"/>
              <w:jc w:val="left"/>
            </w:pPr>
            <w:r>
              <w:rPr>
                <w:sz w:val="18"/>
                <w:szCs w:val="18"/>
              </w:rPr>
              <w:t xml:space="preserve"/>
            </w:r>
          </w:p>
        </w:tc>
        <w:tc>
          <w:tcPr>
            <w:tcW w:w="1700" w:type="dxa"/>
            <w:vAlign w:val="center"/>
          </w:tcPr>
          <w:p>
            <w:pPr>
              <w:spacing w:before="0" w:after="0"/>
              <w:jc w:val="right"/>
            </w:pPr>
            <w:r>
              <w:rPr>
                <w:sz w:val="18"/>
                <w:szCs w:val="18"/>
              </w:rPr>
              <w:t xml:space="preserve">(69)</w:t>
            </w:r>
          </w:p>
        </w:tc>
        <w:tc>
          <w:tcPr>
            <w:tcW w:w="1700" w:type="dxa"/>
            <w:vAlign w:val="center"/>
          </w:tcPr>
          <w:p>
            <w:pPr>
              <w:spacing w:before="0" w:after="0"/>
              <w:jc w:val="right"/>
            </w:pPr>
            <w:r>
              <w:rPr>
                <w:sz w:val="18"/>
                <w:szCs w:val="18"/>
              </w:rPr>
              <w:t xml:space="preserve">281</w:t>
            </w:r>
          </w:p>
        </w:tc>
      </w:tr>
      <w:tr>
        <w:tc>
          <w:tcPr>
            <w:tcW w:w="4872" w:type="dxa"/>
            <w:vAlign w:val="center"/>
          </w:tcPr>
          <w:p>
            <w:pPr>
              <w:spacing w:before="0" w:after="0"/>
              <w:jc w:val="left"/>
            </w:pPr>
            <w:r>
              <w:rPr>
                <w:sz w:val="18"/>
                <w:szCs w:val="18"/>
              </w:rPr>
              <w:t xml:space="preserve">Inventories</w:t>
            </w:r>
          </w:p>
        </w:tc>
        <w:tc>
          <w:tcPr>
            <w:tcW w:w="800" w:type="dxa"/>
            <w:vAlign w:val="center"/>
          </w:tcPr>
          <w:p>
            <w:pPr>
              <w:spacing w:before="0" w:after="0"/>
              <w:jc w:val="left"/>
            </w:pPr>
            <w:r>
              <w:rPr>
                <w:sz w:val="18"/>
                <w:szCs w:val="18"/>
              </w:rPr>
              <w:t xml:space="preserve"/>
            </w:r>
          </w:p>
        </w:tc>
        <w:tc>
          <w:tcPr>
            <w:tcW w:w="1700" w:type="dxa"/>
            <w:vAlign w:val="center"/>
          </w:tcPr>
          <w:p>
            <w:pPr>
              <w:spacing w:before="0" w:after="0"/>
              <w:jc w:val="right"/>
            </w:pPr>
            <w:r>
              <w:rPr>
                <w:sz w:val="18"/>
                <w:szCs w:val="18"/>
              </w:rPr>
              <w:t xml:space="preserve">(1,135)</w:t>
            </w:r>
          </w:p>
        </w:tc>
        <w:tc>
          <w:tcPr>
            <w:tcW w:w="1700" w:type="dxa"/>
            <w:vAlign w:val="center"/>
          </w:tcPr>
          <w:p>
            <w:pPr>
              <w:spacing w:before="0" w:after="0"/>
              <w:jc w:val="right"/>
            </w:pPr>
            <w:r>
              <w:rPr>
                <w:sz w:val="18"/>
                <w:szCs w:val="18"/>
              </w:rPr>
              <w:t xml:space="preserve">(1,602)</w:t>
            </w:r>
          </w:p>
        </w:tc>
      </w:tr>
      <w:tr>
        <w:tc>
          <w:tcPr>
            <w:tcW w:w="4872" w:type="dxa"/>
            <w:vAlign w:val="center"/>
          </w:tcPr>
          <w:p>
            <w:pPr>
              <w:spacing w:before="0" w:after="0"/>
              <w:jc w:val="left"/>
            </w:pPr>
            <w:r>
              <w:rPr>
                <w:sz w:val="18"/>
                <w:szCs w:val="18"/>
              </w:rPr>
              <w:t xml:space="preserve">Accounts receivable</w:t>
            </w:r>
          </w:p>
        </w:tc>
        <w:tc>
          <w:tcPr>
            <w:tcW w:w="800" w:type="dxa"/>
            <w:vAlign w:val="center"/>
          </w:tcPr>
          <w:p>
            <w:pPr>
              <w:spacing w:before="0" w:after="0"/>
              <w:jc w:val="left"/>
            </w:pPr>
            <w:r>
              <w:rPr>
                <w:sz w:val="18"/>
                <w:szCs w:val="18"/>
              </w:rPr>
              <w:t xml:space="preserve"/>
            </w:r>
          </w:p>
        </w:tc>
        <w:tc>
          <w:tcPr>
            <w:tcW w:w="1700" w:type="dxa"/>
            <w:vAlign w:val="center"/>
          </w:tcPr>
          <w:p>
            <w:pPr>
              <w:spacing w:before="0" w:after="0"/>
              <w:jc w:val="right"/>
            </w:pPr>
            <w:r>
              <w:rPr>
                <w:sz w:val="18"/>
                <w:szCs w:val="18"/>
              </w:rPr>
              <w:t xml:space="preserve">(516)</w:t>
            </w:r>
          </w:p>
        </w:tc>
        <w:tc>
          <w:tcPr>
            <w:tcW w:w="1700" w:type="dxa"/>
            <w:vAlign w:val="center"/>
          </w:tcPr>
          <w:p>
            <w:pPr>
              <w:spacing w:before="0" w:after="0"/>
              <w:jc w:val="right"/>
            </w:pPr>
            <w:r>
              <w:rPr>
                <w:sz w:val="18"/>
                <w:szCs w:val="18"/>
              </w:rPr>
              <w:t xml:space="preserve">(617)</w:t>
            </w:r>
          </w:p>
        </w:tc>
      </w:tr>
      <w:tr>
        <w:tc>
          <w:tcPr>
            <w:tcW w:w="4872" w:type="dxa"/>
            <w:vAlign w:val="center"/>
          </w:tcPr>
          <w:p>
            <w:pPr>
              <w:spacing w:before="0" w:after="0"/>
              <w:jc w:val="left"/>
            </w:pPr>
            <w:r>
              <w:rPr>
                <w:sz w:val="18"/>
                <w:szCs w:val="18"/>
              </w:rPr>
              <w:t xml:space="preserve">Accounts payable</w:t>
            </w:r>
          </w:p>
        </w:tc>
        <w:tc>
          <w:tcPr>
            <w:tcW w:w="800" w:type="dxa"/>
            <w:vAlign w:val="center"/>
          </w:tcPr>
          <w:p>
            <w:pPr>
              <w:spacing w:before="0" w:after="0"/>
              <w:jc w:val="left"/>
            </w:pPr>
            <w:r>
              <w:rPr>
                <w:sz w:val="18"/>
                <w:szCs w:val="18"/>
              </w:rPr>
              <w:t xml:space="preserve"/>
            </w:r>
          </w:p>
        </w:tc>
        <w:tc>
          <w:tcPr>
            <w:tcW w:w="1700" w:type="dxa"/>
            <w:vAlign w:val="center"/>
          </w:tcPr>
          <w:p>
            <w:pPr>
              <w:spacing w:before="0" w:after="0"/>
              <w:jc w:val="right"/>
            </w:pPr>
            <w:r>
              <w:rPr>
                <w:sz w:val="18"/>
                <w:szCs w:val="18"/>
              </w:rPr>
              <w:t xml:space="preserve">995</w:t>
            </w:r>
          </w:p>
        </w:tc>
        <w:tc>
          <w:tcPr>
            <w:tcW w:w="1700" w:type="dxa"/>
            <w:vAlign w:val="center"/>
          </w:tcPr>
          <w:p>
            <w:pPr>
              <w:spacing w:before="0" w:after="0"/>
              <w:jc w:val="right"/>
            </w:pPr>
            <w:r>
              <w:rPr>
                <w:sz w:val="18"/>
                <w:szCs w:val="18"/>
              </w:rPr>
              <w:t xml:space="preserve">1,035</w:t>
            </w:r>
          </w:p>
        </w:tc>
      </w:tr>
      <w:tr>
        <w:tc>
          <w:tcPr>
            <w:tcW w:w="4872" w:type="dxa"/>
            <w:vAlign w:val="center"/>
          </w:tcPr>
          <w:p>
            <w:pPr>
              <w:spacing w:before="0" w:after="0"/>
              <w:jc w:val="left"/>
            </w:pPr>
            <w:r>
              <w:rPr>
                <w:sz w:val="18"/>
                <w:szCs w:val="18"/>
              </w:rPr>
              <w:t xml:space="preserve">Deferred revenue</w:t>
            </w:r>
          </w:p>
        </w:tc>
        <w:tc>
          <w:tcPr>
            <w:tcW w:w="800" w:type="dxa"/>
            <w:vAlign w:val="center"/>
          </w:tcPr>
          <w:p>
            <w:pPr>
              <w:spacing w:before="0" w:after="0"/>
              <w:jc w:val="left"/>
            </w:pPr>
            <w:r>
              <w:rPr>
                <w:sz w:val="18"/>
                <w:szCs w:val="18"/>
              </w:rPr>
              <w:t xml:space="preserve"/>
            </w:r>
          </w:p>
        </w:tc>
        <w:tc>
          <w:tcPr>
            <w:tcW w:w="1700" w:type="dxa"/>
            <w:vAlign w:val="center"/>
          </w:tcPr>
          <w:p>
            <w:pPr>
              <w:spacing w:before="0" w:after="0"/>
              <w:jc w:val="right"/>
            </w:pPr>
            <w:r>
              <w:rPr>
                <w:sz w:val="18"/>
                <w:szCs w:val="18"/>
              </w:rPr>
              <w:t xml:space="preserve">743</w:t>
            </w:r>
          </w:p>
        </w:tc>
        <w:tc>
          <w:tcPr>
            <w:tcW w:w="1700" w:type="dxa"/>
            <w:vAlign w:val="center"/>
          </w:tcPr>
          <w:p>
            <w:pPr>
              <w:spacing w:before="0" w:after="0"/>
              <w:jc w:val="right"/>
            </w:pPr>
            <w:r>
              <w:rPr>
                <w:sz w:val="18"/>
                <w:szCs w:val="18"/>
              </w:rPr>
              <w:t xml:space="preserve">1,019</w:t>
            </w:r>
          </w:p>
        </w:tc>
      </w:tr>
      <w:tr>
        <w:tc>
          <w:tcPr>
            <w:tcW w:w="4872" w:type="dxa"/>
            <w:vAlign w:val="center"/>
          </w:tcPr>
          <w:p>
            <w:pPr>
              <w:spacing w:before="0" w:after="0"/>
              <w:jc w:val="left"/>
            </w:pPr>
            <w:r>
              <w:rPr>
                <w:sz w:val="18"/>
                <w:szCs w:val="18"/>
              </w:rPr>
              <w:t xml:space="preserve">Other accrued liabilities</w:t>
            </w:r>
          </w:p>
        </w:tc>
        <w:tc>
          <w:tcPr>
            <w:tcW w:w="800" w:type="dxa"/>
            <w:vAlign w:val="center"/>
          </w:tcPr>
          <w:p>
            <w:pPr>
              <w:spacing w:before="0" w:after="0"/>
              <w:jc w:val="left"/>
            </w:pPr>
            <w:r>
              <w:rPr>
                <w:sz w:val="18"/>
                <w:szCs w:val="18"/>
              </w:rPr>
              <w:t xml:space="preserve"/>
            </w:r>
          </w:p>
        </w:tc>
        <w:tc>
          <w:tcPr>
            <w:tcW w:w="1700" w:type="dxa"/>
            <w:vAlign w:val="center"/>
          </w:tcPr>
          <w:p>
            <w:pPr>
              <w:spacing w:before="0" w:after="0"/>
              <w:jc w:val="right"/>
            </w:pPr>
            <w:r>
              <w:rPr>
                <w:sz w:val="18"/>
                <w:szCs w:val="18"/>
              </w:rPr>
              <w:t xml:space="preserve">(202)</w:t>
            </w:r>
          </w:p>
        </w:tc>
        <w:tc>
          <w:tcPr>
            <w:tcW w:w="1700" w:type="dxa"/>
            <w:vAlign w:val="center"/>
          </w:tcPr>
          <w:p>
            <w:pPr>
              <w:spacing w:before="0" w:after="0"/>
              <w:jc w:val="right"/>
            </w:pPr>
            <w:r>
              <w:rPr>
                <w:sz w:val="18"/>
                <w:szCs w:val="18"/>
              </w:rPr>
              <w:t xml:space="preserve">(333)</w:t>
            </w:r>
          </w:p>
        </w:tc>
      </w:tr>
      <w:tr>
        <w:tc>
          <w:tcPr>
            <w:tcW w:w="4872" w:type="dxa"/>
            <w:vAlign w:val="center"/>
          </w:tcPr>
          <w:p>
            <w:pPr>
              <w:spacing w:before="0" w:after="0"/>
              <w:jc w:val="left"/>
            </w:pPr>
            <w:r>
              <w:rPr>
                <w:b/>
                <w:sz w:val="18"/>
                <w:szCs w:val="18"/>
              </w:rPr>
              <w:t xml:space="preserve">Net cash provided by operating activities</w:t>
            </w:r>
          </w:p>
        </w:tc>
        <w:tc>
          <w:tcPr>
            <w:tcW w:w="800" w:type="dxa"/>
            <w:vAlign w:val="center"/>
          </w:tcPr>
          <w:p>
            <w:pPr>
              <w:spacing w:before="0" w:after="0"/>
              <w:jc w:val="left"/>
            </w:pPr>
            <w:r>
              <w:rPr>
                <w:b/>
                <w:sz w:val="18"/>
                <w:szCs w:val="18"/>
              </w:rPr>
              <w:t xml:space="preserve"/>
            </w:r>
          </w:p>
        </w:tc>
        <w:tc>
          <w:tcPr>
            <w:tcW w:w="1700" w:type="dxa"/>
            <w:vAlign w:val="center"/>
          </w:tcPr>
          <w:p>
            <w:pPr>
              <w:spacing w:before="0" w:after="0"/>
              <w:jc w:val="right"/>
            </w:pPr>
            <w:r>
              <w:rPr>
                <w:b/>
                <w:sz w:val="18"/>
                <w:szCs w:val="18"/>
              </w:rPr>
              <w:t xml:space="preserve">32,324</w:t>
            </w:r>
          </w:p>
        </w:tc>
        <w:tc>
          <w:tcPr>
            <w:tcW w:w="1700" w:type="dxa"/>
            <w:vAlign w:val="center"/>
          </w:tcPr>
          <w:p>
            <w:pPr>
              <w:spacing w:before="0" w:after="0"/>
              <w:jc w:val="right"/>
            </w:pPr>
            <w:r>
              <w:rPr>
                <w:b/>
                <w:sz w:val="18"/>
                <w:szCs w:val="18"/>
              </w:rPr>
              <w:t xml:space="preserve">38,250</w:t>
            </w:r>
          </w:p>
        </w:tc>
      </w:tr>
      <w:tr>
        <w:tc>
          <w:tcPr>
            <w:tcW w:w="4872" w:type="dxa"/>
            <w:vAlign w:val="center"/>
          </w:tcPr>
          <w:p>
            <w:pPr>
              <w:spacing w:before="0" w:after="0"/>
              <w:jc w:val="left"/>
            </w:pPr>
            <w:r>
              <w:rPr>
                <w:b/>
                <w:sz w:val="18"/>
                <w:szCs w:val="18"/>
              </w:rPr>
              <w:t xml:space="preserve">Cash flows from investing activities</w:t>
            </w:r>
          </w:p>
        </w:tc>
        <w:tc>
          <w:tcPr>
            <w:tcW w:w="800" w:type="dxa"/>
            <w:vAlign w:val="center"/>
          </w:tcPr>
          <w:p>
            <w:pPr>
              <w:spacing w:before="0" w:after="0"/>
              <w:jc w:val="left"/>
            </w:pPr>
            <w:r>
              <w:rPr>
                <w:b/>
                <w:sz w:val="18"/>
                <w:szCs w:val="18"/>
              </w:rPr>
              <w:t xml:space="preserve"/>
            </w:r>
          </w:p>
        </w:tc>
        <w:tc>
          <w:tcPr>
            <w:tcW w:w="1700" w:type="dxa"/>
            <w:vAlign w:val="center"/>
          </w:tcPr>
          <w:p>
            <w:pPr>
              <w:spacing w:before="0" w:after="0"/>
              <w:jc w:val="right"/>
            </w:pPr>
            <w:r>
              <w:rPr>
                <w:b/>
                <w:sz w:val="18"/>
                <w:szCs w:val="18"/>
              </w:rPr>
              <w:t xml:space="preserve"/>
            </w:r>
          </w:p>
        </w:tc>
        <w:tc>
          <w:tcPr>
            <w:tcW w:w="1700" w:type="dxa"/>
            <w:vAlign w:val="center"/>
          </w:tcPr>
          <w:p>
            <w:pPr>
              <w:spacing w:before="0" w:after="0"/>
              <w:jc w:val="right"/>
            </w:pPr>
            <w:r>
              <w:rPr>
                <w:b/>
                <w:sz w:val="18"/>
                <w:szCs w:val="18"/>
              </w:rPr>
              <w:t xml:space="preserve"/>
            </w:r>
          </w:p>
        </w:tc>
      </w:tr>
      <w:tr>
        <w:tc>
          <w:tcPr>
            <w:tcW w:w="4872" w:type="dxa"/>
            <w:vAlign w:val="center"/>
          </w:tcPr>
          <w:p>
            <w:pPr>
              <w:spacing w:before="0" w:after="0"/>
              <w:jc w:val="left"/>
            </w:pPr>
            <w:r>
              <w:rPr>
                <w:sz w:val="18"/>
                <w:szCs w:val="18"/>
              </w:rPr>
              <w:t xml:space="preserve">Purchases of property and equipment</w:t>
            </w:r>
          </w:p>
        </w:tc>
        <w:tc>
          <w:tcPr>
            <w:tcW w:w="800" w:type="dxa"/>
            <w:vAlign w:val="center"/>
          </w:tcPr>
          <w:p>
            <w:pPr>
              <w:spacing w:before="0" w:after="0"/>
              <w:jc w:val="left"/>
            </w:pPr>
            <w:r>
              <w:rPr>
                <w:sz w:val="18"/>
                <w:szCs w:val="18"/>
              </w:rPr>
              <w:t xml:space="preserve"/>
            </w:r>
          </w:p>
        </w:tc>
        <w:tc>
          <w:tcPr>
            <w:tcW w:w="1700" w:type="dxa"/>
            <w:vAlign w:val="center"/>
          </w:tcPr>
          <w:p>
            <w:pPr>
              <w:spacing w:before="0" w:after="0"/>
              <w:jc w:val="right"/>
            </w:pPr>
            <w:r>
              <w:rPr>
                <w:sz w:val="18"/>
                <w:szCs w:val="18"/>
              </w:rPr>
              <w:t xml:space="preserve">(23,923)</w:t>
            </w:r>
          </w:p>
        </w:tc>
        <w:tc>
          <w:tcPr>
            <w:tcW w:w="1700" w:type="dxa"/>
            <w:vAlign w:val="center"/>
          </w:tcPr>
          <w:p>
            <w:pPr>
              <w:spacing w:before="0" w:after="0"/>
              <w:jc w:val="right"/>
            </w:pPr>
            <w:r>
              <w:rPr>
                <w:sz w:val="18"/>
                <w:szCs w:val="18"/>
              </w:rPr>
              <w:t xml:space="preserve">(27,529)</w:t>
            </w:r>
          </w:p>
        </w:tc>
      </w:tr>
      <w:tr>
        <w:tc>
          <w:tcPr>
            <w:tcW w:w="4872" w:type="dxa"/>
            <w:vAlign w:val="center"/>
          </w:tcPr>
          <w:p>
            <w:pPr>
              <w:spacing w:before="0" w:after="0"/>
              <w:jc w:val="left"/>
            </w:pPr>
            <w:r>
              <w:rPr>
                <w:sz w:val="18"/>
                <w:szCs w:val="18"/>
              </w:rPr>
              <w:t xml:space="preserve">Purchases of roasting equipment</w:t>
            </w:r>
          </w:p>
        </w:tc>
        <w:tc>
          <w:tcPr>
            <w:tcW w:w="800" w:type="dxa"/>
            <w:vAlign w:val="center"/>
          </w:tcPr>
          <w:p>
            <w:pPr>
              <w:spacing w:before="0" w:after="0"/>
              <w:jc w:val="left"/>
            </w:pPr>
            <w:r>
              <w:rPr>
                <w:sz w:val="18"/>
                <w:szCs w:val="18"/>
              </w:rPr>
              <w:t xml:space="preserve"/>
            </w:r>
          </w:p>
        </w:tc>
        <w:tc>
          <w:tcPr>
            <w:tcW w:w="1700" w:type="dxa"/>
            <w:vAlign w:val="center"/>
          </w:tcPr>
          <w:p>
            <w:pPr>
              <w:spacing w:before="0" w:after="0"/>
              <w:jc w:val="right"/>
            </w:pPr>
            <w:r>
              <w:rPr>
                <w:sz w:val="18"/>
                <w:szCs w:val="18"/>
              </w:rPr>
              <w:t xml:space="preserve">(3,219)</w:t>
            </w:r>
          </w:p>
        </w:tc>
        <w:tc>
          <w:tcPr>
            <w:tcW w:w="1700" w:type="dxa"/>
            <w:vAlign w:val="center"/>
          </w:tcPr>
          <w:p>
            <w:pPr>
              <w:spacing w:before="0" w:after="0"/>
              <w:jc w:val="right"/>
            </w:pPr>
            <w:r>
              <w:rPr>
                <w:sz w:val="18"/>
                <w:szCs w:val="18"/>
              </w:rPr>
              <w:t xml:space="preserve">(3,951)</w:t>
            </w:r>
          </w:p>
        </w:tc>
      </w:tr>
      <w:tr>
        <w:tc>
          <w:tcPr>
            <w:tcW w:w="4872" w:type="dxa"/>
            <w:vAlign w:val="center"/>
          </w:tcPr>
          <w:p>
            <w:pPr>
              <w:spacing w:before="0" w:after="0"/>
              <w:jc w:val="left"/>
            </w:pPr>
            <w:r>
              <w:rPr>
                <w:sz w:val="18"/>
                <w:szCs w:val="18"/>
              </w:rPr>
              <w:t xml:space="preserve">Purchases of short-term investments</w:t>
            </w:r>
          </w:p>
        </w:tc>
        <w:tc>
          <w:tcPr>
            <w:tcW w:w="800" w:type="dxa"/>
            <w:vAlign w:val="center"/>
          </w:tcPr>
          <w:p>
            <w:pPr>
              <w:spacing w:before="0" w:after="0"/>
              <w:jc w:val="left"/>
            </w:pPr>
            <w:r>
              <w:rPr>
                <w:sz w:val="18"/>
                <w:szCs w:val="18"/>
              </w:rPr>
              <w:t xml:space="preserve"/>
            </w:r>
          </w:p>
        </w:tc>
        <w:tc>
          <w:tcPr>
            <w:tcW w:w="1700" w:type="dxa"/>
            <w:vAlign w:val="center"/>
          </w:tcPr>
          <w:p>
            <w:pPr>
              <w:spacing w:before="0" w:after="0"/>
              <w:jc w:val="right"/>
            </w:pPr>
            <w:r>
              <w:rPr>
                <w:sz w:val="18"/>
                <w:szCs w:val="18"/>
              </w:rPr>
              <w:t xml:space="preserve">(3,659)</w:t>
            </w:r>
          </w:p>
        </w:tc>
        <w:tc>
          <w:tcPr>
            <w:tcW w:w="1700" w:type="dxa"/>
            <w:vAlign w:val="center"/>
          </w:tcPr>
          <w:p>
            <w:pPr>
              <w:spacing w:before="0" w:after="0"/>
              <w:jc w:val="right"/>
            </w:pPr>
            <w:r>
              <w:rPr>
                <w:sz w:val="18"/>
                <w:szCs w:val="18"/>
              </w:rPr>
              <w:t xml:space="preserve">(3,121)</w:t>
            </w:r>
          </w:p>
        </w:tc>
      </w:tr>
      <w:tr>
        <w:tc>
          <w:tcPr>
            <w:tcW w:w="4872" w:type="dxa"/>
            <w:vAlign w:val="center"/>
          </w:tcPr>
          <w:p>
            <w:pPr>
              <w:spacing w:before="0" w:after="0"/>
              <w:jc w:val="left"/>
            </w:pPr>
            <w:r>
              <w:rPr>
                <w:sz w:val="18"/>
                <w:szCs w:val="18"/>
              </w:rPr>
              <w:t xml:space="preserve">Maturities of short-term investments</w:t>
            </w:r>
          </w:p>
        </w:tc>
        <w:tc>
          <w:tcPr>
            <w:tcW w:w="800" w:type="dxa"/>
            <w:vAlign w:val="center"/>
          </w:tcPr>
          <w:p>
            <w:pPr>
              <w:spacing w:before="0" w:after="0"/>
              <w:jc w:val="left"/>
            </w:pPr>
            <w:r>
              <w:rPr>
                <w:sz w:val="18"/>
                <w:szCs w:val="18"/>
              </w:rPr>
              <w:t xml:space="preserve"/>
            </w:r>
          </w:p>
        </w:tc>
        <w:tc>
          <w:tcPr>
            <w:tcW w:w="1700" w:type="dxa"/>
            <w:vAlign w:val="center"/>
          </w:tcPr>
          <w:p>
            <w:pPr>
              <w:spacing w:before="0" w:after="0"/>
              <w:jc w:val="right"/>
            </w:pPr>
            <w:r>
              <w:rPr>
                <w:sz w:val="18"/>
                <w:szCs w:val="18"/>
              </w:rPr>
              <w:t xml:space="preserve">4,002</w:t>
            </w:r>
          </w:p>
        </w:tc>
        <w:tc>
          <w:tcPr>
            <w:tcW w:w="1700" w:type="dxa"/>
            <w:vAlign w:val="center"/>
          </w:tcPr>
          <w:p>
            <w:pPr>
              <w:spacing w:before="0" w:after="0"/>
              <w:jc w:val="right"/>
            </w:pPr>
            <w:r>
              <w:rPr>
                <w:sz w:val="18"/>
                <w:szCs w:val="18"/>
              </w:rPr>
              <w:t xml:space="preserve">3,885</w:t>
            </w:r>
          </w:p>
        </w:tc>
      </w:tr>
      <w:tr>
        <w:tc>
          <w:tcPr>
            <w:tcW w:w="4872" w:type="dxa"/>
            <w:vAlign w:val="center"/>
          </w:tcPr>
          <w:p>
            <w:pPr>
              <w:spacing w:before="0" w:after="0"/>
              <w:jc w:val="left"/>
            </w:pPr>
            <w:r>
              <w:rPr>
                <w:b/>
                <w:sz w:val="18"/>
                <w:szCs w:val="18"/>
              </w:rPr>
              <w:t xml:space="preserve">Net cash used in investing activities</w:t>
            </w:r>
          </w:p>
        </w:tc>
        <w:tc>
          <w:tcPr>
            <w:tcW w:w="800" w:type="dxa"/>
            <w:vAlign w:val="center"/>
          </w:tcPr>
          <w:p>
            <w:pPr>
              <w:spacing w:before="0" w:after="0"/>
              <w:jc w:val="left"/>
            </w:pPr>
            <w:r>
              <w:rPr>
                <w:b/>
                <w:sz w:val="18"/>
                <w:szCs w:val="18"/>
              </w:rPr>
              <w:t xml:space="preserve"/>
            </w:r>
          </w:p>
        </w:tc>
        <w:tc>
          <w:tcPr>
            <w:tcW w:w="1700" w:type="dxa"/>
            <w:vAlign w:val="center"/>
          </w:tcPr>
          <w:p>
            <w:pPr>
              <w:spacing w:before="0" w:after="0"/>
              <w:jc w:val="right"/>
            </w:pPr>
            <w:r>
              <w:rPr>
                <w:b/>
                <w:sz w:val="18"/>
                <w:szCs w:val="18"/>
              </w:rPr>
              <w:t xml:space="preserve">(26,799)</w:t>
            </w:r>
          </w:p>
        </w:tc>
        <w:tc>
          <w:tcPr>
            <w:tcW w:w="1700" w:type="dxa"/>
            <w:vAlign w:val="center"/>
          </w:tcPr>
          <w:p>
            <w:pPr>
              <w:spacing w:before="0" w:after="0"/>
              <w:jc w:val="right"/>
            </w:pPr>
            <w:r>
              <w:rPr>
                <w:b/>
                <w:sz w:val="18"/>
                <w:szCs w:val="18"/>
              </w:rPr>
              <w:t xml:space="preserve">(30,715)</w:t>
            </w:r>
          </w:p>
        </w:tc>
      </w:tr>
      <w:tr>
        <w:tc>
          <w:tcPr>
            <w:tcW w:w="4872" w:type="dxa"/>
            <w:vAlign w:val="center"/>
          </w:tcPr>
          <w:p>
            <w:pPr>
              <w:spacing w:before="0" w:after="0"/>
              <w:jc w:val="left"/>
            </w:pPr>
            <w:r>
              <w:rPr>
                <w:b/>
                <w:sz w:val="18"/>
                <w:szCs w:val="18"/>
              </w:rPr>
              <w:t xml:space="preserve">Cash flows from financing activities</w:t>
            </w:r>
          </w:p>
        </w:tc>
        <w:tc>
          <w:tcPr>
            <w:tcW w:w="800" w:type="dxa"/>
            <w:vAlign w:val="center"/>
          </w:tcPr>
          <w:p>
            <w:pPr>
              <w:spacing w:before="0" w:after="0"/>
              <w:jc w:val="left"/>
            </w:pPr>
            <w:r>
              <w:rPr>
                <w:b/>
                <w:sz w:val="18"/>
                <w:szCs w:val="18"/>
              </w:rPr>
              <w:t xml:space="preserve"/>
            </w:r>
          </w:p>
        </w:tc>
        <w:tc>
          <w:tcPr>
            <w:tcW w:w="1700" w:type="dxa"/>
            <w:vAlign w:val="center"/>
          </w:tcPr>
          <w:p>
            <w:pPr>
              <w:spacing w:before="0" w:after="0"/>
              <w:jc w:val="right"/>
            </w:pPr>
            <w:r>
              <w:rPr>
                <w:b/>
                <w:sz w:val="18"/>
                <w:szCs w:val="18"/>
              </w:rPr>
              <w:t xml:space="preserve"/>
            </w:r>
          </w:p>
        </w:tc>
        <w:tc>
          <w:tcPr>
            <w:tcW w:w="1700" w:type="dxa"/>
            <w:vAlign w:val="center"/>
          </w:tcPr>
          <w:p>
            <w:pPr>
              <w:spacing w:before="0" w:after="0"/>
              <w:jc w:val="right"/>
            </w:pPr>
            <w:r>
              <w:rPr>
                <w:b/>
                <w:sz w:val="18"/>
                <w:szCs w:val="18"/>
              </w:rPr>
              <w:t xml:space="preserve"/>
            </w:r>
          </w:p>
        </w:tc>
      </w:tr>
      <w:tr>
        <w:tc>
          <w:tcPr>
            <w:tcW w:w="4872" w:type="dxa"/>
            <w:vAlign w:val="center"/>
          </w:tcPr>
          <w:p>
            <w:pPr>
              <w:spacing w:before="0" w:after="0"/>
              <w:jc w:val="left"/>
            </w:pPr>
            <w:r>
              <w:rPr>
                <w:sz w:val="18"/>
                <w:szCs w:val="18"/>
              </w:rPr>
              <w:t xml:space="preserve">Proceeds from borrowings under the credit facility</w:t>
            </w:r>
          </w:p>
        </w:tc>
        <w:tc>
          <w:tcPr>
            <w:tcW w:w="800" w:type="dxa"/>
            <w:vAlign w:val="center"/>
          </w:tcPr>
          <w:p>
            <w:pPr>
              <w:spacing w:before="0" w:after="0"/>
              <w:jc w:val="left"/>
            </w:pPr>
            <w:r>
              <w:rPr>
                <w:sz w:val="18"/>
                <w:szCs w:val="18"/>
              </w:rPr>
              <w:t xml:space="preserve"/>
            </w:r>
          </w:p>
        </w:tc>
        <w:tc>
          <w:tcPr>
            <w:tcW w:w="1700" w:type="dxa"/>
            <w:vAlign w:val="center"/>
          </w:tcPr>
          <w:p>
            <w:pPr>
              <w:spacing w:before="0" w:after="0"/>
              <w:jc w:val="right"/>
            </w:pPr>
            <w:r>
              <w:rPr>
                <w:sz w:val="18"/>
                <w:szCs w:val="18"/>
              </w:rPr>
              <w:t xml:space="preserve">1,161</w:t>
            </w:r>
          </w:p>
        </w:tc>
        <w:tc>
          <w:tcPr>
            <w:tcW w:w="1700" w:type="dxa"/>
            <w:vAlign w:val="center"/>
          </w:tcPr>
          <w:p>
            <w:pPr>
              <w:spacing w:before="0" w:after="0"/>
              <w:jc w:val="right"/>
            </w:pPr>
            <w:r>
              <w:rPr>
                <w:sz w:val="18"/>
                <w:szCs w:val="18"/>
              </w:rPr>
              <w:t xml:space="preserve">1,642</w:t>
            </w:r>
          </w:p>
        </w:tc>
      </w:tr>
      <w:tr>
        <w:tc>
          <w:tcPr>
            <w:tcW w:w="4872" w:type="dxa"/>
            <w:vAlign w:val="center"/>
          </w:tcPr>
          <w:p>
            <w:pPr>
              <w:spacing w:before="0" w:after="0"/>
              <w:jc w:val="left"/>
            </w:pPr>
            <w:r>
              <w:rPr>
                <w:sz w:val="18"/>
                <w:szCs w:val="18"/>
              </w:rPr>
              <w:t xml:space="preserve">Repayments of long-term debt</w:t>
            </w:r>
          </w:p>
        </w:tc>
        <w:tc>
          <w:tcPr>
            <w:tcW w:w="800" w:type="dxa"/>
            <w:vAlign w:val="center"/>
          </w:tcPr>
          <w:p>
            <w:pPr>
              <w:spacing w:before="0" w:after="0"/>
              <w:jc w:val="left"/>
            </w:pPr>
            <w:r>
              <w:rPr>
                <w:sz w:val="18"/>
                <w:szCs w:val="18"/>
              </w:rPr>
              <w:t xml:space="preserve"/>
            </w:r>
          </w:p>
        </w:tc>
        <w:tc>
          <w:tcPr>
            <w:tcW w:w="1700" w:type="dxa"/>
            <w:vAlign w:val="center"/>
          </w:tcPr>
          <w:p>
            <w:pPr>
              <w:spacing w:before="0" w:after="0"/>
              <w:jc w:val="right"/>
            </w:pPr>
            <w:r>
              <w:rPr>
                <w:sz w:val="18"/>
                <w:szCs w:val="18"/>
              </w:rPr>
              <w:t xml:space="preserve">(4,647)</w:t>
            </w:r>
          </w:p>
        </w:tc>
        <w:tc>
          <w:tcPr>
            <w:tcW w:w="1700" w:type="dxa"/>
            <w:vAlign w:val="center"/>
          </w:tcPr>
          <w:p>
            <w:pPr>
              <w:spacing w:before="0" w:after="0"/>
              <w:jc w:val="right"/>
            </w:pPr>
            <w:r>
              <w:rPr>
                <w:sz w:val="18"/>
                <w:szCs w:val="18"/>
              </w:rPr>
              <w:t xml:space="preserve">(3,936)</w:t>
            </w:r>
          </w:p>
        </w:tc>
      </w:tr>
      <w:tr>
        <w:tc>
          <w:tcPr>
            <w:tcW w:w="4872" w:type="dxa"/>
            <w:vAlign w:val="center"/>
          </w:tcPr>
          <w:p>
            <w:pPr>
              <w:spacing w:before="0" w:after="0"/>
              <w:jc w:val="left"/>
            </w:pPr>
            <w:r>
              <w:rPr>
                <w:sz w:val="18"/>
                <w:szCs w:val="18"/>
              </w:rPr>
              <w:t xml:space="preserve">Dividends paid</w:t>
            </w:r>
          </w:p>
        </w:tc>
        <w:tc>
          <w:tcPr>
            <w:tcW w:w="800" w:type="dxa"/>
            <w:vAlign w:val="center"/>
          </w:tcPr>
          <w:p>
            <w:pPr>
              <w:spacing w:before="0" w:after="0"/>
              <w:jc w:val="left"/>
            </w:pPr>
            <w:r>
              <w:rPr>
                <w:sz w:val="18"/>
                <w:szCs w:val="18"/>
              </w:rPr>
              <w:t xml:space="preserve"/>
            </w:r>
          </w:p>
        </w:tc>
        <w:tc>
          <w:tcPr>
            <w:tcW w:w="1700" w:type="dxa"/>
            <w:vAlign w:val="center"/>
          </w:tcPr>
          <w:p>
            <w:pPr>
              <w:spacing w:before="0" w:after="0"/>
              <w:jc w:val="right"/>
            </w:pPr>
            <w:r>
              <w:rPr>
                <w:sz w:val="18"/>
                <w:szCs w:val="18"/>
              </w:rPr>
              <w:t xml:space="preserve">(2,871)</w:t>
            </w:r>
          </w:p>
        </w:tc>
        <w:tc>
          <w:tcPr>
            <w:tcW w:w="1700" w:type="dxa"/>
            <w:vAlign w:val="center"/>
          </w:tcPr>
          <w:p>
            <w:pPr>
              <w:spacing w:before="0" w:after="0"/>
              <w:jc w:val="right"/>
            </w:pPr>
            <w:r>
              <w:rPr>
                <w:sz w:val="18"/>
                <w:szCs w:val="18"/>
              </w:rPr>
              <w:t xml:space="preserve">(3,312)</w:t>
            </w:r>
          </w:p>
        </w:tc>
      </w:tr>
      <w:tr>
        <w:tc>
          <w:tcPr>
            <w:tcW w:w="4872" w:type="dxa"/>
            <w:vAlign w:val="center"/>
          </w:tcPr>
          <w:p>
            <w:pPr>
              <w:spacing w:before="0" w:after="0"/>
              <w:jc w:val="left"/>
            </w:pPr>
            <w:r>
              <w:rPr>
                <w:sz w:val="18"/>
                <w:szCs w:val="18"/>
              </w:rPr>
              <w:t xml:space="preserve">Proceeds from exercise of stock options</w:t>
            </w:r>
          </w:p>
        </w:tc>
        <w:tc>
          <w:tcPr>
            <w:tcW w:w="800" w:type="dxa"/>
            <w:vAlign w:val="center"/>
          </w:tcPr>
          <w:p>
            <w:pPr>
              <w:spacing w:before="0" w:after="0"/>
              <w:jc w:val="left"/>
            </w:pPr>
            <w:r>
              <w:rPr>
                <w:sz w:val="18"/>
                <w:szCs w:val="18"/>
              </w:rPr>
              <w:t xml:space="preserve"/>
            </w:r>
          </w:p>
        </w:tc>
        <w:tc>
          <w:tcPr>
            <w:tcW w:w="1700" w:type="dxa"/>
            <w:vAlign w:val="center"/>
          </w:tcPr>
          <w:p>
            <w:pPr>
              <w:spacing w:before="0" w:after="0"/>
              <w:jc w:val="right"/>
            </w:pPr>
            <w:r>
              <w:rPr>
                <w:sz w:val="18"/>
                <w:szCs w:val="18"/>
              </w:rPr>
              <w:t xml:space="preserve">687</w:t>
            </w:r>
          </w:p>
        </w:tc>
        <w:tc>
          <w:tcPr>
            <w:tcW w:w="1700" w:type="dxa"/>
            <w:vAlign w:val="center"/>
          </w:tcPr>
          <w:p>
            <w:pPr>
              <w:spacing w:before="0" w:after="0"/>
              <w:jc w:val="right"/>
            </w:pPr>
            <w:r>
              <w:rPr>
                <w:sz w:val="18"/>
                <w:szCs w:val="18"/>
              </w:rPr>
              <w:t xml:space="preserve">583</w:t>
            </w:r>
          </w:p>
        </w:tc>
      </w:tr>
      <w:tr>
        <w:tc>
          <w:tcPr>
            <w:tcW w:w="4872" w:type="dxa"/>
            <w:vAlign w:val="center"/>
          </w:tcPr>
          <w:p>
            <w:pPr>
              <w:spacing w:before="0" w:after="0"/>
              <w:jc w:val="left"/>
            </w:pPr>
            <w:r>
              <w:rPr>
                <w:b/>
                <w:sz w:val="18"/>
                <w:szCs w:val="18"/>
              </w:rPr>
              <w:t xml:space="preserve">Net cash used in financing activities</w:t>
            </w:r>
          </w:p>
        </w:tc>
        <w:tc>
          <w:tcPr>
            <w:tcW w:w="800" w:type="dxa"/>
            <w:vAlign w:val="center"/>
          </w:tcPr>
          <w:p>
            <w:pPr>
              <w:spacing w:before="0" w:after="0"/>
              <w:jc w:val="left"/>
            </w:pPr>
            <w:r>
              <w:rPr>
                <w:b/>
                <w:sz w:val="18"/>
                <w:szCs w:val="18"/>
              </w:rPr>
              <w:t xml:space="preserve"/>
            </w:r>
          </w:p>
        </w:tc>
        <w:tc>
          <w:tcPr>
            <w:tcW w:w="1700" w:type="dxa"/>
            <w:vAlign w:val="center"/>
          </w:tcPr>
          <w:p>
            <w:pPr>
              <w:spacing w:before="0" w:after="0"/>
              <w:jc w:val="right"/>
            </w:pPr>
            <w:r>
              <w:rPr>
                <w:b/>
                <w:sz w:val="18"/>
                <w:szCs w:val="18"/>
              </w:rPr>
              <w:t xml:space="preserve">(5,670)</w:t>
            </w:r>
          </w:p>
        </w:tc>
        <w:tc>
          <w:tcPr>
            <w:tcW w:w="1700" w:type="dxa"/>
            <w:vAlign w:val="center"/>
          </w:tcPr>
          <w:p>
            <w:pPr>
              <w:spacing w:before="0" w:after="0"/>
              <w:jc w:val="right"/>
            </w:pPr>
            <w:r>
              <w:rPr>
                <w:b/>
                <w:sz w:val="18"/>
                <w:szCs w:val="18"/>
              </w:rPr>
              <w:t xml:space="preserve">(5,023)</w:t>
            </w:r>
          </w:p>
        </w:tc>
      </w:tr>
      <w:tr>
        <w:tc>
          <w:tcPr>
            <w:tcW w:w="4872" w:type="dxa"/>
            <w:vAlign w:val="center"/>
          </w:tcPr>
          <w:p>
            <w:pPr>
              <w:spacing w:before="0" w:after="0"/>
              <w:jc w:val="left"/>
            </w:pPr>
            <w:r>
              <w:rPr>
                <w:b/>
                <w:sz w:val="18"/>
                <w:szCs w:val="18"/>
              </w:rPr>
              <w:t xml:space="preserve">Net increase (decrease) in cash and cash equivalents</w:t>
            </w:r>
          </w:p>
        </w:tc>
        <w:tc>
          <w:tcPr>
            <w:tcW w:w="800" w:type="dxa"/>
            <w:vAlign w:val="center"/>
          </w:tcPr>
          <w:p>
            <w:pPr>
              <w:spacing w:before="0" w:after="0"/>
              <w:jc w:val="left"/>
            </w:pPr>
            <w:r>
              <w:rPr>
                <w:b/>
                <w:sz w:val="18"/>
                <w:szCs w:val="18"/>
              </w:rPr>
              <w:t xml:space="preserve"/>
            </w:r>
          </w:p>
        </w:tc>
        <w:tc>
          <w:tcPr>
            <w:tcW w:w="1700" w:type="dxa"/>
            <w:vAlign w:val="center"/>
          </w:tcPr>
          <w:p>
            <w:pPr>
              <w:spacing w:before="0" w:after="0"/>
              <w:jc w:val="right"/>
            </w:pPr>
            <w:r>
              <w:rPr>
                <w:b/>
                <w:sz w:val="18"/>
                <w:szCs w:val="18"/>
              </w:rPr>
              <w:t xml:space="preserve">(144)</w:t>
            </w:r>
          </w:p>
        </w:tc>
        <w:tc>
          <w:tcPr>
            <w:tcW w:w="1700" w:type="dxa"/>
            <w:vAlign w:val="center"/>
          </w:tcPr>
          <w:p>
            <w:pPr>
              <w:spacing w:before="0" w:after="0"/>
              <w:jc w:val="right"/>
            </w:pPr>
            <w:r>
              <w:rPr>
                <w:b/>
                <w:sz w:val="18"/>
                <w:szCs w:val="18"/>
              </w:rPr>
              <w:t xml:space="preserve">2,512</w:t>
            </w:r>
          </w:p>
        </w:tc>
      </w:tr>
      <w:tr>
        <w:tc>
          <w:tcPr>
            <w:tcW w:w="4872" w:type="dxa"/>
            <w:vAlign w:val="center"/>
          </w:tcPr>
          <w:p>
            <w:pPr>
              <w:spacing w:before="0" w:after="0"/>
              <w:jc w:val="left"/>
            </w:pPr>
            <w:r>
              <w:rPr>
                <w:sz w:val="18"/>
                <w:szCs w:val="18"/>
              </w:rPr>
              <w:t xml:space="preserve">Cash and cash equivalents at beginning of period</w:t>
            </w:r>
          </w:p>
        </w:tc>
        <w:tc>
          <w:tcPr>
            <w:tcW w:w="800" w:type="dxa"/>
            <w:vAlign w:val="center"/>
          </w:tcPr>
          <w:p>
            <w:pPr>
              <w:spacing w:before="0" w:after="0"/>
              <w:jc w:val="left"/>
            </w:pPr>
            <w:r>
              <w:rPr>
                <w:sz w:val="18"/>
                <w:szCs w:val="18"/>
              </w:rPr>
              <w:t xml:space="preserve"/>
            </w:r>
          </w:p>
        </w:tc>
        <w:tc>
          <w:tcPr>
            <w:tcW w:w="1700" w:type="dxa"/>
            <w:vAlign w:val="center"/>
          </w:tcPr>
          <w:p>
            <w:pPr>
              <w:spacing w:before="0" w:after="0"/>
              <w:jc w:val="right"/>
            </w:pPr>
            <w:r>
              <w:rPr>
                <w:sz w:val="18"/>
                <w:szCs w:val="18"/>
              </w:rPr>
              <w:t xml:space="preserve">23,900</w:t>
            </w:r>
          </w:p>
        </w:tc>
        <w:tc>
          <w:tcPr>
            <w:tcW w:w="1700" w:type="dxa"/>
            <w:vAlign w:val="center"/>
          </w:tcPr>
          <w:p>
            <w:pPr>
              <w:spacing w:before="0" w:after="0"/>
              <w:jc w:val="right"/>
            </w:pPr>
            <w:r>
              <w:rPr>
                <w:sz w:val="18"/>
                <w:szCs w:val="18"/>
              </w:rPr>
              <w:t xml:space="preserve">28,148</w:t>
            </w:r>
          </w:p>
        </w:tc>
      </w:tr>
      <w:tr>
        <w:tc>
          <w:tcPr>
            <w:tcW w:w="4872" w:type="dxa"/>
            <w:vAlign w:val="center"/>
          </w:tcPr>
          <w:p>
            <w:pPr>
              <w:spacing w:before="0" w:after="0"/>
              <w:jc w:val="left"/>
            </w:pPr>
            <w:r>
              <w:rPr>
                <w:b/>
                <w:sz w:val="18"/>
                <w:szCs w:val="18"/>
              </w:rPr>
              <w:t xml:space="preserve">Cash and cash equivalents at end of period</w:t>
            </w:r>
          </w:p>
        </w:tc>
        <w:tc>
          <w:tcPr>
            <w:tcW w:w="800" w:type="dxa"/>
            <w:vAlign w:val="center"/>
          </w:tcPr>
          <w:p>
            <w:pPr>
              <w:spacing w:before="0" w:after="0"/>
              <w:jc w:val="left"/>
            </w:pPr>
            <w:r>
              <w:rPr>
                <w:b/>
                <w:sz w:val="18"/>
                <w:szCs w:val="18"/>
              </w:rPr>
              <w:t xml:space="preserve"/>
            </w:r>
          </w:p>
        </w:tc>
        <w:tc>
          <w:tcPr>
            <w:tcW w:w="1700" w:type="dxa"/>
            <w:vAlign w:val="center"/>
          </w:tcPr>
          <w:p>
            <w:pPr>
              <w:spacing w:before="0" w:after="0"/>
              <w:jc w:val="right"/>
            </w:pPr>
            <w:r>
              <w:rPr>
                <w:b/>
                <w:sz w:val="18"/>
                <w:szCs w:val="18"/>
              </w:rPr>
              <w:t xml:space="preserve">23,755</w:t>
            </w:r>
          </w:p>
        </w:tc>
        <w:tc>
          <w:tcPr>
            <w:tcW w:w="1700" w:type="dxa"/>
            <w:vAlign w:val="center"/>
          </w:tcPr>
          <w:p>
            <w:pPr>
              <w:spacing w:before="0" w:after="0"/>
              <w:jc w:val="right"/>
            </w:pPr>
            <w:r>
              <w:rPr>
                <w:b/>
                <w:sz w:val="18"/>
                <w:szCs w:val="18"/>
              </w:rPr>
              <w:t xml:space="preserve">30,660</w:t>
            </w:r>
          </w:p>
        </w:tc>
      </w:tr>
    </w:tbl>
    <w:p>
      <w:pPr/>
    </w:p>
    <w:p>
      <w:pPr>
        <w:pStyle w:val="Heading3"/>
        <w:keepNext/>
      </w:pPr>
      <w:r>
        <w:t xml:space="preserve">Notes to the Financial Statements</w:t>
      </w:r>
    </w:p>
    <w:p>
      <w:pPr>
        <w:keepNext/>
      </w:pPr>
      <w:r>
        <w:rPr>
          <w:b/>
        </w:rPr>
        <w:t xml:space="preserve">1. Summary of significant accounting policies</w:t>
      </w:r>
    </w:p>
    <w:p>
      <w:pPr>
        <w:ind w:left="0" w:firstLine="360"/>
      </w:pPr>
      <w:r>
        <w:t xml:space="preserve">Net cash used in investing activities was $11,096 thousand, primarily for purchases of property and equipment. Nimbus Coffee holds no derivatives other than coffee futures contracts used to fix the price of part of its future green coffee purchases. Total revenue for the fiscal year was $69,627 thousand, an increase of 8.0% over the prior year, and operating income was $26,772 thousand, an increase of 21.5%. Net cash used in investing activities was $13,037 thousand, primarily for purchases of property and equipment.</w:t>
      </w:r>
    </w:p>
    <w:p>
      <w:pPr>
        <w:ind w:left="0" w:firstLine="360"/>
      </w:pPr>
      <w:r>
        <w:t xml:space="preserve">Net cash used in financing activities was $20,368 thousand, reflecting repayments of the term loan and dividends paid. At the end of the fiscal year, the Company operated 160 company-operated stores in eight regions: Northfield, Eastbay, Southport, Westridge, Lakeside, Hillcrest, Riverside and Harborview. New stores generally reach the sales level of a mature store within eighteen to twenty-four months of opening.</w:t>
      </w:r>
    </w:p>
    <w:p>
      <w:pPr>
        <w:ind w:left="0" w:firstLine="360"/>
      </w:pPr>
      <w:r>
        <w:t xml:space="preserve">During the fiscal year, the Group opened 19 new stores and closed 3 stores whose leases expired. Net cash provided by operating activities was $35,637 thousand, mainly reflecting net income and depreciation and amortization. Orders placed through the online store, including orders for pickup in store and home delivery of whole beans, accounted for 7.1% of revenue in the Beverages and Beans categories.</w:t>
      </w:r>
    </w:p>
    <w:tbl>
      <w:tblPr>
        <w:tblW w:w="907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72" w:type="dxa"/>
          <w:right w:w="72" w:type="dxa"/>
        </w:tblCellMar>
      </w:tblPr>
      <w:tblGrid>
        <w:gridCol w:w="4072"/>
        <w:gridCol w:w="2500"/>
        <w:gridCol w:w="2500"/>
      </w:tblGrid>
      <w:tr>
        <w:trPr>
          <w:tblHeader/>
        </w:trPr>
        <w:tc>
          <w:tcPr>
            <w:tcW w:w="4072" w:type="dxa"/>
            <w:shd w:val="clear" w:color="auto" w:fill="DDEBF7"/>
            <w:vAlign w:val="center"/>
          </w:tcPr>
          <w:p>
            <w:pPr>
              <w:spacing w:before="0" w:after="0"/>
              <w:jc w:val="center"/>
            </w:pPr>
            <w:r>
              <w:rPr>
                <w:b/>
                <w:sz w:val="18"/>
                <w:szCs w:val="18"/>
              </w:rPr>
              <w:t xml:space="preserve">Item</w:t>
            </w:r>
          </w:p>
        </w:tc>
        <w:tc>
          <w:tcPr>
            <w:tcW w:w="2500" w:type="dxa"/>
            <w:shd w:val="clear" w:color="auto" w:fill="DDEBF7"/>
            <w:vAlign w:val="center"/>
          </w:tcPr>
          <w:p>
            <w:pPr>
              <w:spacing w:before="0" w:after="0"/>
              <w:jc w:val="center"/>
            </w:pPr>
            <w:r>
              <w:rPr>
                <w:b/>
                <w:sz w:val="18"/>
                <w:szCs w:val="18"/>
              </w:rPr>
              <w:t xml:space="preserve">FY2023</w:t>
            </w:r>
          </w:p>
        </w:tc>
        <w:tc>
          <w:tcPr>
            <w:tcW w:w="2500" w:type="dxa"/>
            <w:shd w:val="clear" w:color="auto" w:fill="DDEBF7"/>
            <w:vAlign w:val="center"/>
          </w:tcPr>
          <w:p>
            <w:pPr>
              <w:spacing w:before="0" w:after="0"/>
              <w:jc w:val="center"/>
            </w:pPr>
            <w:r>
              <w:rPr>
                <w:b/>
                <w:sz w:val="18"/>
                <w:szCs w:val="18"/>
              </w:rPr>
              <w:t xml:space="preserve">FY2024</w:t>
            </w:r>
          </w:p>
        </w:tc>
      </w:tr>
      <w:tr>
        <w:tc>
          <w:tcPr>
            <w:tcW w:w="4072" w:type="dxa"/>
            <w:vAlign w:val="center"/>
          </w:tcPr>
          <w:p>
            <w:pPr>
              <w:spacing w:before="0" w:after="0"/>
              <w:jc w:val="left"/>
            </w:pPr>
            <w:r>
              <w:rPr>
                <w:sz w:val="18"/>
                <w:szCs w:val="18"/>
              </w:rPr>
              <w:t xml:space="preserve">Deferred income taxes</w:t>
            </w:r>
          </w:p>
        </w:tc>
        <w:tc>
          <w:tcPr>
            <w:tcW w:w="2500" w:type="dxa"/>
            <w:vAlign w:val="center"/>
          </w:tcPr>
          <w:p>
            <w:pPr>
              <w:spacing w:before="0" w:after="0"/>
              <w:jc w:val="right"/>
            </w:pPr>
            <w:r>
              <w:rPr>
                <w:sz w:val="18"/>
                <w:szCs w:val="18"/>
              </w:rPr>
              <w:t xml:space="preserve">8,039</w:t>
            </w:r>
          </w:p>
        </w:tc>
        <w:tc>
          <w:tcPr>
            <w:tcW w:w="2500" w:type="dxa"/>
            <w:vAlign w:val="center"/>
          </w:tcPr>
          <w:p>
            <w:pPr>
              <w:spacing w:before="0" w:after="0"/>
              <w:jc w:val="right"/>
            </w:pPr>
            <w:r>
              <w:rPr>
                <w:sz w:val="18"/>
                <w:szCs w:val="18"/>
              </w:rPr>
              <w:t xml:space="preserve">8,960</w:t>
            </w:r>
          </w:p>
        </w:tc>
      </w:tr>
      <w:tr>
        <w:tc>
          <w:tcPr>
            <w:tcW w:w="4072" w:type="dxa"/>
            <w:vAlign w:val="center"/>
          </w:tcPr>
          <w:p>
            <w:pPr>
              <w:spacing w:before="0" w:after="0"/>
              <w:jc w:val="left"/>
            </w:pPr>
            <w:r>
              <w:rPr>
                <w:sz w:val="18"/>
                <w:szCs w:val="18"/>
              </w:rPr>
              <w:t xml:space="preserve">Current portion of long-term debt</w:t>
            </w:r>
          </w:p>
        </w:tc>
        <w:tc>
          <w:tcPr>
            <w:tcW w:w="2500" w:type="dxa"/>
            <w:vAlign w:val="center"/>
          </w:tcPr>
          <w:p>
            <w:pPr>
              <w:spacing w:before="0" w:after="0"/>
              <w:jc w:val="right"/>
            </w:pPr>
            <w:r>
              <w:rPr>
                <w:sz w:val="18"/>
                <w:szCs w:val="18"/>
              </w:rPr>
              <w:t xml:space="preserve">5,201</w:t>
            </w:r>
          </w:p>
        </w:tc>
        <w:tc>
          <w:tcPr>
            <w:tcW w:w="2500" w:type="dxa"/>
            <w:vAlign w:val="center"/>
          </w:tcPr>
          <w:p>
            <w:pPr>
              <w:spacing w:before="0" w:after="0"/>
              <w:jc w:val="right"/>
            </w:pPr>
            <w:r>
              <w:rPr>
                <w:sz w:val="18"/>
                <w:szCs w:val="18"/>
              </w:rPr>
              <w:t xml:space="preserve">5,686</w:t>
            </w:r>
          </w:p>
        </w:tc>
      </w:tr>
      <w:tr>
        <w:tc>
          <w:tcPr>
            <w:tcW w:w="4072" w:type="dxa"/>
            <w:vAlign w:val="center"/>
          </w:tcPr>
          <w:p>
            <w:pPr>
              <w:spacing w:before="0" w:after="0"/>
              <w:jc w:val="left"/>
            </w:pPr>
            <w:r>
              <w:rPr>
                <w:sz w:val="18"/>
                <w:szCs w:val="18"/>
              </w:rPr>
              <w:t xml:space="preserve">Goodwill</w:t>
            </w:r>
          </w:p>
        </w:tc>
        <w:tc>
          <w:tcPr>
            <w:tcW w:w="2500" w:type="dxa"/>
            <w:vAlign w:val="center"/>
          </w:tcPr>
          <w:p>
            <w:pPr>
              <w:spacing w:before="0" w:after="0"/>
              <w:jc w:val="right"/>
            </w:pPr>
            <w:r>
              <w:rPr>
                <w:sz w:val="18"/>
                <w:szCs w:val="18"/>
              </w:rPr>
              <w:t xml:space="preserve">3,984</w:t>
            </w:r>
          </w:p>
        </w:tc>
        <w:tc>
          <w:tcPr>
            <w:tcW w:w="2500" w:type="dxa"/>
            <w:vAlign w:val="center"/>
          </w:tcPr>
          <w:p>
            <w:pPr>
              <w:spacing w:before="0" w:after="0"/>
              <w:jc w:val="right"/>
            </w:pPr>
            <w:r>
              <w:rPr>
                <w:sz w:val="18"/>
                <w:szCs w:val="18"/>
              </w:rPr>
              <w:t xml:space="preserve">4,412</w:t>
            </w:r>
          </w:p>
        </w:tc>
      </w:tr>
      <w:tr>
        <w:tc>
          <w:tcPr>
            <w:tcW w:w="4072" w:type="dxa"/>
            <w:vAlign w:val="center"/>
          </w:tcPr>
          <w:p>
            <w:pPr>
              <w:spacing w:before="0" w:after="0"/>
              <w:jc w:val="left"/>
            </w:pPr>
            <w:r>
              <w:rPr>
                <w:sz w:val="18"/>
                <w:szCs w:val="18"/>
              </w:rPr>
              <w:t xml:space="preserve">Operating lease liabilities, net of current portion</w:t>
            </w:r>
          </w:p>
        </w:tc>
        <w:tc>
          <w:tcPr>
            <w:tcW w:w="2500" w:type="dxa"/>
            <w:vAlign w:val="center"/>
          </w:tcPr>
          <w:p>
            <w:pPr>
              <w:spacing w:before="0" w:after="0"/>
              <w:jc w:val="right"/>
            </w:pPr>
            <w:r>
              <w:rPr>
                <w:sz w:val="18"/>
                <w:szCs w:val="18"/>
              </w:rPr>
              <w:t xml:space="preserve">4,906</w:t>
            </w:r>
          </w:p>
        </w:tc>
        <w:tc>
          <w:tcPr>
            <w:tcW w:w="2500" w:type="dxa"/>
            <w:vAlign w:val="center"/>
          </w:tcPr>
          <w:p>
            <w:pPr>
              <w:spacing w:before="0" w:after="0"/>
              <w:jc w:val="right"/>
            </w:pPr>
            <w:r>
              <w:rPr>
                <w:sz w:val="18"/>
                <w:szCs w:val="18"/>
              </w:rPr>
              <w:t xml:space="preserve">5,103</w:t>
            </w:r>
          </w:p>
        </w:tc>
      </w:tr>
      <w:tr>
        <w:tc>
          <w:tcPr>
            <w:tcW w:w="4072" w:type="dxa"/>
            <w:vAlign w:val="center"/>
          </w:tcPr>
          <w:p>
            <w:pPr>
              <w:spacing w:before="0" w:after="0"/>
              <w:jc w:val="left"/>
            </w:pPr>
            <w:r>
              <w:rPr>
                <w:sz w:val="18"/>
                <w:szCs w:val="18"/>
              </w:rPr>
              <w:t xml:space="preserve">Goodwill</w:t>
            </w:r>
          </w:p>
        </w:tc>
        <w:tc>
          <w:tcPr>
            <w:tcW w:w="2500" w:type="dxa"/>
            <w:vAlign w:val="center"/>
          </w:tcPr>
          <w:p>
            <w:pPr>
              <w:spacing w:before="0" w:after="0"/>
              <w:jc w:val="right"/>
            </w:pPr>
            <w:r>
              <w:rPr>
                <w:sz w:val="18"/>
                <w:szCs w:val="18"/>
              </w:rPr>
              <w:t xml:space="preserve">6,931</w:t>
            </w:r>
          </w:p>
        </w:tc>
        <w:tc>
          <w:tcPr>
            <w:tcW w:w="2500" w:type="dxa"/>
            <w:vAlign w:val="center"/>
          </w:tcPr>
          <w:p>
            <w:pPr>
              <w:spacing w:before="0" w:after="0"/>
              <w:jc w:val="right"/>
            </w:pPr>
            <w:r>
              <w:rPr>
                <w:sz w:val="18"/>
                <w:szCs w:val="18"/>
              </w:rPr>
              <w:t xml:space="preserve">8,226</w:t>
            </w:r>
          </w:p>
        </w:tc>
      </w:tr>
      <w:tr>
        <w:tc>
          <w:tcPr>
            <w:tcW w:w="4072" w:type="dxa"/>
            <w:vAlign w:val="center"/>
          </w:tcPr>
          <w:p>
            <w:pPr>
              <w:spacing w:before="0" w:after="0"/>
              <w:jc w:val="left"/>
            </w:pPr>
            <w:r>
              <w:rPr>
                <w:sz w:val="18"/>
                <w:szCs w:val="18"/>
              </w:rPr>
              <w:t xml:space="preserve">Property and equipment, net</w:t>
            </w:r>
          </w:p>
        </w:tc>
        <w:tc>
          <w:tcPr>
            <w:tcW w:w="2500" w:type="dxa"/>
            <w:vAlign w:val="center"/>
          </w:tcPr>
          <w:p>
            <w:pPr>
              <w:spacing w:before="0" w:after="0"/>
              <w:jc w:val="right"/>
            </w:pPr>
            <w:r>
              <w:rPr>
                <w:sz w:val="18"/>
                <w:szCs w:val="18"/>
              </w:rPr>
              <w:t xml:space="preserve">10,874</w:t>
            </w:r>
          </w:p>
        </w:tc>
        <w:tc>
          <w:tcPr>
            <w:tcW w:w="2500" w:type="dxa"/>
            <w:vAlign w:val="center"/>
          </w:tcPr>
          <w:p>
            <w:pPr>
              <w:spacing w:before="0" w:after="0"/>
              <w:jc w:val="right"/>
            </w:pPr>
            <w:r>
              <w:rPr>
                <w:sz w:val="18"/>
                <w:szCs w:val="18"/>
              </w:rPr>
              <w:t xml:space="preserve">11,580</w:t>
            </w:r>
          </w:p>
        </w:tc>
      </w:tr>
    </w:tbl>
    <w:p>
      <w:pPr/>
    </w:p>
    <w:p>
      <w:pPr>
        <w:keepNext/>
      </w:pPr>
      <w:r>
        <w:rPr>
          <w:b/>
        </w:rPr>
        <w:t xml:space="preserve">2. Revenue recognition</w:t>
      </w:r>
    </w:p>
    <w:p>
      <w:pPr>
        <w:ind w:left="0" w:firstLine="360"/>
      </w:pPr>
      <w:r>
        <w:t xml:space="preserve">Net cash provided by operating activities was $146,956 thousand, mainly reflecting net income and depreciation and amortization. Food safety incidents, whether or not they occur at our stores, could harm the reputation of the Nimbus Coffee brand and reduce customer traffic. Weather affects customer traffic: cold drinks sell best in summer, while hot beverages and whole beans sell best from October through February. The Company leases all of its store premises under operating leases with initial terms of ten years, most of which include options to renew. The Company holds no derivatives other than coffee futures contracts used to fix the price of part of its future green coffee purchases.</w:t>
      </w:r>
    </w:p>
    <w:p>
      <w:pPr>
        <w:ind w:left="0" w:firstLine="360"/>
      </w:pPr>
      <w:r>
        <w:t xml:space="preserve">Nimbus Coffee buys 23.0% of its green coffee by volume from farms certified under recognized sustainability standards. These forward-looking statements are based on information available as of the date of this statement, and actual results may differ materially because of many factors. The ability of the Company to open new stores depends on finding suitable sites on acceptable lease terms and on hiring and training store managers.</w:t>
      </w:r>
    </w:p>
    <w:p>
      <w:pPr>
        <w:keepNext/>
      </w:pPr>
      <w:r>
        <w:rPr>
          <w:b/>
        </w:rPr>
        <w:t xml:space="preserve">3. Leases</w:t>
      </w:r>
    </w:p>
    <w:p>
      <w:pPr>
        <w:ind w:left="0" w:firstLine="360"/>
      </w:pPr>
      <w:r>
        <w:t xml:space="preserve">Store operating expenses, which consist mainly of wages, benefits and supplies, were 29.3% of revenue, compared with 29.2% in the prior year. Revenue from stores in the Harborview region increased 16.6% compared with the prior year, while its share of total revenue was little changed. Nimbus Coffee operates specialty coffee shops under the Nimbus Coffee name and roasts all of the coffee it serves at its own roastery in Northfield. Net cash used in financing activities was $8,011 thousand, reflecting repayments of the term loan and dividends paid.</w:t>
      </w:r>
    </w:p>
    <w:p>
      <w:pPr>
        <w:ind w:left="0" w:firstLine="360"/>
      </w:pPr>
      <w:r>
        <w:t xml:space="preserve">The Group depends on a small number of dairy and bakery suppliers in each region, and an interruption in their deliveries could affect sales at the stores they serve. Weather affects customer traffic: cold drinks sell best in summer, while hot beverages and whole beans sell best from October through February. Net cash provided by operating activities was $18,157 thousand, mainly reflecting net income and depreciation and amortization. Revenue from loyalty rewards is deferred until the reward is redeemed or expires.</w:t>
      </w:r>
    </w:p>
    <w:tbl>
      <w:tblPr>
        <w:tblW w:w="907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72" w:type="dxa"/>
          <w:right w:w="72" w:type="dxa"/>
        </w:tblCellMar>
      </w:tblPr>
      <w:tblGrid>
        <w:gridCol w:w="4072"/>
        <w:gridCol w:w="2500"/>
        <w:gridCol w:w="2500"/>
      </w:tblGrid>
      <w:tr>
        <w:trPr>
          <w:tblHeader/>
        </w:trPr>
        <w:tc>
          <w:tcPr>
            <w:tcW w:w="4072" w:type="dxa"/>
            <w:shd w:val="clear" w:color="auto" w:fill="DDEBF7"/>
            <w:vAlign w:val="center"/>
          </w:tcPr>
          <w:p>
            <w:pPr>
              <w:spacing w:before="0" w:after="0"/>
              <w:jc w:val="center"/>
            </w:pPr>
            <w:r>
              <w:rPr>
                <w:b/>
                <w:sz w:val="18"/>
                <w:szCs w:val="18"/>
              </w:rPr>
              <w:t xml:space="preserve">Item</w:t>
            </w:r>
          </w:p>
        </w:tc>
        <w:tc>
          <w:tcPr>
            <w:tcW w:w="2500" w:type="dxa"/>
            <w:shd w:val="clear" w:color="auto" w:fill="DDEBF7"/>
            <w:vAlign w:val="center"/>
          </w:tcPr>
          <w:p>
            <w:pPr>
              <w:spacing w:before="0" w:after="0"/>
              <w:jc w:val="center"/>
            </w:pPr>
            <w:r>
              <w:rPr>
                <w:b/>
                <w:sz w:val="18"/>
                <w:szCs w:val="18"/>
              </w:rPr>
              <w:t xml:space="preserve">FY2023</w:t>
            </w:r>
          </w:p>
        </w:tc>
        <w:tc>
          <w:tcPr>
            <w:tcW w:w="2500" w:type="dxa"/>
            <w:shd w:val="clear" w:color="auto" w:fill="DDEBF7"/>
            <w:vAlign w:val="center"/>
          </w:tcPr>
          <w:p>
            <w:pPr>
              <w:spacing w:before="0" w:after="0"/>
              <w:jc w:val="center"/>
            </w:pPr>
            <w:r>
              <w:rPr>
                <w:b/>
                <w:sz w:val="18"/>
                <w:szCs w:val="18"/>
              </w:rPr>
              <w:t xml:space="preserve">FY2024</w:t>
            </w:r>
          </w:p>
        </w:tc>
      </w:tr>
      <w:tr>
        <w:tc>
          <w:tcPr>
            <w:tcW w:w="4072" w:type="dxa"/>
            <w:vAlign w:val="center"/>
          </w:tcPr>
          <w:p>
            <w:pPr>
              <w:spacing w:before="0" w:after="0"/>
              <w:jc w:val="left"/>
            </w:pPr>
            <w:r>
              <w:rPr>
                <w:sz w:val="18"/>
                <w:szCs w:val="18"/>
              </w:rPr>
              <w:t xml:space="preserve">Accounts payable</w:t>
            </w:r>
          </w:p>
        </w:tc>
        <w:tc>
          <w:tcPr>
            <w:tcW w:w="2500" w:type="dxa"/>
            <w:vAlign w:val="center"/>
          </w:tcPr>
          <w:p>
            <w:pPr>
              <w:spacing w:before="0" w:after="0"/>
              <w:jc w:val="right"/>
            </w:pPr>
            <w:r>
              <w:rPr>
                <w:sz w:val="18"/>
                <w:szCs w:val="18"/>
              </w:rPr>
              <w:t xml:space="preserve">26,459</w:t>
            </w:r>
          </w:p>
        </w:tc>
        <w:tc>
          <w:tcPr>
            <w:tcW w:w="2500" w:type="dxa"/>
            <w:vAlign w:val="center"/>
          </w:tcPr>
          <w:p>
            <w:pPr>
              <w:spacing w:before="0" w:after="0"/>
              <w:jc w:val="right"/>
            </w:pPr>
            <w:r>
              <w:rPr>
                <w:sz w:val="18"/>
                <w:szCs w:val="18"/>
              </w:rPr>
              <w:t xml:space="preserve">29,486</w:t>
            </w:r>
          </w:p>
        </w:tc>
      </w:tr>
      <w:tr>
        <w:tc>
          <w:tcPr>
            <w:tcW w:w="4072" w:type="dxa"/>
            <w:vAlign w:val="center"/>
          </w:tcPr>
          <w:p>
            <w:pPr>
              <w:spacing w:before="0" w:after="0"/>
              <w:jc w:val="left"/>
            </w:pPr>
            <w:r>
              <w:rPr>
                <w:sz w:val="18"/>
                <w:szCs w:val="18"/>
              </w:rPr>
              <w:t xml:space="preserve">Operating lease right-of-use assets</w:t>
            </w:r>
          </w:p>
        </w:tc>
        <w:tc>
          <w:tcPr>
            <w:tcW w:w="2500" w:type="dxa"/>
            <w:vAlign w:val="center"/>
          </w:tcPr>
          <w:p>
            <w:pPr>
              <w:spacing w:before="0" w:after="0"/>
              <w:jc w:val="right"/>
            </w:pPr>
            <w:r>
              <w:rPr>
                <w:sz w:val="18"/>
                <w:szCs w:val="18"/>
              </w:rPr>
              <w:t xml:space="preserve">17,929</w:t>
            </w:r>
          </w:p>
        </w:tc>
        <w:tc>
          <w:tcPr>
            <w:tcW w:w="2500" w:type="dxa"/>
            <w:vAlign w:val="center"/>
          </w:tcPr>
          <w:p>
            <w:pPr>
              <w:spacing w:before="0" w:after="0"/>
              <w:jc w:val="right"/>
            </w:pPr>
            <w:r>
              <w:rPr>
                <w:sz w:val="18"/>
                <w:szCs w:val="18"/>
              </w:rPr>
              <w:t xml:space="preserve">20,085</w:t>
            </w:r>
          </w:p>
        </w:tc>
      </w:tr>
      <w:tr>
        <w:tc>
          <w:tcPr>
            <w:tcW w:w="4072" w:type="dxa"/>
            <w:vAlign w:val="center"/>
          </w:tcPr>
          <w:p>
            <w:pPr>
              <w:spacing w:before="0" w:after="0"/>
              <w:jc w:val="left"/>
            </w:pPr>
            <w:r>
              <w:rPr>
                <w:sz w:val="18"/>
                <w:szCs w:val="18"/>
              </w:rPr>
              <w:t xml:space="preserve">Inventories</w:t>
            </w:r>
          </w:p>
        </w:tc>
        <w:tc>
          <w:tcPr>
            <w:tcW w:w="2500" w:type="dxa"/>
            <w:vAlign w:val="center"/>
          </w:tcPr>
          <w:p>
            <w:pPr>
              <w:spacing w:before="0" w:after="0"/>
              <w:jc w:val="right"/>
            </w:pPr>
            <w:r>
              <w:rPr>
                <w:sz w:val="18"/>
                <w:szCs w:val="18"/>
              </w:rPr>
              <w:t xml:space="preserve">29,720</w:t>
            </w:r>
          </w:p>
        </w:tc>
        <w:tc>
          <w:tcPr>
            <w:tcW w:w="2500" w:type="dxa"/>
            <w:vAlign w:val="center"/>
          </w:tcPr>
          <w:p>
            <w:pPr>
              <w:spacing w:before="0" w:after="0"/>
              <w:jc w:val="right"/>
            </w:pPr>
            <w:r>
              <w:rPr>
                <w:sz w:val="18"/>
                <w:szCs w:val="18"/>
              </w:rPr>
              <w:t xml:space="preserve">34,897</w:t>
            </w:r>
          </w:p>
        </w:tc>
      </w:tr>
      <w:tr>
        <w:tc>
          <w:tcPr>
            <w:tcW w:w="4072" w:type="dxa"/>
            <w:vAlign w:val="center"/>
          </w:tcPr>
          <w:p>
            <w:pPr>
              <w:spacing w:before="0" w:after="0"/>
              <w:jc w:val="left"/>
            </w:pPr>
            <w:r>
              <w:rPr>
                <w:sz w:val="18"/>
                <w:szCs w:val="18"/>
              </w:rPr>
              <w:t xml:space="preserve">Operating lease liabilities, net of current portion</w:t>
            </w:r>
          </w:p>
        </w:tc>
        <w:tc>
          <w:tcPr>
            <w:tcW w:w="2500" w:type="dxa"/>
            <w:vAlign w:val="center"/>
          </w:tcPr>
          <w:p>
            <w:pPr>
              <w:spacing w:before="0" w:after="0"/>
              <w:jc w:val="right"/>
            </w:pPr>
            <w:r>
              <w:rPr>
                <w:sz w:val="18"/>
                <w:szCs w:val="18"/>
              </w:rPr>
              <w:t xml:space="preserve">18,219</w:t>
            </w:r>
          </w:p>
        </w:tc>
        <w:tc>
          <w:tcPr>
            <w:tcW w:w="2500" w:type="dxa"/>
            <w:vAlign w:val="center"/>
          </w:tcPr>
          <w:p>
            <w:pPr>
              <w:spacing w:before="0" w:after="0"/>
              <w:jc w:val="right"/>
            </w:pPr>
            <w:r>
              <w:rPr>
                <w:sz w:val="18"/>
                <w:szCs w:val="18"/>
              </w:rPr>
              <w:t xml:space="preserve">20,242</w:t>
            </w:r>
          </w:p>
        </w:tc>
      </w:tr>
      <w:tr>
        <w:tc>
          <w:tcPr>
            <w:tcW w:w="4072" w:type="dxa"/>
            <w:vAlign w:val="center"/>
          </w:tcPr>
          <w:p>
            <w:pPr>
              <w:spacing w:before="0" w:after="0"/>
              <w:jc w:val="left"/>
            </w:pPr>
            <w:r>
              <w:rPr>
                <w:sz w:val="18"/>
                <w:szCs w:val="18"/>
              </w:rPr>
              <w:t xml:space="preserve">Accrued payroll and benefits</w:t>
            </w:r>
          </w:p>
        </w:tc>
        <w:tc>
          <w:tcPr>
            <w:tcW w:w="2500" w:type="dxa"/>
            <w:vAlign w:val="center"/>
          </w:tcPr>
          <w:p>
            <w:pPr>
              <w:spacing w:before="0" w:after="0"/>
              <w:jc w:val="right"/>
            </w:pPr>
            <w:r>
              <w:rPr>
                <w:sz w:val="18"/>
                <w:szCs w:val="18"/>
              </w:rPr>
              <w:t xml:space="preserve">27,492</w:t>
            </w:r>
          </w:p>
        </w:tc>
        <w:tc>
          <w:tcPr>
            <w:tcW w:w="2500" w:type="dxa"/>
            <w:vAlign w:val="center"/>
          </w:tcPr>
          <w:p>
            <w:pPr>
              <w:spacing w:before="0" w:after="0"/>
              <w:jc w:val="right"/>
            </w:pPr>
            <w:r>
              <w:rPr>
                <w:sz w:val="18"/>
                <w:szCs w:val="18"/>
              </w:rPr>
              <w:t xml:space="preserve">31,729</w:t>
            </w:r>
          </w:p>
        </w:tc>
      </w:tr>
      <w:tr>
        <w:tc>
          <w:tcPr>
            <w:tcW w:w="4072" w:type="dxa"/>
            <w:vAlign w:val="center"/>
          </w:tcPr>
          <w:p>
            <w:pPr>
              <w:spacing w:before="0" w:after="0"/>
              <w:jc w:val="left"/>
            </w:pPr>
            <w:r>
              <w:rPr>
                <w:sz w:val="18"/>
                <w:szCs w:val="18"/>
              </w:rPr>
              <w:t xml:space="preserve">Current portion of operating lease liabilities</w:t>
            </w:r>
          </w:p>
        </w:tc>
        <w:tc>
          <w:tcPr>
            <w:tcW w:w="2500" w:type="dxa"/>
            <w:vAlign w:val="center"/>
          </w:tcPr>
          <w:p>
            <w:pPr>
              <w:spacing w:before="0" w:after="0"/>
              <w:jc w:val="right"/>
            </w:pPr>
            <w:r>
              <w:rPr>
                <w:sz w:val="18"/>
                <w:szCs w:val="18"/>
              </w:rPr>
              <w:t xml:space="preserve">17,806</w:t>
            </w:r>
          </w:p>
        </w:tc>
        <w:tc>
          <w:tcPr>
            <w:tcW w:w="2500" w:type="dxa"/>
            <w:vAlign w:val="center"/>
          </w:tcPr>
          <w:p>
            <w:pPr>
              <w:spacing w:before="0" w:after="0"/>
              <w:jc w:val="right"/>
            </w:pPr>
            <w:r>
              <w:rPr>
                <w:sz w:val="18"/>
                <w:szCs w:val="18"/>
              </w:rPr>
              <w:t xml:space="preserve">18,439</w:t>
            </w:r>
          </w:p>
        </w:tc>
      </w:tr>
    </w:tbl>
    <w:p>
      <w:pPr/>
    </w:p>
    <w:p>
      <w:pPr>
        <w:keepNext/>
      </w:pPr>
      <w:r>
        <w:rPr>
          <w:b/>
        </w:rPr>
        <w:t xml:space="preserve">4. Fair value measurements</w:t>
      </w:r>
    </w:p>
    <w:p>
      <w:pPr>
        <w:ind w:left="0" w:firstLine="360"/>
      </w:pPr>
      <w:r>
        <w:t xml:space="preserve">The Group operates specialty coffee shops under the Nimbus Coffee name and roasts all of the coffee it serves at its own roastery in Northfield. Nimbus Coffee operates specialty coffee shops under the Nimbus Coffee name and roasts all of the coffee it serves at its own roastery in Northfield. New stores generally reach the sales level of a mature store within eighteen to twenty-four months of opening.</w:t>
      </w:r>
    </w:p>
    <w:p>
      <w:pPr>
        <w:ind w:left="0" w:firstLine="360"/>
      </w:pPr>
      <w:r>
        <w:t xml:space="preserve">Orders placed through the online store, including orders for pickup in store and home delivery of whole beans, accounted for 52.1% of revenue in the Beverages and Beans categories. The Group leases all of its store premises under operating leases with initial terms of ten years, most of which include options to renew. The roastery produced 439 thousand pounds of roasted coffee during the fiscal year, of which 55.5% was sold through company-operated stores. The loyalty program had 628 thousand active members at the end of the fiscal year, and purchases by members accounted for 19.0% of store revenue. Net cash provided by operating activities was $131,610 thousand, mainly reflecting net income and depreciation and amortization.</w:t>
      </w:r>
    </w:p>
    <w:p>
      <w:pPr>
        <w:keepNext/>
      </w:pPr>
      <w:r>
        <w:rPr>
          <w:b/>
        </w:rPr>
        <w:t xml:space="preserve">5. Inventories</w:t>
      </w:r>
    </w:p>
    <w:p>
      <w:pPr>
        <w:ind w:left="0" w:firstLine="360"/>
      </w:pPr>
      <w:r>
        <w:t xml:space="preserve">Total assets at the end of the fiscal year were $136,840 thousand, an increase of $20,735 thousand from the end of the prior fiscal year. At the end of the fiscal year, the Group operated 169 company-operated stores in eight regions: Northfield, Eastbay, Southport, Westridge, Lakeside, Hillcrest, Riverside and Harborview. The Group holds no derivatives other than coffee futures contracts used to fix the price of part of its future green coffee purchases.</w:t>
      </w:r>
    </w:p>
    <w:p>
      <w:pPr>
        <w:ind w:left="0" w:firstLine="360"/>
      </w:pPr>
      <w:r>
        <w:t xml:space="preserve">Labor costs are affected by minimum wage laws in the regions where the stores are located, and further increases could reduce store margins. The price of green coffee is volatile, and a sustained increase could reduce gross margin if Nimbus Coffee is unable to pass the cost on to customers through menu prices. Net cash provided by operating activities was $148,325 thousand, mainly reflecting net income and depreciation and amortization. Baristas complete a four-week training course before working on the floor, and store managers complete a further course at the Northfield training center.</w:t>
      </w:r>
    </w:p>
    <w:p>
      <w:pPr>
        <w:ind w:left="0" w:firstLine="360"/>
      </w:pPr>
      <w:r>
        <w:t xml:space="preserve">Wholesale revenue comes from sales of roasted beans to restaurants, hotels and grocery stores in the regions where the Group operates. Baristas complete a four-week training course before working on the floor, and store managers complete a further course at the Northfield training center. Food safety incidents, whether or not they occur at our stores, could harm the reputation of the Nimbus Coffee brand and reduce customer traffic.</w:t>
      </w:r>
    </w:p>
    <w:tbl>
      <w:tblPr>
        <w:tblW w:w="907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72" w:type="dxa"/>
          <w:right w:w="72" w:type="dxa"/>
        </w:tblCellMar>
      </w:tblPr>
      <w:tblGrid>
        <w:gridCol w:w="4072"/>
        <w:gridCol w:w="2500"/>
        <w:gridCol w:w="2500"/>
      </w:tblGrid>
      <w:tr>
        <w:trPr>
          <w:tblHeader/>
        </w:trPr>
        <w:tc>
          <w:tcPr>
            <w:tcW w:w="4072" w:type="dxa"/>
            <w:shd w:val="clear" w:color="auto" w:fill="DDEBF7"/>
            <w:vAlign w:val="center"/>
          </w:tcPr>
          <w:p>
            <w:pPr>
              <w:spacing w:before="0" w:after="0"/>
              <w:jc w:val="center"/>
            </w:pPr>
            <w:r>
              <w:rPr>
                <w:b/>
                <w:sz w:val="18"/>
                <w:szCs w:val="18"/>
              </w:rPr>
              <w:t xml:space="preserve">Item</w:t>
            </w:r>
          </w:p>
        </w:tc>
        <w:tc>
          <w:tcPr>
            <w:tcW w:w="2500" w:type="dxa"/>
            <w:shd w:val="clear" w:color="auto" w:fill="DDEBF7"/>
            <w:vAlign w:val="center"/>
          </w:tcPr>
          <w:p>
            <w:pPr>
              <w:spacing w:before="0" w:after="0"/>
              <w:jc w:val="center"/>
            </w:pPr>
            <w:r>
              <w:rPr>
                <w:b/>
                <w:sz w:val="18"/>
                <w:szCs w:val="18"/>
              </w:rPr>
              <w:t xml:space="preserve">FY2023</w:t>
            </w:r>
          </w:p>
        </w:tc>
        <w:tc>
          <w:tcPr>
            <w:tcW w:w="2500" w:type="dxa"/>
            <w:shd w:val="clear" w:color="auto" w:fill="DDEBF7"/>
            <w:vAlign w:val="center"/>
          </w:tcPr>
          <w:p>
            <w:pPr>
              <w:spacing w:before="0" w:after="0"/>
              <w:jc w:val="center"/>
            </w:pPr>
            <w:r>
              <w:rPr>
                <w:b/>
                <w:sz w:val="18"/>
                <w:szCs w:val="18"/>
              </w:rPr>
              <w:t xml:space="preserve">FY2024</w:t>
            </w:r>
          </w:p>
        </w:tc>
      </w:tr>
      <w:tr>
        <w:tc>
          <w:tcPr>
            <w:tcW w:w="4072" w:type="dxa"/>
            <w:vAlign w:val="center"/>
          </w:tcPr>
          <w:p>
            <w:pPr>
              <w:spacing w:before="0" w:after="0"/>
              <w:jc w:val="left"/>
            </w:pPr>
            <w:r>
              <w:rPr>
                <w:sz w:val="18"/>
                <w:szCs w:val="18"/>
              </w:rPr>
              <w:t xml:space="preserve">Accounts receivable, net</w:t>
            </w:r>
          </w:p>
        </w:tc>
        <w:tc>
          <w:tcPr>
            <w:tcW w:w="2500" w:type="dxa"/>
            <w:vAlign w:val="center"/>
          </w:tcPr>
          <w:p>
            <w:pPr>
              <w:spacing w:before="0" w:after="0"/>
              <w:jc w:val="right"/>
            </w:pPr>
            <w:r>
              <w:rPr>
                <w:sz w:val="18"/>
                <w:szCs w:val="18"/>
              </w:rPr>
              <w:t xml:space="preserve">30,856</w:t>
            </w:r>
          </w:p>
        </w:tc>
        <w:tc>
          <w:tcPr>
            <w:tcW w:w="2500" w:type="dxa"/>
            <w:vAlign w:val="center"/>
          </w:tcPr>
          <w:p>
            <w:pPr>
              <w:spacing w:before="0" w:after="0"/>
              <w:jc w:val="right"/>
            </w:pPr>
            <w:r>
              <w:rPr>
                <w:sz w:val="18"/>
                <w:szCs w:val="18"/>
              </w:rPr>
              <w:t xml:space="preserve">31,980</w:t>
            </w:r>
          </w:p>
        </w:tc>
      </w:tr>
      <w:tr>
        <w:tc>
          <w:tcPr>
            <w:tcW w:w="4072" w:type="dxa"/>
            <w:vAlign w:val="center"/>
          </w:tcPr>
          <w:p>
            <w:pPr>
              <w:spacing w:before="0" w:after="0"/>
              <w:jc w:val="left"/>
            </w:pPr>
            <w:r>
              <w:rPr>
                <w:sz w:val="18"/>
                <w:szCs w:val="18"/>
              </w:rPr>
              <w:t xml:space="preserve">Long-term debt, net of current portion</w:t>
            </w:r>
          </w:p>
        </w:tc>
        <w:tc>
          <w:tcPr>
            <w:tcW w:w="2500" w:type="dxa"/>
            <w:vAlign w:val="center"/>
          </w:tcPr>
          <w:p>
            <w:pPr>
              <w:spacing w:before="0" w:after="0"/>
              <w:jc w:val="right"/>
            </w:pPr>
            <w:r>
              <w:rPr>
                <w:sz w:val="18"/>
                <w:szCs w:val="18"/>
              </w:rPr>
              <w:t xml:space="preserve">20,311</w:t>
            </w:r>
          </w:p>
        </w:tc>
        <w:tc>
          <w:tcPr>
            <w:tcW w:w="2500" w:type="dxa"/>
            <w:vAlign w:val="center"/>
          </w:tcPr>
          <w:p>
            <w:pPr>
              <w:spacing w:before="0" w:after="0"/>
              <w:jc w:val="right"/>
            </w:pPr>
            <w:r>
              <w:rPr>
                <w:sz w:val="18"/>
                <w:szCs w:val="18"/>
              </w:rPr>
              <w:t xml:space="preserve">24,021</w:t>
            </w:r>
          </w:p>
        </w:tc>
      </w:tr>
      <w:tr>
        <w:tc>
          <w:tcPr>
            <w:tcW w:w="4072" w:type="dxa"/>
            <w:vAlign w:val="center"/>
          </w:tcPr>
          <w:p>
            <w:pPr>
              <w:spacing w:before="0" w:after="0"/>
              <w:jc w:val="left"/>
            </w:pPr>
            <w:r>
              <w:rPr>
                <w:sz w:val="18"/>
                <w:szCs w:val="18"/>
              </w:rPr>
              <w:t xml:space="preserve">Other long-term liabilities</w:t>
            </w:r>
          </w:p>
        </w:tc>
        <w:tc>
          <w:tcPr>
            <w:tcW w:w="2500" w:type="dxa"/>
            <w:vAlign w:val="center"/>
          </w:tcPr>
          <w:p>
            <w:pPr>
              <w:spacing w:before="0" w:after="0"/>
              <w:jc w:val="right"/>
            </w:pPr>
            <w:r>
              <w:rPr>
                <w:sz w:val="18"/>
                <w:szCs w:val="18"/>
              </w:rPr>
              <w:t xml:space="preserve">28,116</w:t>
            </w:r>
          </w:p>
        </w:tc>
        <w:tc>
          <w:tcPr>
            <w:tcW w:w="2500" w:type="dxa"/>
            <w:vAlign w:val="center"/>
          </w:tcPr>
          <w:p>
            <w:pPr>
              <w:spacing w:before="0" w:after="0"/>
              <w:jc w:val="right"/>
            </w:pPr>
            <w:r>
              <w:rPr>
                <w:sz w:val="18"/>
                <w:szCs w:val="18"/>
              </w:rPr>
              <w:t xml:space="preserve">31,092</w:t>
            </w:r>
          </w:p>
        </w:tc>
      </w:tr>
      <w:tr>
        <w:tc>
          <w:tcPr>
            <w:tcW w:w="4072" w:type="dxa"/>
            <w:vAlign w:val="center"/>
          </w:tcPr>
          <w:p>
            <w:pPr>
              <w:spacing w:before="0" w:after="0"/>
              <w:jc w:val="left"/>
            </w:pPr>
            <w:r>
              <w:rPr>
                <w:sz w:val="18"/>
                <w:szCs w:val="18"/>
              </w:rPr>
              <w:t xml:space="preserve">Current portion of long-term debt</w:t>
            </w:r>
          </w:p>
        </w:tc>
        <w:tc>
          <w:tcPr>
            <w:tcW w:w="2500" w:type="dxa"/>
            <w:vAlign w:val="center"/>
          </w:tcPr>
          <w:p>
            <w:pPr>
              <w:spacing w:before="0" w:after="0"/>
              <w:jc w:val="right"/>
            </w:pPr>
            <w:r>
              <w:rPr>
                <w:sz w:val="18"/>
                <w:szCs w:val="18"/>
              </w:rPr>
              <w:t xml:space="preserve">27,682</w:t>
            </w:r>
          </w:p>
        </w:tc>
        <w:tc>
          <w:tcPr>
            <w:tcW w:w="2500" w:type="dxa"/>
            <w:vAlign w:val="center"/>
          </w:tcPr>
          <w:p>
            <w:pPr>
              <w:spacing w:before="0" w:after="0"/>
              <w:jc w:val="right"/>
            </w:pPr>
            <w:r>
              <w:rPr>
                <w:sz w:val="18"/>
                <w:szCs w:val="18"/>
              </w:rPr>
              <w:t xml:space="preserve">32,499</w:t>
            </w:r>
          </w:p>
        </w:tc>
      </w:tr>
      <w:tr>
        <w:tc>
          <w:tcPr>
            <w:tcW w:w="4072" w:type="dxa"/>
            <w:vAlign w:val="center"/>
          </w:tcPr>
          <w:p>
            <w:pPr>
              <w:spacing w:before="0" w:after="0"/>
              <w:jc w:val="left"/>
            </w:pPr>
            <w:r>
              <w:rPr>
                <w:sz w:val="18"/>
                <w:szCs w:val="18"/>
              </w:rPr>
              <w:t xml:space="preserve">Other accrued liabilities</w:t>
            </w:r>
          </w:p>
        </w:tc>
        <w:tc>
          <w:tcPr>
            <w:tcW w:w="2500" w:type="dxa"/>
            <w:vAlign w:val="center"/>
          </w:tcPr>
          <w:p>
            <w:pPr>
              <w:spacing w:before="0" w:after="0"/>
              <w:jc w:val="right"/>
            </w:pPr>
            <w:r>
              <w:rPr>
                <w:sz w:val="18"/>
                <w:szCs w:val="18"/>
              </w:rPr>
              <w:t xml:space="preserve">22,949</w:t>
            </w:r>
          </w:p>
        </w:tc>
        <w:tc>
          <w:tcPr>
            <w:tcW w:w="2500" w:type="dxa"/>
            <w:vAlign w:val="center"/>
          </w:tcPr>
          <w:p>
            <w:pPr>
              <w:spacing w:before="0" w:after="0"/>
              <w:jc w:val="right"/>
            </w:pPr>
            <w:r>
              <w:rPr>
                <w:sz w:val="18"/>
                <w:szCs w:val="18"/>
              </w:rPr>
              <w:t xml:space="preserve">24,037</w:t>
            </w:r>
          </w:p>
        </w:tc>
      </w:tr>
      <w:tr>
        <w:tc>
          <w:tcPr>
            <w:tcW w:w="4072" w:type="dxa"/>
            <w:vAlign w:val="center"/>
          </w:tcPr>
          <w:p>
            <w:pPr>
              <w:spacing w:before="0" w:after="0"/>
              <w:jc w:val="left"/>
            </w:pPr>
            <w:r>
              <w:rPr>
                <w:sz w:val="18"/>
                <w:szCs w:val="18"/>
              </w:rPr>
              <w:t xml:space="preserve">Deferred income taxes</w:t>
            </w:r>
          </w:p>
        </w:tc>
        <w:tc>
          <w:tcPr>
            <w:tcW w:w="2500" w:type="dxa"/>
            <w:vAlign w:val="center"/>
          </w:tcPr>
          <w:p>
            <w:pPr>
              <w:spacing w:before="0" w:after="0"/>
              <w:jc w:val="right"/>
            </w:pPr>
            <w:r>
              <w:rPr>
                <w:sz w:val="18"/>
                <w:szCs w:val="18"/>
              </w:rPr>
              <w:t xml:space="preserve">10,730</w:t>
            </w:r>
          </w:p>
        </w:tc>
        <w:tc>
          <w:tcPr>
            <w:tcW w:w="2500" w:type="dxa"/>
            <w:vAlign w:val="center"/>
          </w:tcPr>
          <w:p>
            <w:pPr>
              <w:spacing w:before="0" w:after="0"/>
              <w:jc w:val="right"/>
            </w:pPr>
            <w:r>
              <w:rPr>
                <w:sz w:val="18"/>
                <w:szCs w:val="18"/>
              </w:rPr>
              <w:t xml:space="preserve">11,955</w:t>
            </w:r>
          </w:p>
        </w:tc>
      </w:tr>
    </w:tbl>
    <w:p>
      <w:pPr/>
    </w:p>
    <w:p>
      <w:pPr>
        <w:keepNext/>
      </w:pPr>
      <w:r>
        <w:rPr>
          <w:b/>
        </w:rPr>
        <w:t xml:space="preserve">6. Property and equipment</w:t>
      </w:r>
    </w:p>
    <w:p>
      <w:pPr>
        <w:ind w:left="0" w:firstLine="360"/>
      </w:pPr>
      <w:r>
        <w:t xml:space="preserve">At the end of the fiscal year, the Group operated 159 company-operated stores in eight regions: Northfield, Eastbay, Southport, Westridge, Lakeside, Hillcrest, Riverside and Harborview. Revenue from stores in the Riverside region was $34,226 thousand, or 4.8% of total revenue. Each store is managed by a store manager who reports to a district manager, and district managers report to the director for their region. Net cash provided by operating activities was $165,929 thousand, mainly reflecting net income and depreciation and amortization. The ability of the Group to open new stores depends on finding suitable sites on acceptable lease terms and on hiring and training store managers.</w:t>
      </w:r>
    </w:p>
    <w:p>
      <w:pPr>
        <w:ind w:left="0" w:firstLine="360"/>
      </w:pPr>
      <w:r>
        <w:t xml:space="preserve">These forward-looking statements are based on information available as of the date of this statement, and actual results may differ materially because of many factors. Nimbus Coffee holds no derivatives other than coffee futures contracts used to fix the price of part of its future green coffee purchases. Net cash used in financing activities was $4,013 thousand, reflecting repayments of the term loan and dividends paid.</w:t>
      </w:r>
    </w:p>
    <w:p>
      <w:pPr>
        <w:keepNext/>
      </w:pPr>
      <w:r>
        <w:rPr>
          <w:b/>
        </w:rPr>
        <w:t xml:space="preserve">7. Goodwill and other intangible assets</w:t>
      </w:r>
    </w:p>
    <w:p>
      <w:pPr>
        <w:ind w:left="0" w:firstLine="360"/>
      </w:pPr>
      <w:r>
        <w:t xml:space="preserve">Revenue from loyalty rewards is deferred until the reward is redeemed or expires. Revenue from stores in the Lakeside region increased 16.2% compared with the prior year, while its share of total revenue was little changed. Net cash provided by operating activities was $114,888 thousand, mainly reflecting net income and depreciation and amortization. The Group depends on a small number of dairy and bakery suppliers in each region, and an interruption in their deliveries could affect sales at the stores they serve. At the end of the fiscal year, the Group operated 166 company-operated stores in eight regions: Northfield, Eastbay, Southport, Westridge, Lakeside, Hillcrest, Riverside and Harborview.</w:t>
      </w:r>
    </w:p>
    <w:p>
      <w:pPr>
        <w:ind w:left="0" w:firstLine="360"/>
      </w:pPr>
      <w:r>
        <w:t xml:space="preserve">The Company operates specialty coffee shops under the Nimbus Coffee name and roasts all of the coffee it serves at its own roastery in Northfield. The price of green coffee is volatile, and a sustained increase could reduce gross margin if the Group is unable to pass the cost on to customers through menu prices. Energy use per store decreased 3.6% compared with the prior year, as older espresso machines and refrigerators were replaced with more efficient models. Comparable store sales increased 1.2%, driven by a 2.6% increase in average ticket and a 0.5% increase in transactions. Store operating expenses, which consist mainly of wages, benefits and supplies, were 28.9% of revenue, compared with 31.6% in the prior year. Baristas complete a four-week training course before working on the floor, and store managers complete a further course at the Northfield training center.</w:t>
      </w:r>
    </w:p>
    <w:tbl>
      <w:tblPr>
        <w:tblW w:w="907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72" w:type="dxa"/>
          <w:right w:w="72" w:type="dxa"/>
        </w:tblCellMar>
      </w:tblPr>
      <w:tblGrid>
        <w:gridCol w:w="4072"/>
        <w:gridCol w:w="2500"/>
        <w:gridCol w:w="2500"/>
      </w:tblGrid>
      <w:tr>
        <w:trPr>
          <w:tblHeader/>
        </w:trPr>
        <w:tc>
          <w:tcPr>
            <w:tcW w:w="4072" w:type="dxa"/>
            <w:shd w:val="clear" w:color="auto" w:fill="DDEBF7"/>
            <w:vAlign w:val="center"/>
          </w:tcPr>
          <w:p>
            <w:pPr>
              <w:spacing w:before="0" w:after="0"/>
              <w:jc w:val="center"/>
            </w:pPr>
            <w:r>
              <w:rPr>
                <w:b/>
                <w:sz w:val="18"/>
                <w:szCs w:val="18"/>
              </w:rPr>
              <w:t xml:space="preserve">Item</w:t>
            </w:r>
          </w:p>
        </w:tc>
        <w:tc>
          <w:tcPr>
            <w:tcW w:w="2500" w:type="dxa"/>
            <w:shd w:val="clear" w:color="auto" w:fill="DDEBF7"/>
            <w:vAlign w:val="center"/>
          </w:tcPr>
          <w:p>
            <w:pPr>
              <w:spacing w:before="0" w:after="0"/>
              <w:jc w:val="center"/>
            </w:pPr>
            <w:r>
              <w:rPr>
                <w:b/>
                <w:sz w:val="18"/>
                <w:szCs w:val="18"/>
              </w:rPr>
              <w:t xml:space="preserve">FY2023</w:t>
            </w:r>
          </w:p>
        </w:tc>
        <w:tc>
          <w:tcPr>
            <w:tcW w:w="2500" w:type="dxa"/>
            <w:shd w:val="clear" w:color="auto" w:fill="DDEBF7"/>
            <w:vAlign w:val="center"/>
          </w:tcPr>
          <w:p>
            <w:pPr>
              <w:spacing w:before="0" w:after="0"/>
              <w:jc w:val="center"/>
            </w:pPr>
            <w:r>
              <w:rPr>
                <w:b/>
                <w:sz w:val="18"/>
                <w:szCs w:val="18"/>
              </w:rPr>
              <w:t xml:space="preserve">FY2024</w:t>
            </w:r>
          </w:p>
        </w:tc>
      </w:tr>
      <w:tr>
        <w:tc>
          <w:tcPr>
            <w:tcW w:w="4072" w:type="dxa"/>
            <w:vAlign w:val="center"/>
          </w:tcPr>
          <w:p>
            <w:pPr>
              <w:spacing w:before="0" w:after="0"/>
              <w:jc w:val="left"/>
            </w:pPr>
            <w:r>
              <w:rPr>
                <w:sz w:val="18"/>
                <w:szCs w:val="18"/>
              </w:rPr>
              <w:t xml:space="preserve">Other long-term assets</w:t>
            </w:r>
          </w:p>
        </w:tc>
        <w:tc>
          <w:tcPr>
            <w:tcW w:w="2500" w:type="dxa"/>
            <w:vAlign w:val="center"/>
          </w:tcPr>
          <w:p>
            <w:pPr>
              <w:spacing w:before="0" w:after="0"/>
              <w:jc w:val="right"/>
            </w:pPr>
            <w:r>
              <w:rPr>
                <w:sz w:val="18"/>
                <w:szCs w:val="18"/>
              </w:rPr>
              <w:t xml:space="preserve">11,002</w:t>
            </w:r>
          </w:p>
        </w:tc>
        <w:tc>
          <w:tcPr>
            <w:tcW w:w="2500" w:type="dxa"/>
            <w:vAlign w:val="center"/>
          </w:tcPr>
          <w:p>
            <w:pPr>
              <w:spacing w:before="0" w:after="0"/>
              <w:jc w:val="right"/>
            </w:pPr>
            <w:r>
              <w:rPr>
                <w:sz w:val="18"/>
                <w:szCs w:val="18"/>
              </w:rPr>
              <w:t xml:space="preserve">13,037</w:t>
            </w:r>
          </w:p>
        </w:tc>
      </w:tr>
      <w:tr>
        <w:tc>
          <w:tcPr>
            <w:tcW w:w="4072" w:type="dxa"/>
            <w:vAlign w:val="center"/>
          </w:tcPr>
          <w:p>
            <w:pPr>
              <w:spacing w:before="0" w:after="0"/>
              <w:jc w:val="left"/>
            </w:pPr>
            <w:r>
              <w:rPr>
                <w:sz w:val="18"/>
                <w:szCs w:val="18"/>
              </w:rPr>
              <w:t xml:space="preserve">Property and equipment, net</w:t>
            </w:r>
          </w:p>
        </w:tc>
        <w:tc>
          <w:tcPr>
            <w:tcW w:w="2500" w:type="dxa"/>
            <w:vAlign w:val="center"/>
          </w:tcPr>
          <w:p>
            <w:pPr>
              <w:spacing w:before="0" w:after="0"/>
              <w:jc w:val="right"/>
            </w:pPr>
            <w:r>
              <w:rPr>
                <w:sz w:val="18"/>
                <w:szCs w:val="18"/>
              </w:rPr>
              <w:t xml:space="preserve">19,965</w:t>
            </w:r>
          </w:p>
        </w:tc>
        <w:tc>
          <w:tcPr>
            <w:tcW w:w="2500" w:type="dxa"/>
            <w:vAlign w:val="center"/>
          </w:tcPr>
          <w:p>
            <w:pPr>
              <w:spacing w:before="0" w:after="0"/>
              <w:jc w:val="right"/>
            </w:pPr>
            <w:r>
              <w:rPr>
                <w:sz w:val="18"/>
                <w:szCs w:val="18"/>
              </w:rPr>
              <w:t xml:space="preserve">22,695</w:t>
            </w:r>
          </w:p>
        </w:tc>
      </w:tr>
      <w:tr>
        <w:tc>
          <w:tcPr>
            <w:tcW w:w="4072" w:type="dxa"/>
            <w:vAlign w:val="center"/>
          </w:tcPr>
          <w:p>
            <w:pPr>
              <w:spacing w:before="0" w:after="0"/>
              <w:jc w:val="left"/>
            </w:pPr>
            <w:r>
              <w:rPr>
                <w:sz w:val="18"/>
                <w:szCs w:val="18"/>
              </w:rPr>
              <w:t xml:space="preserve">Accounts receivable, net</w:t>
            </w:r>
          </w:p>
        </w:tc>
        <w:tc>
          <w:tcPr>
            <w:tcW w:w="2500" w:type="dxa"/>
            <w:vAlign w:val="center"/>
          </w:tcPr>
          <w:p>
            <w:pPr>
              <w:spacing w:before="0" w:after="0"/>
              <w:jc w:val="right"/>
            </w:pPr>
            <w:r>
              <w:rPr>
                <w:sz w:val="18"/>
                <w:szCs w:val="18"/>
              </w:rPr>
              <w:t xml:space="preserve">24,443</w:t>
            </w:r>
          </w:p>
        </w:tc>
        <w:tc>
          <w:tcPr>
            <w:tcW w:w="2500" w:type="dxa"/>
            <w:vAlign w:val="center"/>
          </w:tcPr>
          <w:p>
            <w:pPr>
              <w:spacing w:before="0" w:after="0"/>
              <w:jc w:val="right"/>
            </w:pPr>
            <w:r>
              <w:rPr>
                <w:sz w:val="18"/>
                <w:szCs w:val="18"/>
              </w:rPr>
              <w:t xml:space="preserve">27,886</w:t>
            </w:r>
          </w:p>
        </w:tc>
      </w:tr>
      <w:tr>
        <w:tc>
          <w:tcPr>
            <w:tcW w:w="4072" w:type="dxa"/>
            <w:vAlign w:val="center"/>
          </w:tcPr>
          <w:p>
            <w:pPr>
              <w:spacing w:before="0" w:after="0"/>
              <w:jc w:val="left"/>
            </w:pPr>
            <w:r>
              <w:rPr>
                <w:sz w:val="18"/>
                <w:szCs w:val="18"/>
              </w:rPr>
              <w:t xml:space="preserve">Accounts receivable, net</w:t>
            </w:r>
          </w:p>
        </w:tc>
        <w:tc>
          <w:tcPr>
            <w:tcW w:w="2500" w:type="dxa"/>
            <w:vAlign w:val="center"/>
          </w:tcPr>
          <w:p>
            <w:pPr>
              <w:spacing w:before="0" w:after="0"/>
              <w:jc w:val="right"/>
            </w:pPr>
            <w:r>
              <w:rPr>
                <w:sz w:val="18"/>
                <w:szCs w:val="18"/>
              </w:rPr>
              <w:t xml:space="preserve">24,354</w:t>
            </w:r>
          </w:p>
        </w:tc>
        <w:tc>
          <w:tcPr>
            <w:tcW w:w="2500" w:type="dxa"/>
            <w:vAlign w:val="center"/>
          </w:tcPr>
          <w:p>
            <w:pPr>
              <w:spacing w:before="0" w:after="0"/>
              <w:jc w:val="right"/>
            </w:pPr>
            <w:r>
              <w:rPr>
                <w:sz w:val="18"/>
                <w:szCs w:val="18"/>
              </w:rPr>
              <w:t xml:space="preserve">27,526</w:t>
            </w:r>
          </w:p>
        </w:tc>
      </w:tr>
      <w:tr>
        <w:tc>
          <w:tcPr>
            <w:tcW w:w="4072" w:type="dxa"/>
            <w:vAlign w:val="center"/>
          </w:tcPr>
          <w:p>
            <w:pPr>
              <w:spacing w:before="0" w:after="0"/>
              <w:jc w:val="left"/>
            </w:pPr>
            <w:r>
              <w:rPr>
                <w:sz w:val="18"/>
                <w:szCs w:val="18"/>
              </w:rPr>
              <w:t xml:space="preserve">Property and equipment, net</w:t>
            </w:r>
          </w:p>
        </w:tc>
        <w:tc>
          <w:tcPr>
            <w:tcW w:w="2500" w:type="dxa"/>
            <w:vAlign w:val="center"/>
          </w:tcPr>
          <w:p>
            <w:pPr>
              <w:spacing w:before="0" w:after="0"/>
              <w:jc w:val="right"/>
            </w:pPr>
            <w:r>
              <w:rPr>
                <w:sz w:val="18"/>
                <w:szCs w:val="18"/>
              </w:rPr>
              <w:t xml:space="preserve">23,564</w:t>
            </w:r>
          </w:p>
        </w:tc>
        <w:tc>
          <w:tcPr>
            <w:tcW w:w="2500" w:type="dxa"/>
            <w:vAlign w:val="center"/>
          </w:tcPr>
          <w:p>
            <w:pPr>
              <w:spacing w:before="0" w:after="0"/>
              <w:jc w:val="right"/>
            </w:pPr>
            <w:r>
              <w:rPr>
                <w:sz w:val="18"/>
                <w:szCs w:val="18"/>
              </w:rPr>
              <w:t xml:space="preserve">27,945</w:t>
            </w:r>
          </w:p>
        </w:tc>
      </w:tr>
      <w:tr>
        <w:tc>
          <w:tcPr>
            <w:tcW w:w="4072" w:type="dxa"/>
            <w:vAlign w:val="center"/>
          </w:tcPr>
          <w:p>
            <w:pPr>
              <w:spacing w:before="0" w:after="0"/>
              <w:jc w:val="left"/>
            </w:pPr>
            <w:r>
              <w:rPr>
                <w:sz w:val="18"/>
                <w:szCs w:val="18"/>
              </w:rPr>
              <w:t xml:space="preserve">Current portion of operating lease liabilities</w:t>
            </w:r>
          </w:p>
        </w:tc>
        <w:tc>
          <w:tcPr>
            <w:tcW w:w="2500" w:type="dxa"/>
            <w:vAlign w:val="center"/>
          </w:tcPr>
          <w:p>
            <w:pPr>
              <w:spacing w:before="0" w:after="0"/>
              <w:jc w:val="right"/>
            </w:pPr>
            <w:r>
              <w:rPr>
                <w:sz w:val="18"/>
                <w:szCs w:val="18"/>
              </w:rPr>
              <w:t xml:space="preserve">7,317</w:t>
            </w:r>
          </w:p>
        </w:tc>
        <w:tc>
          <w:tcPr>
            <w:tcW w:w="2500" w:type="dxa"/>
            <w:vAlign w:val="center"/>
          </w:tcPr>
          <w:p>
            <w:pPr>
              <w:spacing w:before="0" w:after="0"/>
              <w:jc w:val="right"/>
            </w:pPr>
            <w:r>
              <w:rPr>
                <w:sz w:val="18"/>
                <w:szCs w:val="18"/>
              </w:rPr>
              <w:t xml:space="preserve">7,590</w:t>
            </w:r>
          </w:p>
        </w:tc>
      </w:tr>
    </w:tbl>
    <w:p>
      <w:pPr/>
    </w:p>
    <w:p>
      <w:pPr>
        <w:keepNext/>
      </w:pPr>
      <w:r>
        <w:rPr>
          <w:b/>
        </w:rPr>
        <w:t xml:space="preserve">8. Debt</w:t>
      </w:r>
    </w:p>
    <w:p>
      <w:pPr>
        <w:ind w:left="0" w:firstLine="360"/>
      </w:pPr>
      <w:r>
        <w:t xml:space="preserve">New stores generally reach the sales level of a mature store within eighteen to twenty-four months of opening. Revenue from company-operated stores was $8,838 thousand, or 28.2% of total revenue. Each store is managed by a store manager who reports to a district manager, and district managers report to the director for their region. Net cash used in financing activities was $3,213 thousand, reflecting repayments of the term loan and dividends paid. The price of green coffee is volatile, and a sustained increase could reduce gross margin if the Company is unable to pass the cost on to customers through menu prices. Occupancy costs increased to $2,234 thousand, reflecting rent for new stores and scheduled rent increases at existing locations.</w:t>
      </w:r>
    </w:p>
    <w:p>
      <w:pPr>
        <w:ind w:left="0" w:firstLine="360"/>
      </w:pPr>
      <w:r>
        <w:t xml:space="preserve">The loyalty program had 723 thousand active members at the end of the fiscal year, and purchases by members accounted for 34.3% of store revenue. The roastery produced 184 thousand pounds of roasted coffee during the fiscal year, of which 57.4% was sold through company-operated stores. Total assets at the end of the fiscal year were $157,908 thousand, an increase of $3,732 thousand from the end of the prior fiscal year. Labor costs are affected by minimum wage laws in the regions where the stores are located, and further increases could reduce store margins.</w:t>
      </w:r>
    </w:p>
    <w:p>
      <w:pPr>
        <w:keepNext/>
      </w:pPr>
      <w:r>
        <w:rPr>
          <w:b/>
        </w:rPr>
        <w:t xml:space="preserve">9. Stock-based compensation</w:t>
      </w:r>
    </w:p>
    <w:p>
      <w:pPr>
        <w:ind w:left="0" w:firstLine="360"/>
      </w:pPr>
      <w:r>
        <w:t xml:space="preserve">Net cash provided by operating activities was $83,624 thousand, mainly reflecting net income and depreciation and amortization. Baristas complete a four-week training course before working on the floor, and store managers complete a further course at the Northfield training center. Inventories consist of green coffee, roasted coffee, packaging, food and merchandise, and are stated at the lower of cost and net realizable value. Revenue from stores in the Riverside region increased 9.7% compared with the prior year, while its share of total revenue was little changed.</w:t>
      </w:r>
    </w:p>
    <w:p>
      <w:pPr>
        <w:ind w:left="0" w:firstLine="360"/>
      </w:pPr>
      <w:r>
        <w:t xml:space="preserve">Nimbus Coffee holds no derivatives other than coffee futures contracts used to fix the price of part of its future green coffee purchases. Energy use per store decreased 3.9% compared with the prior year, as older espresso machines and refrigerators were replaced with more efficient models. Food safety incidents, whether or not they occur at our stores, could harm the reputation of the Nimbus Coffee brand and reduce customer traffic.</w:t>
      </w:r>
    </w:p>
    <w:p>
      <w:pPr>
        <w:ind w:left="0" w:firstLine="360"/>
      </w:pPr>
      <w:r>
        <w:t xml:space="preserve">At the end of the fiscal year, Nimbus Coffee operated 157 company-operated stores in eight regions: Northfield, Eastbay, Southport, Westridge, Lakeside, Hillcrest, Riverside and Harborview. Comparable store sales increased 5.6%, driven by a 1.8% increase in average ticket and a 2.4% increase in transactions. The Group leases all of its store premises under operating leases with initial terms of ten years, most of which include options to renew. Store operating expenses, which consist mainly of wages, benefits and supplies, were 32.2% of revenue, compared with 35.8% in the prior year. New stores generally reach the sales level of a mature store within eighteen to twenty-four months of opening. During the fiscal year, the Group opened 19 new stores and closed 5 stores whose leases expired.</w:t>
      </w:r>
    </w:p>
    <w:tbl>
      <w:tblPr>
        <w:tblW w:w="907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72" w:type="dxa"/>
          <w:right w:w="72" w:type="dxa"/>
        </w:tblCellMar>
      </w:tblPr>
      <w:tblGrid>
        <w:gridCol w:w="4072"/>
        <w:gridCol w:w="2500"/>
        <w:gridCol w:w="2500"/>
      </w:tblGrid>
      <w:tr>
        <w:trPr>
          <w:tblHeader/>
        </w:trPr>
        <w:tc>
          <w:tcPr>
            <w:tcW w:w="4072" w:type="dxa"/>
            <w:shd w:val="clear" w:color="auto" w:fill="DDEBF7"/>
            <w:vAlign w:val="center"/>
          </w:tcPr>
          <w:p>
            <w:pPr>
              <w:spacing w:before="0" w:after="0"/>
              <w:jc w:val="center"/>
            </w:pPr>
            <w:r>
              <w:rPr>
                <w:b/>
                <w:sz w:val="18"/>
                <w:szCs w:val="18"/>
              </w:rPr>
              <w:t xml:space="preserve">Item</w:t>
            </w:r>
          </w:p>
        </w:tc>
        <w:tc>
          <w:tcPr>
            <w:tcW w:w="2500" w:type="dxa"/>
            <w:shd w:val="clear" w:color="auto" w:fill="DDEBF7"/>
            <w:vAlign w:val="center"/>
          </w:tcPr>
          <w:p>
            <w:pPr>
              <w:spacing w:before="0" w:after="0"/>
              <w:jc w:val="center"/>
            </w:pPr>
            <w:r>
              <w:rPr>
                <w:b/>
                <w:sz w:val="18"/>
                <w:szCs w:val="18"/>
              </w:rPr>
              <w:t xml:space="preserve">FY2023</w:t>
            </w:r>
          </w:p>
        </w:tc>
        <w:tc>
          <w:tcPr>
            <w:tcW w:w="2500" w:type="dxa"/>
            <w:shd w:val="clear" w:color="auto" w:fill="DDEBF7"/>
            <w:vAlign w:val="center"/>
          </w:tcPr>
          <w:p>
            <w:pPr>
              <w:spacing w:before="0" w:after="0"/>
              <w:jc w:val="center"/>
            </w:pPr>
            <w:r>
              <w:rPr>
                <w:b/>
                <w:sz w:val="18"/>
                <w:szCs w:val="18"/>
              </w:rPr>
              <w:t xml:space="preserve">FY2024</w:t>
            </w:r>
          </w:p>
        </w:tc>
      </w:tr>
      <w:tr>
        <w:tc>
          <w:tcPr>
            <w:tcW w:w="4072" w:type="dxa"/>
            <w:vAlign w:val="center"/>
          </w:tcPr>
          <w:p>
            <w:pPr>
              <w:spacing w:before="0" w:after="0"/>
              <w:jc w:val="left"/>
            </w:pPr>
            <w:r>
              <w:rPr>
                <w:sz w:val="18"/>
                <w:szCs w:val="18"/>
              </w:rPr>
              <w:t xml:space="preserve">Current portion of operating lease liabilities</w:t>
            </w:r>
          </w:p>
        </w:tc>
        <w:tc>
          <w:tcPr>
            <w:tcW w:w="2500" w:type="dxa"/>
            <w:vAlign w:val="center"/>
          </w:tcPr>
          <w:p>
            <w:pPr>
              <w:spacing w:before="0" w:after="0"/>
              <w:jc w:val="right"/>
            </w:pPr>
            <w:r>
              <w:rPr>
                <w:sz w:val="18"/>
                <w:szCs w:val="18"/>
              </w:rPr>
              <w:t xml:space="preserve">9,966</w:t>
            </w:r>
          </w:p>
        </w:tc>
        <w:tc>
          <w:tcPr>
            <w:tcW w:w="2500" w:type="dxa"/>
            <w:vAlign w:val="center"/>
          </w:tcPr>
          <w:p>
            <w:pPr>
              <w:spacing w:before="0" w:after="0"/>
              <w:jc w:val="right"/>
            </w:pPr>
            <w:r>
              <w:rPr>
                <w:sz w:val="18"/>
                <w:szCs w:val="18"/>
              </w:rPr>
              <w:t xml:space="preserve">10,194</w:t>
            </w:r>
          </w:p>
        </w:tc>
      </w:tr>
      <w:tr>
        <w:tc>
          <w:tcPr>
            <w:tcW w:w="4072" w:type="dxa"/>
            <w:vAlign w:val="center"/>
          </w:tcPr>
          <w:p>
            <w:pPr>
              <w:spacing w:before="0" w:after="0"/>
              <w:jc w:val="left"/>
            </w:pPr>
            <w:r>
              <w:rPr>
                <w:sz w:val="18"/>
                <w:szCs w:val="18"/>
              </w:rPr>
              <w:t xml:space="preserve">Other long-term assets</w:t>
            </w:r>
          </w:p>
        </w:tc>
        <w:tc>
          <w:tcPr>
            <w:tcW w:w="2500" w:type="dxa"/>
            <w:vAlign w:val="center"/>
          </w:tcPr>
          <w:p>
            <w:pPr>
              <w:spacing w:before="0" w:after="0"/>
              <w:jc w:val="right"/>
            </w:pPr>
            <w:r>
              <w:rPr>
                <w:sz w:val="18"/>
                <w:szCs w:val="18"/>
              </w:rPr>
              <w:t xml:space="preserve">26,691</w:t>
            </w:r>
          </w:p>
        </w:tc>
        <w:tc>
          <w:tcPr>
            <w:tcW w:w="2500" w:type="dxa"/>
            <w:vAlign w:val="center"/>
          </w:tcPr>
          <w:p>
            <w:pPr>
              <w:spacing w:before="0" w:after="0"/>
              <w:jc w:val="right"/>
            </w:pPr>
            <w:r>
              <w:rPr>
                <w:sz w:val="18"/>
                <w:szCs w:val="18"/>
              </w:rPr>
              <w:t xml:space="preserve">30,329</w:t>
            </w:r>
          </w:p>
        </w:tc>
      </w:tr>
      <w:tr>
        <w:tc>
          <w:tcPr>
            <w:tcW w:w="4072" w:type="dxa"/>
            <w:vAlign w:val="center"/>
          </w:tcPr>
          <w:p>
            <w:pPr>
              <w:spacing w:before="0" w:after="0"/>
              <w:jc w:val="left"/>
            </w:pPr>
            <w:r>
              <w:rPr>
                <w:sz w:val="18"/>
                <w:szCs w:val="18"/>
              </w:rPr>
              <w:t xml:space="preserve">Current portion of operating lease liabilities</w:t>
            </w:r>
          </w:p>
        </w:tc>
        <w:tc>
          <w:tcPr>
            <w:tcW w:w="2500" w:type="dxa"/>
            <w:vAlign w:val="center"/>
          </w:tcPr>
          <w:p>
            <w:pPr>
              <w:spacing w:before="0" w:after="0"/>
              <w:jc w:val="right"/>
            </w:pPr>
            <w:r>
              <w:rPr>
                <w:sz w:val="18"/>
                <w:szCs w:val="18"/>
              </w:rPr>
              <w:t xml:space="preserve">9,827</w:t>
            </w:r>
          </w:p>
        </w:tc>
        <w:tc>
          <w:tcPr>
            <w:tcW w:w="2500" w:type="dxa"/>
            <w:vAlign w:val="center"/>
          </w:tcPr>
          <w:p>
            <w:pPr>
              <w:spacing w:before="0" w:after="0"/>
              <w:jc w:val="right"/>
            </w:pPr>
            <w:r>
              <w:rPr>
                <w:sz w:val="18"/>
                <w:szCs w:val="18"/>
              </w:rPr>
              <w:t xml:space="preserve">10,854</w:t>
            </w:r>
          </w:p>
        </w:tc>
      </w:tr>
      <w:tr>
        <w:tc>
          <w:tcPr>
            <w:tcW w:w="4072" w:type="dxa"/>
            <w:vAlign w:val="center"/>
          </w:tcPr>
          <w:p>
            <w:pPr>
              <w:spacing w:before="0" w:after="0"/>
              <w:jc w:val="left"/>
            </w:pPr>
            <w:r>
              <w:rPr>
                <w:sz w:val="18"/>
                <w:szCs w:val="18"/>
              </w:rPr>
              <w:t xml:space="preserve">Operating lease right-of-use assets</w:t>
            </w:r>
          </w:p>
        </w:tc>
        <w:tc>
          <w:tcPr>
            <w:tcW w:w="2500" w:type="dxa"/>
            <w:vAlign w:val="center"/>
          </w:tcPr>
          <w:p>
            <w:pPr>
              <w:spacing w:before="0" w:after="0"/>
              <w:jc w:val="right"/>
            </w:pPr>
            <w:r>
              <w:rPr>
                <w:sz w:val="18"/>
                <w:szCs w:val="18"/>
              </w:rPr>
              <w:t xml:space="preserve">15,128</w:t>
            </w:r>
          </w:p>
        </w:tc>
        <w:tc>
          <w:tcPr>
            <w:tcW w:w="2500" w:type="dxa"/>
            <w:vAlign w:val="center"/>
          </w:tcPr>
          <w:p>
            <w:pPr>
              <w:spacing w:before="0" w:after="0"/>
              <w:jc w:val="right"/>
            </w:pPr>
            <w:r>
              <w:rPr>
                <w:sz w:val="18"/>
                <w:szCs w:val="18"/>
              </w:rPr>
              <w:t xml:space="preserve">17,030</w:t>
            </w:r>
          </w:p>
        </w:tc>
      </w:tr>
      <w:tr>
        <w:tc>
          <w:tcPr>
            <w:tcW w:w="4072" w:type="dxa"/>
            <w:vAlign w:val="center"/>
          </w:tcPr>
          <w:p>
            <w:pPr>
              <w:spacing w:before="0" w:after="0"/>
              <w:jc w:val="left"/>
            </w:pPr>
            <w:r>
              <w:rPr>
                <w:sz w:val="18"/>
                <w:szCs w:val="18"/>
              </w:rPr>
              <w:t xml:space="preserve">Accrued payroll and benefits</w:t>
            </w:r>
          </w:p>
        </w:tc>
        <w:tc>
          <w:tcPr>
            <w:tcW w:w="2500" w:type="dxa"/>
            <w:vAlign w:val="center"/>
          </w:tcPr>
          <w:p>
            <w:pPr>
              <w:spacing w:before="0" w:after="0"/>
              <w:jc w:val="right"/>
            </w:pPr>
            <w:r>
              <w:rPr>
                <w:sz w:val="18"/>
                <w:szCs w:val="18"/>
              </w:rPr>
              <w:t xml:space="preserve">19,198</w:t>
            </w:r>
          </w:p>
        </w:tc>
        <w:tc>
          <w:tcPr>
            <w:tcW w:w="2500" w:type="dxa"/>
            <w:vAlign w:val="center"/>
          </w:tcPr>
          <w:p>
            <w:pPr>
              <w:spacing w:before="0" w:after="0"/>
              <w:jc w:val="right"/>
            </w:pPr>
            <w:r>
              <w:rPr>
                <w:sz w:val="18"/>
                <w:szCs w:val="18"/>
              </w:rPr>
              <w:t xml:space="preserve">19,438</w:t>
            </w:r>
          </w:p>
        </w:tc>
      </w:tr>
      <w:tr>
        <w:tc>
          <w:tcPr>
            <w:tcW w:w="4072" w:type="dxa"/>
            <w:vAlign w:val="center"/>
          </w:tcPr>
          <w:p>
            <w:pPr>
              <w:spacing w:before="0" w:after="0"/>
              <w:jc w:val="left"/>
            </w:pPr>
            <w:r>
              <w:rPr>
                <w:sz w:val="18"/>
                <w:szCs w:val="18"/>
              </w:rPr>
              <w:t xml:space="preserve">Inventories</w:t>
            </w:r>
          </w:p>
        </w:tc>
        <w:tc>
          <w:tcPr>
            <w:tcW w:w="2500" w:type="dxa"/>
            <w:vAlign w:val="center"/>
          </w:tcPr>
          <w:p>
            <w:pPr>
              <w:spacing w:before="0" w:after="0"/>
              <w:jc w:val="right"/>
            </w:pPr>
            <w:r>
              <w:rPr>
                <w:sz w:val="18"/>
                <w:szCs w:val="18"/>
              </w:rPr>
              <w:t xml:space="preserve">30,530</w:t>
            </w:r>
          </w:p>
        </w:tc>
        <w:tc>
          <w:tcPr>
            <w:tcW w:w="2500" w:type="dxa"/>
            <w:vAlign w:val="center"/>
          </w:tcPr>
          <w:p>
            <w:pPr>
              <w:spacing w:before="0" w:after="0"/>
              <w:jc w:val="right"/>
            </w:pPr>
            <w:r>
              <w:rPr>
                <w:sz w:val="18"/>
                <w:szCs w:val="18"/>
              </w:rPr>
              <w:t xml:space="preserve">35,867</w:t>
            </w:r>
          </w:p>
        </w:tc>
      </w:tr>
    </w:tbl>
    <w:p>
      <w:pPr/>
    </w:p>
    <w:p>
      <w:pPr>
        <w:keepNext/>
      </w:pPr>
      <w:r>
        <w:rPr>
          <w:b/>
        </w:rPr>
        <w:t xml:space="preserve">10. Income taxes</w:t>
      </w:r>
    </w:p>
    <w:p>
      <w:pPr>
        <w:ind w:left="0" w:firstLine="360"/>
      </w:pPr>
      <w:r>
        <w:t xml:space="preserve">Food safety incidents, whether or not they occur at our stores, could harm the reputation of the Nimbus Coffee brand and reduce customer traffic. Baristas complete a four-week training course before working on the floor, and store managers complete a further course at the Northfield training center. At the end of the fiscal year, Nimbus Coffee operated 155 company-operated stores in eight regions: Northfield, Eastbay, Southport, Westridge, Lakeside, Hillcrest, Riverside and Harborview.</w:t>
      </w:r>
    </w:p>
    <w:p>
      <w:pPr>
        <w:ind w:left="0" w:firstLine="360"/>
      </w:pPr>
      <w:r>
        <w:t xml:space="preserve">Comparable store sales increased 1.5%, driven by a 2.9% increase in average ticket and a 3.2% increase in transactions. Net cash provided by operating activities was $306,559 thousand, mainly reflecting net income and depreciation and amortization. The Company holds no derivatives other than coffee futures contracts used to fix the price of part of its future green coffee purchases.</w:t>
      </w:r>
    </w:p>
    <w:p>
      <w:pPr>
        <w:keepNext/>
      </w:pPr>
      <w:r>
        <w:rPr>
          <w:b/>
        </w:rPr>
        <w:t xml:space="preserve">11. Segment reporting</w:t>
      </w:r>
    </w:p>
    <w:p>
      <w:pPr>
        <w:ind w:left="0" w:firstLine="360"/>
      </w:pPr>
      <w:r>
        <w:t xml:space="preserve">Labor costs are affected by minimum wage laws in the regions where the stores are located, and further increases could reduce store margins. Total assets at the end of the fiscal year were $244,658 thousand, an increase of $17,081 thousand from the end of the prior fiscal year. Total assets at the end of the fiscal year were $150,262 thousand, an increase of $4,984 thousand from the end of the prior fiscal year. During the fiscal year, the Group opened 7 new stores and closed 3 stores whose leases expired. Food safety incidents, whether or not they occur at our stores, could harm the reputation of the Nimbus Coffee brand and reduce customer traffic.</w:t>
      </w:r>
    </w:p>
    <w:p>
      <w:pPr>
        <w:ind w:left="0" w:firstLine="360"/>
      </w:pPr>
      <w:r>
        <w:t xml:space="preserve">These forward-looking statements are based on information available as of the date of this statement, and actual results may differ materially because of many factors. Energy use per store decreased 14.0% compared with the prior year, as older espresso machines and refrigerators were replaced with more efficient models. Nimbus Coffee operates specialty coffee shops under the Nimbus Coffee name and roasts all of the coffee it serves at its own roastery in Northfield. Net cash provided by operating activities was $181,830 thousand, mainly reflecting net income and depreciation and amortization.</w:t>
      </w:r>
    </w:p>
    <w:tbl>
      <w:tblPr>
        <w:tblW w:w="907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72" w:type="dxa"/>
          <w:right w:w="72" w:type="dxa"/>
        </w:tblCellMar>
      </w:tblPr>
      <w:tblGrid>
        <w:gridCol w:w="4072"/>
        <w:gridCol w:w="2500"/>
        <w:gridCol w:w="2500"/>
      </w:tblGrid>
      <w:tr>
        <w:trPr>
          <w:tblHeader/>
        </w:trPr>
        <w:tc>
          <w:tcPr>
            <w:tcW w:w="4072" w:type="dxa"/>
            <w:shd w:val="clear" w:color="auto" w:fill="DDEBF7"/>
            <w:vAlign w:val="center"/>
          </w:tcPr>
          <w:p>
            <w:pPr>
              <w:spacing w:before="0" w:after="0"/>
              <w:jc w:val="center"/>
            </w:pPr>
            <w:r>
              <w:rPr>
                <w:b/>
                <w:sz w:val="18"/>
                <w:szCs w:val="18"/>
              </w:rPr>
              <w:t xml:space="preserve">Item</w:t>
            </w:r>
          </w:p>
        </w:tc>
        <w:tc>
          <w:tcPr>
            <w:tcW w:w="2500" w:type="dxa"/>
            <w:shd w:val="clear" w:color="auto" w:fill="DDEBF7"/>
            <w:vAlign w:val="center"/>
          </w:tcPr>
          <w:p>
            <w:pPr>
              <w:spacing w:before="0" w:after="0"/>
              <w:jc w:val="center"/>
            </w:pPr>
            <w:r>
              <w:rPr>
                <w:b/>
                <w:sz w:val="18"/>
                <w:szCs w:val="18"/>
              </w:rPr>
              <w:t xml:space="preserve">FY2023</w:t>
            </w:r>
          </w:p>
        </w:tc>
        <w:tc>
          <w:tcPr>
            <w:tcW w:w="2500" w:type="dxa"/>
            <w:shd w:val="clear" w:color="auto" w:fill="DDEBF7"/>
            <w:vAlign w:val="center"/>
          </w:tcPr>
          <w:p>
            <w:pPr>
              <w:spacing w:before="0" w:after="0"/>
              <w:jc w:val="center"/>
            </w:pPr>
            <w:r>
              <w:rPr>
                <w:b/>
                <w:sz w:val="18"/>
                <w:szCs w:val="18"/>
              </w:rPr>
              <w:t xml:space="preserve">FY2024</w:t>
            </w:r>
          </w:p>
        </w:tc>
      </w:tr>
      <w:tr>
        <w:tc>
          <w:tcPr>
            <w:tcW w:w="4072" w:type="dxa"/>
            <w:vAlign w:val="center"/>
          </w:tcPr>
          <w:p>
            <w:pPr>
              <w:spacing w:before="0" w:after="0"/>
              <w:jc w:val="left"/>
            </w:pPr>
            <w:r>
              <w:rPr>
                <w:sz w:val="18"/>
                <w:szCs w:val="18"/>
              </w:rPr>
              <w:t xml:space="preserve">Deferred income taxes</w:t>
            </w:r>
          </w:p>
        </w:tc>
        <w:tc>
          <w:tcPr>
            <w:tcW w:w="2500" w:type="dxa"/>
            <w:vAlign w:val="center"/>
          </w:tcPr>
          <w:p>
            <w:pPr>
              <w:spacing w:before="0" w:after="0"/>
              <w:jc w:val="right"/>
            </w:pPr>
            <w:r>
              <w:rPr>
                <w:sz w:val="18"/>
                <w:szCs w:val="18"/>
              </w:rPr>
              <w:t xml:space="preserve">10,382</w:t>
            </w:r>
          </w:p>
        </w:tc>
        <w:tc>
          <w:tcPr>
            <w:tcW w:w="2500" w:type="dxa"/>
            <w:vAlign w:val="center"/>
          </w:tcPr>
          <w:p>
            <w:pPr>
              <w:spacing w:before="0" w:after="0"/>
              <w:jc w:val="right"/>
            </w:pPr>
            <w:r>
              <w:rPr>
                <w:sz w:val="18"/>
                <w:szCs w:val="18"/>
              </w:rPr>
              <w:t xml:space="preserve">11,519</w:t>
            </w:r>
          </w:p>
        </w:tc>
      </w:tr>
      <w:tr>
        <w:tc>
          <w:tcPr>
            <w:tcW w:w="4072" w:type="dxa"/>
            <w:vAlign w:val="center"/>
          </w:tcPr>
          <w:p>
            <w:pPr>
              <w:spacing w:before="0" w:after="0"/>
              <w:jc w:val="left"/>
            </w:pPr>
            <w:r>
              <w:rPr>
                <w:sz w:val="18"/>
                <w:szCs w:val="18"/>
              </w:rPr>
              <w:t xml:space="preserve">Operating lease liabilities, net of current portion</w:t>
            </w:r>
          </w:p>
        </w:tc>
        <w:tc>
          <w:tcPr>
            <w:tcW w:w="2500" w:type="dxa"/>
            <w:vAlign w:val="center"/>
          </w:tcPr>
          <w:p>
            <w:pPr>
              <w:spacing w:before="0" w:after="0"/>
              <w:jc w:val="right"/>
            </w:pPr>
            <w:r>
              <w:rPr>
                <w:sz w:val="18"/>
                <w:szCs w:val="18"/>
              </w:rPr>
              <w:t xml:space="preserve">24,076</w:t>
            </w:r>
          </w:p>
        </w:tc>
        <w:tc>
          <w:tcPr>
            <w:tcW w:w="2500" w:type="dxa"/>
            <w:vAlign w:val="center"/>
          </w:tcPr>
          <w:p>
            <w:pPr>
              <w:spacing w:before="0" w:after="0"/>
              <w:jc w:val="right"/>
            </w:pPr>
            <w:r>
              <w:rPr>
                <w:sz w:val="18"/>
                <w:szCs w:val="18"/>
              </w:rPr>
              <w:t xml:space="preserve">25,806</w:t>
            </w:r>
          </w:p>
        </w:tc>
      </w:tr>
      <w:tr>
        <w:tc>
          <w:tcPr>
            <w:tcW w:w="4072" w:type="dxa"/>
            <w:vAlign w:val="center"/>
          </w:tcPr>
          <w:p>
            <w:pPr>
              <w:spacing w:before="0" w:after="0"/>
              <w:jc w:val="left"/>
            </w:pPr>
            <w:r>
              <w:rPr>
                <w:sz w:val="18"/>
                <w:szCs w:val="18"/>
              </w:rPr>
              <w:t xml:space="preserve">Inventories</w:t>
            </w:r>
          </w:p>
        </w:tc>
        <w:tc>
          <w:tcPr>
            <w:tcW w:w="2500" w:type="dxa"/>
            <w:vAlign w:val="center"/>
          </w:tcPr>
          <w:p>
            <w:pPr>
              <w:spacing w:before="0" w:after="0"/>
              <w:jc w:val="right"/>
            </w:pPr>
            <w:r>
              <w:rPr>
                <w:sz w:val="18"/>
                <w:szCs w:val="18"/>
              </w:rPr>
              <w:t xml:space="preserve">17,476</w:t>
            </w:r>
          </w:p>
        </w:tc>
        <w:tc>
          <w:tcPr>
            <w:tcW w:w="2500" w:type="dxa"/>
            <w:vAlign w:val="center"/>
          </w:tcPr>
          <w:p>
            <w:pPr>
              <w:spacing w:before="0" w:after="0"/>
              <w:jc w:val="right"/>
            </w:pPr>
            <w:r>
              <w:rPr>
                <w:sz w:val="18"/>
                <w:szCs w:val="18"/>
              </w:rPr>
              <w:t xml:space="preserve">17,809</w:t>
            </w:r>
          </w:p>
        </w:tc>
      </w:tr>
      <w:tr>
        <w:tc>
          <w:tcPr>
            <w:tcW w:w="4072" w:type="dxa"/>
            <w:vAlign w:val="center"/>
          </w:tcPr>
          <w:p>
            <w:pPr>
              <w:spacing w:before="0" w:after="0"/>
              <w:jc w:val="left"/>
            </w:pPr>
            <w:r>
              <w:rPr>
                <w:sz w:val="18"/>
                <w:szCs w:val="18"/>
              </w:rPr>
              <w:t xml:space="preserve">Property and equipment, net</w:t>
            </w:r>
          </w:p>
        </w:tc>
        <w:tc>
          <w:tcPr>
            <w:tcW w:w="2500" w:type="dxa"/>
            <w:vAlign w:val="center"/>
          </w:tcPr>
          <w:p>
            <w:pPr>
              <w:spacing w:before="0" w:after="0"/>
              <w:jc w:val="right"/>
            </w:pPr>
            <w:r>
              <w:rPr>
                <w:sz w:val="18"/>
                <w:szCs w:val="18"/>
              </w:rPr>
              <w:t xml:space="preserve">10,966</w:t>
            </w:r>
          </w:p>
        </w:tc>
        <w:tc>
          <w:tcPr>
            <w:tcW w:w="2500" w:type="dxa"/>
            <w:vAlign w:val="center"/>
          </w:tcPr>
          <w:p>
            <w:pPr>
              <w:spacing w:before="0" w:after="0"/>
              <w:jc w:val="right"/>
            </w:pPr>
            <w:r>
              <w:rPr>
                <w:sz w:val="18"/>
                <w:szCs w:val="18"/>
              </w:rPr>
              <w:t xml:space="preserve">12,139</w:t>
            </w:r>
          </w:p>
        </w:tc>
      </w:tr>
      <w:tr>
        <w:tc>
          <w:tcPr>
            <w:tcW w:w="4072" w:type="dxa"/>
            <w:vAlign w:val="center"/>
          </w:tcPr>
          <w:p>
            <w:pPr>
              <w:spacing w:before="0" w:after="0"/>
              <w:jc w:val="left"/>
            </w:pPr>
            <w:r>
              <w:rPr>
                <w:sz w:val="18"/>
                <w:szCs w:val="18"/>
              </w:rPr>
              <w:t xml:space="preserve">Accounts receivable, net</w:t>
            </w:r>
          </w:p>
        </w:tc>
        <w:tc>
          <w:tcPr>
            <w:tcW w:w="2500" w:type="dxa"/>
            <w:vAlign w:val="center"/>
          </w:tcPr>
          <w:p>
            <w:pPr>
              <w:spacing w:before="0" w:after="0"/>
              <w:jc w:val="right"/>
            </w:pPr>
            <w:r>
              <w:rPr>
                <w:sz w:val="18"/>
                <w:szCs w:val="18"/>
              </w:rPr>
              <w:t xml:space="preserve">3,540</w:t>
            </w:r>
          </w:p>
        </w:tc>
        <w:tc>
          <w:tcPr>
            <w:tcW w:w="2500" w:type="dxa"/>
            <w:vAlign w:val="center"/>
          </w:tcPr>
          <w:p>
            <w:pPr>
              <w:spacing w:before="0" w:after="0"/>
              <w:jc w:val="right"/>
            </w:pPr>
            <w:r>
              <w:rPr>
                <w:sz w:val="18"/>
                <w:szCs w:val="18"/>
              </w:rPr>
              <w:t xml:space="preserve">3,698</w:t>
            </w:r>
          </w:p>
        </w:tc>
      </w:tr>
      <w:tr>
        <w:tc>
          <w:tcPr>
            <w:tcW w:w="4072" w:type="dxa"/>
            <w:vAlign w:val="center"/>
          </w:tcPr>
          <w:p>
            <w:pPr>
              <w:spacing w:before="0" w:after="0"/>
              <w:jc w:val="left"/>
            </w:pPr>
            <w:r>
              <w:rPr>
                <w:sz w:val="18"/>
                <w:szCs w:val="18"/>
              </w:rPr>
              <w:t xml:space="preserve">Property and equipment, net</w:t>
            </w:r>
          </w:p>
        </w:tc>
        <w:tc>
          <w:tcPr>
            <w:tcW w:w="2500" w:type="dxa"/>
            <w:vAlign w:val="center"/>
          </w:tcPr>
          <w:p>
            <w:pPr>
              <w:spacing w:before="0" w:after="0"/>
              <w:jc w:val="right"/>
            </w:pPr>
            <w:r>
              <w:rPr>
                <w:sz w:val="18"/>
                <w:szCs w:val="18"/>
              </w:rPr>
              <w:t xml:space="preserve">13,265</w:t>
            </w:r>
          </w:p>
        </w:tc>
        <w:tc>
          <w:tcPr>
            <w:tcW w:w="2500" w:type="dxa"/>
            <w:vAlign w:val="center"/>
          </w:tcPr>
          <w:p>
            <w:pPr>
              <w:spacing w:before="0" w:after="0"/>
              <w:jc w:val="right"/>
            </w:pPr>
            <w:r>
              <w:rPr>
                <w:sz w:val="18"/>
                <w:szCs w:val="18"/>
              </w:rPr>
              <w:t xml:space="preserve">15,532</w:t>
            </w:r>
          </w:p>
        </w:tc>
      </w:tr>
    </w:tbl>
    <w:p>
      <w:pPr/>
    </w:p>
    <w:p>
      <w:pPr>
        <w:keepNext/>
      </w:pPr>
      <w:r>
        <w:rPr>
          <w:b/>
        </w:rPr>
        <w:t xml:space="preserve">12. Related-party transactions</w:t>
      </w:r>
    </w:p>
    <w:p>
      <w:pPr>
        <w:ind w:left="0" w:firstLine="360"/>
      </w:pPr>
      <w:r>
        <w:t xml:space="preserve">Occupancy costs increased to $17,365 thousand, reflecting rent for new stores and scheduled rent increases at existing locations. Total revenue for the fiscal year was $151,769 thousand, an increase of 16.9% over the prior year, and operating income was $35,766 thousand, an increase of 22.3%. Revenue from company-operated stores was $33,704 thousand, or 37.3% of total revenue. Revenue from the Merchandise category was $17,941 thousand, or 18.0% of total revenue.</w:t>
      </w:r>
    </w:p>
    <w:p>
      <w:pPr>
        <w:ind w:left="0" w:firstLine="360"/>
      </w:pPr>
      <w:r>
        <w:t xml:space="preserve">Nimbus Coffee intends to pay dividends out of retained earnings while keeping sufficient funds to finance the opening of new stores. The loyalty program had 929 thousand active members at the end of the fiscal year, and purchases by members accounted for 38.5% of store revenue. Nimbus Coffee intends to pay dividends out of retained earnings while keeping sufficient funds to finance the opening of new stores. Baristas complete a four-week training course before working on the floor, and store managers complete a further course at the Northfield training center. Weather affects customer traffic: cold drinks sell best in summer, while hot beverages and whole beans sell best from October through February.</w:t>
      </w:r>
    </w:p>
    <w:p>
      <w:pPr>
        <w:keepNext/>
      </w:pPr>
      <w:r>
        <w:rPr>
          <w:b/>
        </w:rPr>
        <w:t xml:space="preserve">13. Earnings per share</w:t>
      </w:r>
    </w:p>
    <w:p>
      <w:pPr>
        <w:ind w:left="0" w:firstLine="360"/>
      </w:pPr>
      <w:r>
        <w:t xml:space="preserve">Orders placed through the online store, including orders for pickup in store and home delivery of whole beans, accounted for 27.3% of revenue in the Beverages and Beans categories. Energy use per store decreased 12.5% compared with the prior year, as older espresso machines and refrigerators were replaced with more efficient models. The Group holds no derivatives other than coffee futures contracts used to fix the price of part of its future green coffee purchases. The loyalty program had 859 thousand active members at the end of the fiscal year, and purchases by members accounted for 17.2% of store revenue. The loyalty program had 318 thousand active members at the end of the fiscal year, and purchases by members accounted for 33.6% of store revenue. Wholesale revenue comes from sales of roasted beans to restaurants, hotels and grocery stores in the regions where the Group operates.</w:t>
      </w:r>
    </w:p>
    <w:p>
      <w:pPr>
        <w:ind w:left="0" w:firstLine="360"/>
      </w:pPr>
      <w:r>
        <w:t xml:space="preserve">Wholesale revenue comes from sales of roasted beans to restaurants, hotels and grocery stores in the regions where the Company operates. Nimbus Coffee operates specialty coffee shops under the Nimbus Coffee name and roasts all of the coffee it serves at its own roastery in Northfield. During the fiscal year, the Company opened 17 new stores and closed 3 stores whose leases expired.</w:t>
      </w:r>
    </w:p>
    <w:p>
      <w:pPr>
        <w:ind w:left="0" w:firstLine="360"/>
      </w:pPr>
      <w:r>
        <w:t xml:space="preserve">The Group operates specialty coffee shops under the Nimbus Coffee name and roasts all of the coffee it serves at its own roastery in Northfield. The Company operates specialty coffee shops under the Nimbus Coffee name and roasts all of the coffee it serves at its own roastery in Northfield. Energy use per store decreased 12.3% compared with the prior year, as older espresso machines and refrigerators were replaced with more efficient models.</w:t>
      </w:r>
    </w:p>
    <w:tbl>
      <w:tblPr>
        <w:tblW w:w="907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72" w:type="dxa"/>
          <w:right w:w="72" w:type="dxa"/>
        </w:tblCellMar>
      </w:tblPr>
      <w:tblGrid>
        <w:gridCol w:w="4072"/>
        <w:gridCol w:w="2500"/>
        <w:gridCol w:w="2500"/>
      </w:tblGrid>
      <w:tr>
        <w:trPr>
          <w:tblHeader/>
        </w:trPr>
        <w:tc>
          <w:tcPr>
            <w:tcW w:w="4072" w:type="dxa"/>
            <w:shd w:val="clear" w:color="auto" w:fill="DDEBF7"/>
            <w:vAlign w:val="center"/>
          </w:tcPr>
          <w:p>
            <w:pPr>
              <w:spacing w:before="0" w:after="0"/>
              <w:jc w:val="center"/>
            </w:pPr>
            <w:r>
              <w:rPr>
                <w:b/>
                <w:sz w:val="18"/>
                <w:szCs w:val="18"/>
              </w:rPr>
              <w:t xml:space="preserve">Item</w:t>
            </w:r>
          </w:p>
        </w:tc>
        <w:tc>
          <w:tcPr>
            <w:tcW w:w="2500" w:type="dxa"/>
            <w:shd w:val="clear" w:color="auto" w:fill="DDEBF7"/>
            <w:vAlign w:val="center"/>
          </w:tcPr>
          <w:p>
            <w:pPr>
              <w:spacing w:before="0" w:after="0"/>
              <w:jc w:val="center"/>
            </w:pPr>
            <w:r>
              <w:rPr>
                <w:b/>
                <w:sz w:val="18"/>
                <w:szCs w:val="18"/>
              </w:rPr>
              <w:t xml:space="preserve">FY2023</w:t>
            </w:r>
          </w:p>
        </w:tc>
        <w:tc>
          <w:tcPr>
            <w:tcW w:w="2500" w:type="dxa"/>
            <w:shd w:val="clear" w:color="auto" w:fill="DDEBF7"/>
            <w:vAlign w:val="center"/>
          </w:tcPr>
          <w:p>
            <w:pPr>
              <w:spacing w:before="0" w:after="0"/>
              <w:jc w:val="center"/>
            </w:pPr>
            <w:r>
              <w:rPr>
                <w:b/>
                <w:sz w:val="18"/>
                <w:szCs w:val="18"/>
              </w:rPr>
              <w:t xml:space="preserve">FY2024</w:t>
            </w:r>
          </w:p>
        </w:tc>
      </w:tr>
      <w:tr>
        <w:tc>
          <w:tcPr>
            <w:tcW w:w="4072" w:type="dxa"/>
            <w:vAlign w:val="center"/>
          </w:tcPr>
          <w:p>
            <w:pPr>
              <w:spacing w:before="0" w:after="0"/>
              <w:jc w:val="left"/>
            </w:pPr>
            <w:r>
              <w:rPr>
                <w:sz w:val="18"/>
                <w:szCs w:val="18"/>
              </w:rPr>
              <w:t xml:space="preserve">Other long-term assets</w:t>
            </w:r>
          </w:p>
        </w:tc>
        <w:tc>
          <w:tcPr>
            <w:tcW w:w="2500" w:type="dxa"/>
            <w:vAlign w:val="center"/>
          </w:tcPr>
          <w:p>
            <w:pPr>
              <w:spacing w:before="0" w:after="0"/>
              <w:jc w:val="right"/>
            </w:pPr>
            <w:r>
              <w:rPr>
                <w:sz w:val="18"/>
                <w:szCs w:val="18"/>
              </w:rPr>
              <w:t xml:space="preserve">6,370</w:t>
            </w:r>
          </w:p>
        </w:tc>
        <w:tc>
          <w:tcPr>
            <w:tcW w:w="2500" w:type="dxa"/>
            <w:vAlign w:val="center"/>
          </w:tcPr>
          <w:p>
            <w:pPr>
              <w:spacing w:before="0" w:after="0"/>
              <w:jc w:val="right"/>
            </w:pPr>
            <w:r>
              <w:rPr>
                <w:sz w:val="18"/>
                <w:szCs w:val="18"/>
              </w:rPr>
              <w:t xml:space="preserve">6,933</w:t>
            </w:r>
          </w:p>
        </w:tc>
      </w:tr>
      <w:tr>
        <w:tc>
          <w:tcPr>
            <w:tcW w:w="4072" w:type="dxa"/>
            <w:vAlign w:val="center"/>
          </w:tcPr>
          <w:p>
            <w:pPr>
              <w:spacing w:before="0" w:after="0"/>
              <w:jc w:val="left"/>
            </w:pPr>
            <w:r>
              <w:rPr>
                <w:sz w:val="18"/>
                <w:szCs w:val="18"/>
              </w:rPr>
              <w:t xml:space="preserve">Accrued payroll and benefits</w:t>
            </w:r>
          </w:p>
        </w:tc>
        <w:tc>
          <w:tcPr>
            <w:tcW w:w="2500" w:type="dxa"/>
            <w:vAlign w:val="center"/>
          </w:tcPr>
          <w:p>
            <w:pPr>
              <w:spacing w:before="0" w:after="0"/>
              <w:jc w:val="right"/>
            </w:pPr>
            <w:r>
              <w:rPr>
                <w:sz w:val="18"/>
                <w:szCs w:val="18"/>
              </w:rPr>
              <w:t xml:space="preserve">26,753</w:t>
            </w:r>
          </w:p>
        </w:tc>
        <w:tc>
          <w:tcPr>
            <w:tcW w:w="2500" w:type="dxa"/>
            <w:vAlign w:val="center"/>
          </w:tcPr>
          <w:p>
            <w:pPr>
              <w:spacing w:before="0" w:after="0"/>
              <w:jc w:val="right"/>
            </w:pPr>
            <w:r>
              <w:rPr>
                <w:sz w:val="18"/>
                <w:szCs w:val="18"/>
              </w:rPr>
              <w:t xml:space="preserve">27,717</w:t>
            </w:r>
          </w:p>
        </w:tc>
      </w:tr>
      <w:tr>
        <w:tc>
          <w:tcPr>
            <w:tcW w:w="4072" w:type="dxa"/>
            <w:vAlign w:val="center"/>
          </w:tcPr>
          <w:p>
            <w:pPr>
              <w:spacing w:before="0" w:after="0"/>
              <w:jc w:val="left"/>
            </w:pPr>
            <w:r>
              <w:rPr>
                <w:sz w:val="18"/>
                <w:szCs w:val="18"/>
              </w:rPr>
              <w:t xml:space="preserve">Income taxes payable</w:t>
            </w:r>
          </w:p>
        </w:tc>
        <w:tc>
          <w:tcPr>
            <w:tcW w:w="2500" w:type="dxa"/>
            <w:vAlign w:val="center"/>
          </w:tcPr>
          <w:p>
            <w:pPr>
              <w:spacing w:before="0" w:after="0"/>
              <w:jc w:val="right"/>
            </w:pPr>
            <w:r>
              <w:rPr>
                <w:sz w:val="18"/>
                <w:szCs w:val="18"/>
              </w:rPr>
              <w:t xml:space="preserve">11,906</w:t>
            </w:r>
          </w:p>
        </w:tc>
        <w:tc>
          <w:tcPr>
            <w:tcW w:w="2500" w:type="dxa"/>
            <w:vAlign w:val="center"/>
          </w:tcPr>
          <w:p>
            <w:pPr>
              <w:spacing w:before="0" w:after="0"/>
              <w:jc w:val="right"/>
            </w:pPr>
            <w:r>
              <w:rPr>
                <w:sz w:val="18"/>
                <w:szCs w:val="18"/>
              </w:rPr>
              <w:t xml:space="preserve">12,498</w:t>
            </w:r>
          </w:p>
        </w:tc>
      </w:tr>
      <w:tr>
        <w:tc>
          <w:tcPr>
            <w:tcW w:w="4072" w:type="dxa"/>
            <w:vAlign w:val="center"/>
          </w:tcPr>
          <w:p>
            <w:pPr>
              <w:spacing w:before="0" w:after="0"/>
              <w:jc w:val="left"/>
            </w:pPr>
            <w:r>
              <w:rPr>
                <w:sz w:val="18"/>
                <w:szCs w:val="18"/>
              </w:rPr>
              <w:t xml:space="preserve">Short-term investments</w:t>
            </w:r>
          </w:p>
        </w:tc>
        <w:tc>
          <w:tcPr>
            <w:tcW w:w="2500" w:type="dxa"/>
            <w:vAlign w:val="center"/>
          </w:tcPr>
          <w:p>
            <w:pPr>
              <w:spacing w:before="0" w:after="0"/>
              <w:jc w:val="right"/>
            </w:pPr>
            <w:r>
              <w:rPr>
                <w:sz w:val="18"/>
                <w:szCs w:val="18"/>
              </w:rPr>
              <w:t xml:space="preserve">3,091</w:t>
            </w:r>
          </w:p>
        </w:tc>
        <w:tc>
          <w:tcPr>
            <w:tcW w:w="2500" w:type="dxa"/>
            <w:vAlign w:val="center"/>
          </w:tcPr>
          <w:p>
            <w:pPr>
              <w:spacing w:before="0" w:after="0"/>
              <w:jc w:val="right"/>
            </w:pPr>
            <w:r>
              <w:rPr>
                <w:sz w:val="18"/>
                <w:szCs w:val="18"/>
              </w:rPr>
              <w:t xml:space="preserve">3,583</w:t>
            </w:r>
          </w:p>
        </w:tc>
      </w:tr>
      <w:tr>
        <w:tc>
          <w:tcPr>
            <w:tcW w:w="4072" w:type="dxa"/>
            <w:vAlign w:val="center"/>
          </w:tcPr>
          <w:p>
            <w:pPr>
              <w:spacing w:before="0" w:after="0"/>
              <w:jc w:val="left"/>
            </w:pPr>
            <w:r>
              <w:rPr>
                <w:sz w:val="18"/>
                <w:szCs w:val="18"/>
              </w:rPr>
              <w:t xml:space="preserve">Other long-term liabilities</w:t>
            </w:r>
          </w:p>
        </w:tc>
        <w:tc>
          <w:tcPr>
            <w:tcW w:w="2500" w:type="dxa"/>
            <w:vAlign w:val="center"/>
          </w:tcPr>
          <w:p>
            <w:pPr>
              <w:spacing w:before="0" w:after="0"/>
              <w:jc w:val="right"/>
            </w:pPr>
            <w:r>
              <w:rPr>
                <w:sz w:val="18"/>
                <w:szCs w:val="18"/>
              </w:rPr>
              <w:t xml:space="preserve">11,811</w:t>
            </w:r>
          </w:p>
        </w:tc>
        <w:tc>
          <w:tcPr>
            <w:tcW w:w="2500" w:type="dxa"/>
            <w:vAlign w:val="center"/>
          </w:tcPr>
          <w:p>
            <w:pPr>
              <w:spacing w:before="0" w:after="0"/>
              <w:jc w:val="right"/>
            </w:pPr>
            <w:r>
              <w:rPr>
                <w:sz w:val="18"/>
                <w:szCs w:val="18"/>
              </w:rPr>
              <w:t xml:space="preserve">13,088</w:t>
            </w:r>
          </w:p>
        </w:tc>
      </w:tr>
      <w:tr>
        <w:tc>
          <w:tcPr>
            <w:tcW w:w="4072" w:type="dxa"/>
            <w:vAlign w:val="center"/>
          </w:tcPr>
          <w:p>
            <w:pPr>
              <w:spacing w:before="0" w:after="0"/>
              <w:jc w:val="left"/>
            </w:pPr>
            <w:r>
              <w:rPr>
                <w:sz w:val="18"/>
                <w:szCs w:val="18"/>
              </w:rPr>
              <w:t xml:space="preserve">Income taxes payable</w:t>
            </w:r>
          </w:p>
        </w:tc>
        <w:tc>
          <w:tcPr>
            <w:tcW w:w="2500" w:type="dxa"/>
            <w:vAlign w:val="center"/>
          </w:tcPr>
          <w:p>
            <w:pPr>
              <w:spacing w:before="0" w:after="0"/>
              <w:jc w:val="right"/>
            </w:pPr>
            <w:r>
              <w:rPr>
                <w:sz w:val="18"/>
                <w:szCs w:val="18"/>
              </w:rPr>
              <w:t xml:space="preserve">10,710</w:t>
            </w:r>
          </w:p>
        </w:tc>
        <w:tc>
          <w:tcPr>
            <w:tcW w:w="2500" w:type="dxa"/>
            <w:vAlign w:val="center"/>
          </w:tcPr>
          <w:p>
            <w:pPr>
              <w:spacing w:before="0" w:after="0"/>
              <w:jc w:val="right"/>
            </w:pPr>
            <w:r>
              <w:rPr>
                <w:sz w:val="18"/>
                <w:szCs w:val="18"/>
              </w:rPr>
              <w:t xml:space="preserve">12,651</w:t>
            </w:r>
          </w:p>
        </w:tc>
      </w:tr>
    </w:tbl>
    <w:p>
      <w:pPr/>
    </w:p>
    <w:p>
      <w:pPr>
        <w:keepNext/>
      </w:pPr>
      <w:r>
        <w:rPr>
          <w:b/>
        </w:rPr>
        <w:t xml:space="preserve">14. Commitments and contingencies</w:t>
      </w:r>
    </w:p>
    <w:p>
      <w:pPr>
        <w:ind w:left="0" w:firstLine="360"/>
      </w:pPr>
      <w:r>
        <w:t xml:space="preserve">Wholesale revenue comes from sales of roasted beans to restaurants, hotels and grocery stores in the regions where the Group operates. The Company operates specialty coffee shops under the Nimbus Coffee name and roasts all of the coffee it serves at its own roastery in Northfield. The Group buys 4.4% of its green coffee by volume from farms certified under recognized sustainability standards. The Company depends on a small number of dairy and bakery suppliers in each region, and an interruption in their deliveries could affect sales at the stores they serve. New stores generally reach the sales level of a mature store within eighteen to twenty-four months of opening.</w:t>
      </w:r>
    </w:p>
    <w:p>
      <w:pPr>
        <w:ind w:left="0" w:firstLine="360"/>
      </w:pPr>
      <w:r>
        <w:t xml:space="preserve">Total revenue for the fiscal year was $59,937 thousand, an increase of 10.7% over the prior year, and operating income was $5,649 thousand, an increase of 9.5%. Net cash used in investing activities was $20,164 thousand, primarily for purchases of property and equipment. Revenue from stores in the Northfield region increased 1.9% compared with the prior year, while its share of total revenue was little changed. These forward-looking statements are based on information available as of the date of this statement, and actual results may differ materially because of many factors.</w:t>
      </w:r>
    </w:p>
    <w:p>
      <w:pPr>
        <w:keepNext/>
      </w:pPr>
      <w:r>
        <w:rPr>
          <w:b/>
        </w:rPr>
        <w:t xml:space="preserve">15. Gift cards and the loyalty program</w:t>
      </w:r>
    </w:p>
    <w:p>
      <w:pPr>
        <w:ind w:left="0" w:firstLine="360"/>
      </w:pPr>
      <w:r>
        <w:t xml:space="preserve">Revenue from wholesale customers was $30,678 thousand, or 24.0% of total revenue. During the fiscal year, the Group opened 17 new stores and closed 1 stores whose leases expired. These forward-looking statements are based on information available as of the date of this statement, and actual results may differ materially because of many factors. Net cash provided by operating activities was $146,793 thousand, mainly reflecting net income and depreciation and amortization. Green coffee is purchased from exporters and cooperatives in Central America, South America and East Africa under fixed-price contracts that generally cover the next nine to twelve months of expected needs.</w:t>
      </w:r>
    </w:p>
    <w:p>
      <w:pPr>
        <w:ind w:left="0" w:firstLine="360"/>
      </w:pPr>
      <w:r>
        <w:t xml:space="preserve">Weather affects customer traffic: cold drinks sell best in summer, while hot beverages and whole beans sell best from October through February. Net cash provided by operating activities was $185,912 thousand, mainly reflecting net income and depreciation and amortization. Store operating expenses, which consist mainly of wages, benefits and supplies, were 32.1% of revenue, compared with 31.4% in the prior year. Orders placed through the online store, including orders for pickup in store and home delivery of whole beans, accounted for 25.2% of revenue in the Beverages and Beans categories. Green coffee is purchased from exporters and cooperatives in Central America, South America and East Africa under fixed-price contracts that generally cover the next nine to twelve months of expected needs. Net cash used in financing activities was $13,530 thousand, reflecting repayments of the term loan and dividends paid.</w:t>
      </w:r>
    </w:p>
    <w:tbl>
      <w:tblPr>
        <w:tblW w:w="907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72" w:type="dxa"/>
          <w:right w:w="72" w:type="dxa"/>
        </w:tblCellMar>
      </w:tblPr>
      <w:tblGrid>
        <w:gridCol w:w="4072"/>
        <w:gridCol w:w="2500"/>
        <w:gridCol w:w="2500"/>
      </w:tblGrid>
      <w:tr>
        <w:trPr>
          <w:tblHeader/>
        </w:trPr>
        <w:tc>
          <w:tcPr>
            <w:tcW w:w="4072" w:type="dxa"/>
            <w:shd w:val="clear" w:color="auto" w:fill="DDEBF7"/>
            <w:vAlign w:val="center"/>
          </w:tcPr>
          <w:p>
            <w:pPr>
              <w:spacing w:before="0" w:after="0"/>
              <w:jc w:val="center"/>
            </w:pPr>
            <w:r>
              <w:rPr>
                <w:b/>
                <w:sz w:val="18"/>
                <w:szCs w:val="18"/>
              </w:rPr>
              <w:t xml:space="preserve">Item</w:t>
            </w:r>
          </w:p>
        </w:tc>
        <w:tc>
          <w:tcPr>
            <w:tcW w:w="2500" w:type="dxa"/>
            <w:shd w:val="clear" w:color="auto" w:fill="DDEBF7"/>
            <w:vAlign w:val="center"/>
          </w:tcPr>
          <w:p>
            <w:pPr>
              <w:spacing w:before="0" w:after="0"/>
              <w:jc w:val="center"/>
            </w:pPr>
            <w:r>
              <w:rPr>
                <w:b/>
                <w:sz w:val="18"/>
                <w:szCs w:val="18"/>
              </w:rPr>
              <w:t xml:space="preserve">FY2023</w:t>
            </w:r>
          </w:p>
        </w:tc>
        <w:tc>
          <w:tcPr>
            <w:tcW w:w="2500" w:type="dxa"/>
            <w:shd w:val="clear" w:color="auto" w:fill="DDEBF7"/>
            <w:vAlign w:val="center"/>
          </w:tcPr>
          <w:p>
            <w:pPr>
              <w:spacing w:before="0" w:after="0"/>
              <w:jc w:val="center"/>
            </w:pPr>
            <w:r>
              <w:rPr>
                <w:b/>
                <w:sz w:val="18"/>
                <w:szCs w:val="18"/>
              </w:rPr>
              <w:t xml:space="preserve">FY2024</w:t>
            </w:r>
          </w:p>
        </w:tc>
      </w:tr>
      <w:tr>
        <w:tc>
          <w:tcPr>
            <w:tcW w:w="4072" w:type="dxa"/>
            <w:vAlign w:val="center"/>
          </w:tcPr>
          <w:p>
            <w:pPr>
              <w:spacing w:before="0" w:after="0"/>
              <w:jc w:val="left"/>
            </w:pPr>
            <w:r>
              <w:rPr>
                <w:sz w:val="18"/>
                <w:szCs w:val="18"/>
              </w:rPr>
              <w:t xml:space="preserve">Short-term investments</w:t>
            </w:r>
          </w:p>
        </w:tc>
        <w:tc>
          <w:tcPr>
            <w:tcW w:w="2500" w:type="dxa"/>
            <w:vAlign w:val="center"/>
          </w:tcPr>
          <w:p>
            <w:pPr>
              <w:spacing w:before="0" w:after="0"/>
              <w:jc w:val="right"/>
            </w:pPr>
            <w:r>
              <w:rPr>
                <w:sz w:val="18"/>
                <w:szCs w:val="18"/>
              </w:rPr>
              <w:t xml:space="preserve">6,050</w:t>
            </w:r>
          </w:p>
        </w:tc>
        <w:tc>
          <w:tcPr>
            <w:tcW w:w="2500" w:type="dxa"/>
            <w:vAlign w:val="center"/>
          </w:tcPr>
          <w:p>
            <w:pPr>
              <w:spacing w:before="0" w:after="0"/>
              <w:jc w:val="right"/>
            </w:pPr>
            <w:r>
              <w:rPr>
                <w:sz w:val="18"/>
                <w:szCs w:val="18"/>
              </w:rPr>
              <w:t xml:space="preserve">7,066</w:t>
            </w:r>
          </w:p>
        </w:tc>
      </w:tr>
      <w:tr>
        <w:tc>
          <w:tcPr>
            <w:tcW w:w="4072" w:type="dxa"/>
            <w:vAlign w:val="center"/>
          </w:tcPr>
          <w:p>
            <w:pPr>
              <w:spacing w:before="0" w:after="0"/>
              <w:jc w:val="left"/>
            </w:pPr>
            <w:r>
              <w:rPr>
                <w:sz w:val="18"/>
                <w:szCs w:val="18"/>
              </w:rPr>
              <w:t xml:space="preserve">Security deposits</w:t>
            </w:r>
          </w:p>
        </w:tc>
        <w:tc>
          <w:tcPr>
            <w:tcW w:w="2500" w:type="dxa"/>
            <w:vAlign w:val="center"/>
          </w:tcPr>
          <w:p>
            <w:pPr>
              <w:spacing w:before="0" w:after="0"/>
              <w:jc w:val="right"/>
            </w:pPr>
            <w:r>
              <w:rPr>
                <w:sz w:val="18"/>
                <w:szCs w:val="18"/>
              </w:rPr>
              <w:t xml:space="preserve">12,802</w:t>
            </w:r>
          </w:p>
        </w:tc>
        <w:tc>
          <w:tcPr>
            <w:tcW w:w="2500" w:type="dxa"/>
            <w:vAlign w:val="center"/>
          </w:tcPr>
          <w:p>
            <w:pPr>
              <w:spacing w:before="0" w:after="0"/>
              <w:jc w:val="right"/>
            </w:pPr>
            <w:r>
              <w:rPr>
                <w:sz w:val="18"/>
                <w:szCs w:val="18"/>
              </w:rPr>
              <w:t xml:space="preserve">13,948</w:t>
            </w:r>
          </w:p>
        </w:tc>
      </w:tr>
      <w:tr>
        <w:tc>
          <w:tcPr>
            <w:tcW w:w="4072" w:type="dxa"/>
            <w:vAlign w:val="center"/>
          </w:tcPr>
          <w:p>
            <w:pPr>
              <w:spacing w:before="0" w:after="0"/>
              <w:jc w:val="left"/>
            </w:pPr>
            <w:r>
              <w:rPr>
                <w:sz w:val="18"/>
                <w:szCs w:val="18"/>
              </w:rPr>
              <w:t xml:space="preserve">Operating lease liabilities, net of current portion</w:t>
            </w:r>
          </w:p>
        </w:tc>
        <w:tc>
          <w:tcPr>
            <w:tcW w:w="2500" w:type="dxa"/>
            <w:vAlign w:val="center"/>
          </w:tcPr>
          <w:p>
            <w:pPr>
              <w:spacing w:before="0" w:after="0"/>
              <w:jc w:val="right"/>
            </w:pPr>
            <w:r>
              <w:rPr>
                <w:sz w:val="18"/>
                <w:szCs w:val="18"/>
              </w:rPr>
              <w:t xml:space="preserve">5,903</w:t>
            </w:r>
          </w:p>
        </w:tc>
        <w:tc>
          <w:tcPr>
            <w:tcW w:w="2500" w:type="dxa"/>
            <w:vAlign w:val="center"/>
          </w:tcPr>
          <w:p>
            <w:pPr>
              <w:spacing w:before="0" w:after="0"/>
              <w:jc w:val="right"/>
            </w:pPr>
            <w:r>
              <w:rPr>
                <w:sz w:val="18"/>
                <w:szCs w:val="18"/>
              </w:rPr>
              <w:t xml:space="preserve">6,118</w:t>
            </w:r>
          </w:p>
        </w:tc>
      </w:tr>
      <w:tr>
        <w:tc>
          <w:tcPr>
            <w:tcW w:w="4072" w:type="dxa"/>
            <w:vAlign w:val="center"/>
          </w:tcPr>
          <w:p>
            <w:pPr>
              <w:spacing w:before="0" w:after="0"/>
              <w:jc w:val="left"/>
            </w:pPr>
            <w:r>
              <w:rPr>
                <w:sz w:val="18"/>
                <w:szCs w:val="18"/>
              </w:rPr>
              <w:t xml:space="preserve">Current portion of long-term debt</w:t>
            </w:r>
          </w:p>
        </w:tc>
        <w:tc>
          <w:tcPr>
            <w:tcW w:w="2500" w:type="dxa"/>
            <w:vAlign w:val="center"/>
          </w:tcPr>
          <w:p>
            <w:pPr>
              <w:spacing w:before="0" w:after="0"/>
              <w:jc w:val="right"/>
            </w:pPr>
            <w:r>
              <w:rPr>
                <w:sz w:val="18"/>
                <w:szCs w:val="18"/>
              </w:rPr>
              <w:t xml:space="preserve">4,005</w:t>
            </w:r>
          </w:p>
        </w:tc>
        <w:tc>
          <w:tcPr>
            <w:tcW w:w="2500" w:type="dxa"/>
            <w:vAlign w:val="center"/>
          </w:tcPr>
          <w:p>
            <w:pPr>
              <w:spacing w:before="0" w:after="0"/>
              <w:jc w:val="right"/>
            </w:pPr>
            <w:r>
              <w:rPr>
                <w:sz w:val="18"/>
                <w:szCs w:val="18"/>
              </w:rPr>
              <w:t xml:space="preserve">4,126</w:t>
            </w:r>
          </w:p>
        </w:tc>
      </w:tr>
      <w:tr>
        <w:tc>
          <w:tcPr>
            <w:tcW w:w="4072" w:type="dxa"/>
            <w:vAlign w:val="center"/>
          </w:tcPr>
          <w:p>
            <w:pPr>
              <w:spacing w:before="0" w:after="0"/>
              <w:jc w:val="left"/>
            </w:pPr>
            <w:r>
              <w:rPr>
                <w:sz w:val="18"/>
                <w:szCs w:val="18"/>
              </w:rPr>
              <w:t xml:space="preserve">Other long-term assets</w:t>
            </w:r>
          </w:p>
        </w:tc>
        <w:tc>
          <w:tcPr>
            <w:tcW w:w="2500" w:type="dxa"/>
            <w:vAlign w:val="center"/>
          </w:tcPr>
          <w:p>
            <w:pPr>
              <w:spacing w:before="0" w:after="0"/>
              <w:jc w:val="right"/>
            </w:pPr>
            <w:r>
              <w:rPr>
                <w:sz w:val="18"/>
                <w:szCs w:val="18"/>
              </w:rPr>
              <w:t xml:space="preserve">11,205</w:t>
            </w:r>
          </w:p>
        </w:tc>
        <w:tc>
          <w:tcPr>
            <w:tcW w:w="2500" w:type="dxa"/>
            <w:vAlign w:val="center"/>
          </w:tcPr>
          <w:p>
            <w:pPr>
              <w:spacing w:before="0" w:after="0"/>
              <w:jc w:val="right"/>
            </w:pPr>
            <w:r>
              <w:rPr>
                <w:sz w:val="18"/>
                <w:szCs w:val="18"/>
              </w:rPr>
              <w:t xml:space="preserve">13,228</w:t>
            </w:r>
          </w:p>
        </w:tc>
      </w:tr>
      <w:tr>
        <w:tc>
          <w:tcPr>
            <w:tcW w:w="4072" w:type="dxa"/>
            <w:vAlign w:val="center"/>
          </w:tcPr>
          <w:p>
            <w:pPr>
              <w:spacing w:before="0" w:after="0"/>
              <w:jc w:val="left"/>
            </w:pPr>
            <w:r>
              <w:rPr>
                <w:sz w:val="18"/>
                <w:szCs w:val="18"/>
              </w:rPr>
              <w:t xml:space="preserve">Current portion of operating lease liabilities</w:t>
            </w:r>
          </w:p>
        </w:tc>
        <w:tc>
          <w:tcPr>
            <w:tcW w:w="2500" w:type="dxa"/>
            <w:vAlign w:val="center"/>
          </w:tcPr>
          <w:p>
            <w:pPr>
              <w:spacing w:before="0" w:after="0"/>
              <w:jc w:val="right"/>
            </w:pPr>
            <w:r>
              <w:rPr>
                <w:sz w:val="18"/>
                <w:szCs w:val="18"/>
              </w:rPr>
              <w:t xml:space="preserve">7,628</w:t>
            </w:r>
          </w:p>
        </w:tc>
        <w:tc>
          <w:tcPr>
            <w:tcW w:w="2500" w:type="dxa"/>
            <w:vAlign w:val="center"/>
          </w:tcPr>
          <w:p>
            <w:pPr>
              <w:spacing w:before="0" w:after="0"/>
              <w:jc w:val="right"/>
            </w:pPr>
            <w:r>
              <w:rPr>
                <w:sz w:val="18"/>
                <w:szCs w:val="18"/>
              </w:rPr>
              <w:t xml:space="preserve">7,879</w:t>
            </w:r>
          </w:p>
        </w:tc>
      </w:tr>
    </w:tbl>
    <w:p>
      <w:pPr/>
    </w:p>
    <w:p>
      <w:pPr>
        <w:keepNext/>
      </w:pPr>
      <w:r>
        <w:rPr>
          <w:b/>
        </w:rPr>
        <w:t xml:space="preserve">16. Subsequent events</w:t>
      </w:r>
    </w:p>
    <w:p>
      <w:pPr>
        <w:ind w:left="0" w:firstLine="360"/>
      </w:pPr>
      <w:r>
        <w:t xml:space="preserve">Net cash used in financing activities was $5,586 thousand, reflecting repayments of the term loan and dividends paid. Orders placed through the online store, including orders for pickup in store and home delivery of whole beans, accounted for 18.5% of revenue in the Beverages and Beans categories. The loyalty program had 530 thousand active members at the end of the fiscal year, and purchases by members accounted for 33.0% of store revenue. Wholesale revenue comes from sales of roasted beans to restaurants, hotels and grocery stores in the regions where the Company operates. Comparable store sales increased 0.9%, driven by a 3.9% increase in average ticket and a 2.7% increase in transactions.</w:t>
      </w:r>
    </w:p>
    <w:p>
      <w:pPr>
        <w:ind w:left="0" w:firstLine="360"/>
      </w:pPr>
      <w:r>
        <w:t xml:space="preserve">Wholesale revenue comes from sales of roasted beans to restaurants, hotels and grocery stores in the regions where the Group operates. At the end of the fiscal year, Nimbus Coffee operated 150 company-operated stores in eight regions: Northfield, Eastbay, Southport, Westridge, Lakeside, Hillcrest, Riverside and Harborview. Revenue from the Beverages category was $9,973 thousand, or 17.1% of total revenue. Nimbus Coffee leases all of its store premises under operating leases with initial terms of ten years, most of which include options to renew. These forward-looking statements are based on information available as of the date of this statement, and actual results may differ materially because of many factors. The Group buys 6.8% of its green coffee by volume from farms certified under recognized sustainability standards.</w:t>
      </w:r>
    </w:p>
    <w:p>
      <w:r>
        <w:br w:type="page"/>
      </w:r>
    </w:p>
    <w:p>
      <w:pPr>
        <w:pStyle w:val="Heading3"/>
        <w:keepNext/>
      </w:pPr>
      <w:r>
        <w:t xml:space="preserve">1. Financial Statements (Fiscal year 2025, consolidated)</w:t>
      </w:r>
    </w:p>
    <w:p>
      <w:pPr>
        <w:ind w:left="0" w:firstLine="360"/>
      </w:pPr>
      <w:r>
        <w:t xml:space="preserve">Revenue from loyalty rewards is deferred until the reward is redeemed or expires. Each store is managed by a store manager who reports to a district manager, and district managers report to the director for their region. Revenue from company-operated stores increased 2.6% compared with the prior year, while its share of total revenue was little changed. Inventories consist of green coffee, roasted coffee, packaging, food and merchandise, and are stated at the lower of cost and net realizable value.</w:t>
      </w:r>
    </w:p>
    <w:p>
      <w:pPr>
        <w:ind w:left="0" w:firstLine="360"/>
      </w:pPr>
      <w:r>
        <w:t xml:space="preserve">Store operating expenses, which consist mainly of wages, benefits and supplies, were 33.5% of revenue, compared with 32.7% in the prior year. Revenue from stores in the Riverside region was $52,671 thousand, or 52.9% of total revenue. Occupancy costs increased to $3,199 thousand, reflecting rent for new stores and scheduled rent increases at existing locations. Green coffee is purchased from exporters and cooperatives in Central America, South America and East Africa under fixed-price contracts that generally cover the next nine to twelve months of expected needs. Capital expenditures totaled $2,977 thousand and consisted mainly of the build-out of new stores, the remodeling of existing stores and a second roasting line at the Northfield roastery.</w:t>
      </w:r>
    </w:p>
    <w:p>
      <w:r>
        <w:br w:type="page"/>
      </w:r>
    </w:p>
    <w:p>
      <w:pPr>
        <w:pStyle w:val="Heading3"/>
        <w:keepNext/>
      </w:pPr>
      <w:r>
        <w:t xml:space="preserve">Balance Sheets (Assets)</w:t>
      </w:r>
    </w:p>
    <w:p>
      <w:pPr>
        <w:jc w:val="right"/>
      </w:pPr>
      <w:r>
        <w:rPr>
          <w:sz w:val="18"/>
          <w:szCs w:val="18"/>
        </w:rPr>
        <w:t xml:space="preserve">(In thousands of U.S. dollars)</w:t>
      </w:r>
    </w:p>
    <w:tbl>
      <w:tblPr>
        <w:tblW w:w="907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72" w:type="dxa"/>
          <w:right w:w="72" w:type="dxa"/>
        </w:tblCellMar>
      </w:tblPr>
      <w:tblGrid>
        <w:gridCol w:w="4872"/>
        <w:gridCol w:w="800"/>
        <w:gridCol w:w="1700"/>
        <w:gridCol w:w="1700"/>
      </w:tblGrid>
      <w:tr>
        <w:trPr>
          <w:tblHeader/>
        </w:trPr>
        <w:tc>
          <w:tcPr>
            <w:tcW w:w="4872" w:type="dxa"/>
            <w:shd w:val="clear" w:color="auto" w:fill="DDEBF7"/>
            <w:vAlign w:val="center"/>
          </w:tcPr>
          <w:p>
            <w:pPr>
              <w:spacing w:before="0" w:after="0"/>
              <w:jc w:val="center"/>
            </w:pPr>
            <w:r>
              <w:rPr>
                <w:b/>
                <w:sz w:val="18"/>
                <w:szCs w:val="18"/>
              </w:rPr>
              <w:t xml:space="preserve"/>
            </w:r>
          </w:p>
        </w:tc>
        <w:tc>
          <w:tcPr>
            <w:tcW w:w="800" w:type="dxa"/>
            <w:shd w:val="clear" w:color="auto" w:fill="DDEBF7"/>
            <w:vAlign w:val="center"/>
          </w:tcPr>
          <w:p>
            <w:pPr>
              <w:spacing w:before="0" w:after="0"/>
              <w:jc w:val="center"/>
            </w:pPr>
            <w:r>
              <w:rPr>
                <w:b/>
                <w:sz w:val="18"/>
                <w:szCs w:val="18"/>
              </w:rPr>
              <w:t xml:space="preserve">Note</w:t>
            </w:r>
          </w:p>
        </w:tc>
        <w:tc>
          <w:tcPr>
            <w:tcW w:w="1700" w:type="dxa"/>
            <w:shd w:val="clear" w:color="auto" w:fill="DDEBF7"/>
            <w:vAlign w:val="center"/>
          </w:tcPr>
          <w:p>
            <w:pPr>
              <w:spacing w:before="0" w:after="0"/>
              <w:jc w:val="center"/>
            </w:pPr>
            <w:r>
              <w:rPr>
                <w:b/>
                <w:sz w:val="18"/>
                <w:szCs w:val="18"/>
              </w:rPr>
              <w:t xml:space="preserve">FY2024</w:t>
            </w:r>
          </w:p>
        </w:tc>
        <w:tc>
          <w:tcPr>
            <w:tcW w:w="1700" w:type="dxa"/>
            <w:shd w:val="clear" w:color="auto" w:fill="DDEBF7"/>
            <w:vAlign w:val="center"/>
          </w:tcPr>
          <w:p>
            <w:pPr>
              <w:spacing w:before="0" w:after="0"/>
              <w:jc w:val="center"/>
            </w:pPr>
            <w:r>
              <w:rPr>
                <w:b/>
                <w:sz w:val="18"/>
                <w:szCs w:val="18"/>
              </w:rPr>
              <w:t xml:space="preserve">FY2025</w:t>
            </w:r>
          </w:p>
        </w:tc>
      </w:tr>
      <w:tr>
        <w:tc>
          <w:tcPr>
            <w:tcW w:w="4872" w:type="dxa"/>
            <w:vAlign w:val="center"/>
          </w:tcPr>
          <w:p>
            <w:pPr>
              <w:spacing w:before="0" w:after="0"/>
              <w:jc w:val="left"/>
            </w:pPr>
            <w:r>
              <w:rPr>
                <w:b/>
                <w:sz w:val="18"/>
                <w:szCs w:val="18"/>
              </w:rPr>
              <w:t xml:space="preserve">Current assets</w:t>
            </w:r>
          </w:p>
        </w:tc>
        <w:tc>
          <w:tcPr>
            <w:tcW w:w="800" w:type="dxa"/>
            <w:vAlign w:val="center"/>
          </w:tcPr>
          <w:p>
            <w:pPr>
              <w:spacing w:before="0" w:after="0"/>
              <w:jc w:val="left"/>
            </w:pPr>
            <w:r>
              <w:rPr>
                <w:b/>
                <w:sz w:val="18"/>
                <w:szCs w:val="18"/>
              </w:rPr>
              <w:t xml:space="preserve"/>
            </w:r>
          </w:p>
        </w:tc>
        <w:tc>
          <w:tcPr>
            <w:tcW w:w="1700" w:type="dxa"/>
            <w:vAlign w:val="center"/>
          </w:tcPr>
          <w:p>
            <w:pPr>
              <w:spacing w:before="0" w:after="0"/>
              <w:jc w:val="right"/>
            </w:pPr>
            <w:r>
              <w:rPr>
                <w:b/>
                <w:sz w:val="18"/>
                <w:szCs w:val="18"/>
              </w:rPr>
              <w:t xml:space="preserve"/>
            </w:r>
          </w:p>
        </w:tc>
        <w:tc>
          <w:tcPr>
            <w:tcW w:w="1700" w:type="dxa"/>
            <w:vAlign w:val="center"/>
          </w:tcPr>
          <w:p>
            <w:pPr>
              <w:spacing w:before="0" w:after="0"/>
              <w:jc w:val="right"/>
            </w:pPr>
            <w:r>
              <w:rPr>
                <w:b/>
                <w:sz w:val="18"/>
                <w:szCs w:val="18"/>
              </w:rPr>
              <w:t xml:space="preserve"/>
            </w:r>
          </w:p>
        </w:tc>
      </w:tr>
      <w:tr>
        <w:tc>
          <w:tcPr>
            <w:tcW w:w="4872" w:type="dxa"/>
            <w:vAlign w:val="center"/>
          </w:tcPr>
          <w:p>
            <w:pPr>
              <w:spacing w:before="0" w:after="0"/>
              <w:jc w:val="left"/>
            </w:pPr>
            <w:r>
              <w:rPr>
                <w:sz w:val="18"/>
                <w:szCs w:val="18"/>
              </w:rPr>
              <w:t xml:space="preserve">Cash and cash equivalents</w:t>
            </w:r>
          </w:p>
        </w:tc>
        <w:tc>
          <w:tcPr>
            <w:tcW w:w="800" w:type="dxa"/>
            <w:vAlign w:val="center"/>
          </w:tcPr>
          <w:p>
            <w:pPr>
              <w:spacing w:before="0" w:after="0"/>
              <w:jc w:val="left"/>
            </w:pPr>
            <w:r>
              <w:rPr>
                <w:sz w:val="18"/>
                <w:szCs w:val="18"/>
              </w:rPr>
              <w:t xml:space="preserve"/>
            </w:r>
          </w:p>
        </w:tc>
        <w:tc>
          <w:tcPr>
            <w:tcW w:w="1700" w:type="dxa"/>
            <w:vAlign w:val="center"/>
          </w:tcPr>
          <w:p>
            <w:pPr>
              <w:spacing w:before="0" w:after="0"/>
              <w:jc w:val="right"/>
            </w:pPr>
            <w:r>
              <w:rPr>
                <w:sz w:val="18"/>
                <w:szCs w:val="18"/>
              </w:rPr>
              <w:t xml:space="preserve">54,425</w:t>
            </w:r>
          </w:p>
        </w:tc>
        <w:tc>
          <w:tcPr>
            <w:tcW w:w="1700" w:type="dxa"/>
            <w:vAlign w:val="center"/>
          </w:tcPr>
          <w:p>
            <w:pPr>
              <w:spacing w:before="0" w:after="0"/>
              <w:jc w:val="right"/>
            </w:pPr>
            <w:r>
              <w:rPr>
                <w:sz w:val="18"/>
                <w:szCs w:val="18"/>
              </w:rPr>
              <w:t xml:space="preserve">54,154</w:t>
            </w:r>
          </w:p>
        </w:tc>
      </w:tr>
      <w:tr>
        <w:tc>
          <w:tcPr>
            <w:tcW w:w="4872" w:type="dxa"/>
            <w:vAlign w:val="center"/>
          </w:tcPr>
          <w:p>
            <w:pPr>
              <w:spacing w:before="0" w:after="0"/>
              <w:jc w:val="left"/>
            </w:pPr>
            <w:r>
              <w:rPr>
                <w:sz w:val="18"/>
                <w:szCs w:val="18"/>
              </w:rPr>
              <w:t xml:space="preserve">Short-term investments</w:t>
            </w:r>
          </w:p>
        </w:tc>
        <w:tc>
          <w:tcPr>
            <w:tcW w:w="800" w:type="dxa"/>
            <w:vAlign w:val="center"/>
          </w:tcPr>
          <w:p>
            <w:pPr>
              <w:spacing w:before="0" w:after="0"/>
              <w:jc w:val="left"/>
            </w:pPr>
            <w:r>
              <w:rPr>
                <w:sz w:val="18"/>
                <w:szCs w:val="18"/>
              </w:rPr>
              <w:t xml:space="preserve"/>
            </w:r>
          </w:p>
        </w:tc>
        <w:tc>
          <w:tcPr>
            <w:tcW w:w="1700" w:type="dxa"/>
            <w:vAlign w:val="center"/>
          </w:tcPr>
          <w:p>
            <w:pPr>
              <w:spacing w:before="0" w:after="0"/>
              <w:jc w:val="right"/>
            </w:pPr>
            <w:r>
              <w:rPr>
                <w:sz w:val="18"/>
                <w:szCs w:val="18"/>
              </w:rPr>
              <w:t xml:space="preserve">11,325</w:t>
            </w:r>
          </w:p>
        </w:tc>
        <w:tc>
          <w:tcPr>
            <w:tcW w:w="1700" w:type="dxa"/>
            <w:vAlign w:val="center"/>
          </w:tcPr>
          <w:p>
            <w:pPr>
              <w:spacing w:before="0" w:after="0"/>
              <w:jc w:val="right"/>
            </w:pPr>
            <w:r>
              <w:rPr>
                <w:sz w:val="18"/>
                <w:szCs w:val="18"/>
              </w:rPr>
              <w:t xml:space="preserve">12,402</w:t>
            </w:r>
          </w:p>
        </w:tc>
      </w:tr>
      <w:tr>
        <w:tc>
          <w:tcPr>
            <w:tcW w:w="4872" w:type="dxa"/>
            <w:vAlign w:val="center"/>
          </w:tcPr>
          <w:p>
            <w:pPr>
              <w:spacing w:before="0" w:after="0"/>
              <w:jc w:val="left"/>
            </w:pPr>
            <w:r>
              <w:rPr>
                <w:sz w:val="18"/>
                <w:szCs w:val="18"/>
              </w:rPr>
              <w:t xml:space="preserve">Accounts receivable, net</w:t>
            </w:r>
          </w:p>
        </w:tc>
        <w:tc>
          <w:tcPr>
            <w:tcW w:w="800" w:type="dxa"/>
            <w:vAlign w:val="center"/>
          </w:tcPr>
          <w:p>
            <w:pPr>
              <w:spacing w:before="0" w:after="0"/>
              <w:jc w:val="left"/>
            </w:pPr>
            <w:r>
              <w:rPr>
                <w:sz w:val="18"/>
                <w:szCs w:val="18"/>
              </w:rPr>
              <w:t xml:space="preserve"/>
            </w:r>
          </w:p>
        </w:tc>
        <w:tc>
          <w:tcPr>
            <w:tcW w:w="1700" w:type="dxa"/>
            <w:vAlign w:val="center"/>
          </w:tcPr>
          <w:p>
            <w:pPr>
              <w:spacing w:before="0" w:after="0"/>
              <w:jc w:val="right"/>
            </w:pPr>
            <w:r>
              <w:rPr>
                <w:sz w:val="18"/>
                <w:szCs w:val="18"/>
              </w:rPr>
              <w:t xml:space="preserve">9,799</w:t>
            </w:r>
          </w:p>
        </w:tc>
        <w:tc>
          <w:tcPr>
            <w:tcW w:w="1700" w:type="dxa"/>
            <w:vAlign w:val="center"/>
          </w:tcPr>
          <w:p>
            <w:pPr>
              <w:spacing w:before="0" w:after="0"/>
              <w:jc w:val="right"/>
            </w:pPr>
            <w:r>
              <w:rPr>
                <w:sz w:val="18"/>
                <w:szCs w:val="18"/>
              </w:rPr>
              <w:t xml:space="preserve">9,918</w:t>
            </w:r>
          </w:p>
        </w:tc>
      </w:tr>
      <w:tr>
        <w:tc>
          <w:tcPr>
            <w:tcW w:w="4872" w:type="dxa"/>
            <w:vAlign w:val="center"/>
          </w:tcPr>
          <w:p>
            <w:pPr>
              <w:spacing w:before="0" w:after="0"/>
              <w:jc w:val="left"/>
            </w:pPr>
            <w:r>
              <w:rPr>
                <w:sz w:val="18"/>
                <w:szCs w:val="18"/>
              </w:rPr>
              <w:t xml:space="preserve">Inventories</w:t>
            </w:r>
          </w:p>
        </w:tc>
        <w:tc>
          <w:tcPr>
            <w:tcW w:w="800" w:type="dxa"/>
            <w:vAlign w:val="center"/>
          </w:tcPr>
          <w:p>
            <w:pPr>
              <w:spacing w:before="0" w:after="0"/>
              <w:jc w:val="left"/>
            </w:pPr>
            <w:r>
              <w:rPr>
                <w:sz w:val="18"/>
                <w:szCs w:val="18"/>
              </w:rPr>
              <w:t xml:space="preserve"/>
            </w:r>
          </w:p>
        </w:tc>
        <w:tc>
          <w:tcPr>
            <w:tcW w:w="1700" w:type="dxa"/>
            <w:vAlign w:val="center"/>
          </w:tcPr>
          <w:p>
            <w:pPr>
              <w:spacing w:before="0" w:after="0"/>
              <w:jc w:val="right"/>
            </w:pPr>
            <w:r>
              <w:rPr>
                <w:sz w:val="18"/>
                <w:szCs w:val="18"/>
              </w:rPr>
              <w:t xml:space="preserve">24,340</w:t>
            </w:r>
          </w:p>
        </w:tc>
        <w:tc>
          <w:tcPr>
            <w:tcW w:w="1700" w:type="dxa"/>
            <w:vAlign w:val="center"/>
          </w:tcPr>
          <w:p>
            <w:pPr>
              <w:spacing w:before="0" w:after="0"/>
              <w:jc w:val="right"/>
            </w:pPr>
            <w:r>
              <w:rPr>
                <w:sz w:val="18"/>
                <w:szCs w:val="18"/>
              </w:rPr>
              <w:t xml:space="preserve">23,568</w:t>
            </w:r>
          </w:p>
        </w:tc>
      </w:tr>
      <w:tr>
        <w:tc>
          <w:tcPr>
            <w:tcW w:w="4872" w:type="dxa"/>
            <w:vAlign w:val="center"/>
          </w:tcPr>
          <w:p>
            <w:pPr>
              <w:spacing w:before="0" w:after="0"/>
              <w:jc w:val="left"/>
            </w:pPr>
            <w:r>
              <w:rPr>
                <w:sz w:val="18"/>
                <w:szCs w:val="18"/>
              </w:rPr>
              <w:t xml:space="preserve">Prepaid expenses and other current assets</w:t>
            </w:r>
          </w:p>
        </w:tc>
        <w:tc>
          <w:tcPr>
            <w:tcW w:w="800" w:type="dxa"/>
            <w:vAlign w:val="center"/>
          </w:tcPr>
          <w:p>
            <w:pPr>
              <w:spacing w:before="0" w:after="0"/>
              <w:jc w:val="left"/>
            </w:pPr>
            <w:r>
              <w:rPr>
                <w:sz w:val="18"/>
                <w:szCs w:val="18"/>
              </w:rPr>
              <w:t xml:space="preserve"/>
            </w:r>
          </w:p>
        </w:tc>
        <w:tc>
          <w:tcPr>
            <w:tcW w:w="1700" w:type="dxa"/>
            <w:vAlign w:val="center"/>
          </w:tcPr>
          <w:p>
            <w:pPr>
              <w:spacing w:before="0" w:after="0"/>
              <w:jc w:val="right"/>
            </w:pPr>
            <w:r>
              <w:rPr>
                <w:sz w:val="18"/>
                <w:szCs w:val="18"/>
              </w:rPr>
              <w:t xml:space="preserve">8,202</w:t>
            </w:r>
          </w:p>
        </w:tc>
        <w:tc>
          <w:tcPr>
            <w:tcW w:w="1700" w:type="dxa"/>
            <w:vAlign w:val="center"/>
          </w:tcPr>
          <w:p>
            <w:pPr>
              <w:spacing w:before="0" w:after="0"/>
              <w:jc w:val="right"/>
            </w:pPr>
            <w:r>
              <w:rPr>
                <w:sz w:val="18"/>
                <w:szCs w:val="18"/>
              </w:rPr>
              <w:t xml:space="preserve">8,093</w:t>
            </w:r>
          </w:p>
        </w:tc>
      </w:tr>
      <w:tr>
        <w:tc>
          <w:tcPr>
            <w:tcW w:w="4872" w:type="dxa"/>
            <w:vAlign w:val="center"/>
          </w:tcPr>
          <w:p>
            <w:pPr>
              <w:spacing w:before="0" w:after="0"/>
              <w:jc w:val="left"/>
            </w:pPr>
            <w:r>
              <w:rPr>
                <w:b/>
                <w:sz w:val="18"/>
                <w:szCs w:val="18"/>
              </w:rPr>
              <w:t xml:space="preserve">Total current assets</w:t>
            </w:r>
          </w:p>
        </w:tc>
        <w:tc>
          <w:tcPr>
            <w:tcW w:w="800" w:type="dxa"/>
            <w:vAlign w:val="center"/>
          </w:tcPr>
          <w:p>
            <w:pPr>
              <w:spacing w:before="0" w:after="0"/>
              <w:jc w:val="left"/>
            </w:pPr>
            <w:r>
              <w:rPr>
                <w:b/>
                <w:sz w:val="18"/>
                <w:szCs w:val="18"/>
              </w:rPr>
              <w:t xml:space="preserve"/>
            </w:r>
          </w:p>
        </w:tc>
        <w:tc>
          <w:tcPr>
            <w:tcW w:w="1700" w:type="dxa"/>
            <w:vAlign w:val="center"/>
          </w:tcPr>
          <w:p>
            <w:pPr>
              <w:spacing w:before="0" w:after="0"/>
              <w:jc w:val="right"/>
            </w:pPr>
            <w:r>
              <w:rPr>
                <w:b/>
                <w:sz w:val="18"/>
                <w:szCs w:val="18"/>
              </w:rPr>
              <w:t xml:space="preserve">108,091</w:t>
            </w:r>
          </w:p>
        </w:tc>
        <w:tc>
          <w:tcPr>
            <w:tcW w:w="1700" w:type="dxa"/>
            <w:vAlign w:val="center"/>
          </w:tcPr>
          <w:p>
            <w:pPr>
              <w:spacing w:before="0" w:after="0"/>
              <w:jc w:val="right"/>
            </w:pPr>
            <w:r>
              <w:rPr>
                <w:b/>
                <w:sz w:val="18"/>
                <w:szCs w:val="18"/>
              </w:rPr>
              <w:t xml:space="preserve">108,135</w:t>
            </w:r>
          </w:p>
        </w:tc>
      </w:tr>
      <w:tr>
        <w:tc>
          <w:tcPr>
            <w:tcW w:w="4872" w:type="dxa"/>
            <w:vAlign w:val="center"/>
          </w:tcPr>
          <w:p>
            <w:pPr>
              <w:spacing w:before="0" w:after="0"/>
              <w:jc w:val="left"/>
            </w:pPr>
            <w:r>
              <w:rPr>
                <w:b/>
                <w:sz w:val="18"/>
                <w:szCs w:val="18"/>
              </w:rPr>
              <w:t xml:space="preserve">Non-current assets</w:t>
            </w:r>
          </w:p>
        </w:tc>
        <w:tc>
          <w:tcPr>
            <w:tcW w:w="800" w:type="dxa"/>
            <w:vAlign w:val="center"/>
          </w:tcPr>
          <w:p>
            <w:pPr>
              <w:spacing w:before="0" w:after="0"/>
              <w:jc w:val="left"/>
            </w:pPr>
            <w:r>
              <w:rPr>
                <w:b/>
                <w:sz w:val="18"/>
                <w:szCs w:val="18"/>
              </w:rPr>
              <w:t xml:space="preserve"/>
            </w:r>
          </w:p>
        </w:tc>
        <w:tc>
          <w:tcPr>
            <w:tcW w:w="1700" w:type="dxa"/>
            <w:vAlign w:val="center"/>
          </w:tcPr>
          <w:p>
            <w:pPr>
              <w:spacing w:before="0" w:after="0"/>
              <w:jc w:val="right"/>
            </w:pPr>
            <w:r>
              <w:rPr>
                <w:b/>
                <w:sz w:val="18"/>
                <w:szCs w:val="18"/>
              </w:rPr>
              <w:t xml:space="preserve"/>
            </w:r>
          </w:p>
        </w:tc>
        <w:tc>
          <w:tcPr>
            <w:tcW w:w="1700" w:type="dxa"/>
            <w:vAlign w:val="center"/>
          </w:tcPr>
          <w:p>
            <w:pPr>
              <w:spacing w:before="0" w:after="0"/>
              <w:jc w:val="right"/>
            </w:pPr>
            <w:r>
              <w:rPr>
                <w:b/>
                <w:sz w:val="18"/>
                <w:szCs w:val="18"/>
              </w:rPr>
              <w:t xml:space="preserve"/>
            </w:r>
          </w:p>
        </w:tc>
      </w:tr>
      <w:tr>
        <w:tc>
          <w:tcPr>
            <w:tcW w:w="4872" w:type="dxa"/>
            <w:vAlign w:val="center"/>
          </w:tcPr>
          <w:p>
            <w:pPr>
              <w:spacing w:before="0" w:after="0"/>
              <w:jc w:val="left"/>
            </w:pPr>
            <w:r>
              <w:rPr>
                <w:sz w:val="18"/>
                <w:szCs w:val="18"/>
              </w:rPr>
              <w:t xml:space="preserve">Property and equipment, net</w:t>
            </w:r>
          </w:p>
        </w:tc>
        <w:tc>
          <w:tcPr>
            <w:tcW w:w="800" w:type="dxa"/>
            <w:vAlign w:val="center"/>
          </w:tcPr>
          <w:p>
            <w:pPr>
              <w:spacing w:before="0" w:after="0"/>
              <w:jc w:val="left"/>
            </w:pPr>
            <w:r>
              <w:rPr>
                <w:sz w:val="18"/>
                <w:szCs w:val="18"/>
              </w:rPr>
              <w:t xml:space="preserve">13</w:t>
            </w:r>
          </w:p>
        </w:tc>
        <w:tc>
          <w:tcPr>
            <w:tcW w:w="1700" w:type="dxa"/>
            <w:vAlign w:val="center"/>
          </w:tcPr>
          <w:p>
            <w:pPr>
              <w:spacing w:before="0" w:after="0"/>
              <w:jc w:val="right"/>
            </w:pPr>
            <w:r>
              <w:rPr>
                <w:sz w:val="18"/>
                <w:szCs w:val="18"/>
              </w:rPr>
              <w:t xml:space="preserve">134,137</w:t>
            </w:r>
          </w:p>
        </w:tc>
        <w:tc>
          <w:tcPr>
            <w:tcW w:w="1700" w:type="dxa"/>
            <w:vAlign w:val="center"/>
          </w:tcPr>
          <w:p>
            <w:pPr>
              <w:spacing w:before="0" w:after="0"/>
              <w:jc w:val="right"/>
            </w:pPr>
            <w:r>
              <w:rPr>
                <w:sz w:val="18"/>
                <w:szCs w:val="18"/>
              </w:rPr>
              <w:t xml:space="preserve">127,739</w:t>
            </w:r>
          </w:p>
        </w:tc>
      </w:tr>
      <w:tr>
        <w:tc>
          <w:tcPr>
            <w:tcW w:w="4872" w:type="dxa"/>
            <w:vAlign w:val="center"/>
          </w:tcPr>
          <w:p>
            <w:pPr>
              <w:spacing w:before="0" w:after="0"/>
              <w:jc w:val="left"/>
            </w:pPr>
            <w:r>
              <w:rPr>
                <w:sz w:val="18"/>
                <w:szCs w:val="18"/>
              </w:rPr>
              <w:t xml:space="preserve">Operating lease right-of-use assets</w:t>
            </w:r>
          </w:p>
        </w:tc>
        <w:tc>
          <w:tcPr>
            <w:tcW w:w="800" w:type="dxa"/>
            <w:vAlign w:val="center"/>
          </w:tcPr>
          <w:p>
            <w:pPr>
              <w:spacing w:before="0" w:after="0"/>
              <w:jc w:val="left"/>
            </w:pPr>
            <w:r>
              <w:rPr>
                <w:sz w:val="18"/>
                <w:szCs w:val="18"/>
              </w:rPr>
              <w:t xml:space="preserve"/>
            </w:r>
          </w:p>
        </w:tc>
        <w:tc>
          <w:tcPr>
            <w:tcW w:w="1700" w:type="dxa"/>
            <w:vAlign w:val="center"/>
          </w:tcPr>
          <w:p>
            <w:pPr>
              <w:spacing w:before="0" w:after="0"/>
              <w:jc w:val="right"/>
            </w:pPr>
            <w:r>
              <w:rPr>
                <w:sz w:val="18"/>
                <w:szCs w:val="18"/>
              </w:rPr>
              <w:t xml:space="preserve">112,663</w:t>
            </w:r>
          </w:p>
        </w:tc>
        <w:tc>
          <w:tcPr>
            <w:tcW w:w="1700" w:type="dxa"/>
            <w:vAlign w:val="center"/>
          </w:tcPr>
          <w:p>
            <w:pPr>
              <w:spacing w:before="0" w:after="0"/>
              <w:jc w:val="right"/>
            </w:pPr>
            <w:r>
              <w:rPr>
                <w:sz w:val="18"/>
                <w:szCs w:val="18"/>
              </w:rPr>
              <w:t xml:space="preserve">133,935</w:t>
            </w:r>
          </w:p>
        </w:tc>
      </w:tr>
      <w:tr>
        <w:tc>
          <w:tcPr>
            <w:tcW w:w="4872" w:type="dxa"/>
            <w:vAlign w:val="center"/>
          </w:tcPr>
          <w:p>
            <w:pPr>
              <w:spacing w:before="0" w:after="0"/>
              <w:jc w:val="left"/>
            </w:pPr>
            <w:r>
              <w:rPr>
                <w:sz w:val="18"/>
                <w:szCs w:val="18"/>
              </w:rPr>
              <w:t xml:space="preserve">Deferred income taxes</w:t>
            </w:r>
          </w:p>
        </w:tc>
        <w:tc>
          <w:tcPr>
            <w:tcW w:w="800" w:type="dxa"/>
            <w:vAlign w:val="center"/>
          </w:tcPr>
          <w:p>
            <w:pPr>
              <w:spacing w:before="0" w:after="0"/>
              <w:jc w:val="left"/>
            </w:pPr>
            <w:r>
              <w:rPr>
                <w:sz w:val="18"/>
                <w:szCs w:val="18"/>
              </w:rPr>
              <w:t xml:space="preserve"/>
            </w:r>
          </w:p>
        </w:tc>
        <w:tc>
          <w:tcPr>
            <w:tcW w:w="1700" w:type="dxa"/>
            <w:vAlign w:val="center"/>
          </w:tcPr>
          <w:p>
            <w:pPr>
              <w:spacing w:before="0" w:after="0"/>
              <w:jc w:val="right"/>
            </w:pPr>
            <w:r>
              <w:rPr>
                <w:sz w:val="18"/>
                <w:szCs w:val="18"/>
              </w:rPr>
              <w:t xml:space="preserve">5,872</w:t>
            </w:r>
          </w:p>
        </w:tc>
        <w:tc>
          <w:tcPr>
            <w:tcW w:w="1700" w:type="dxa"/>
            <w:vAlign w:val="center"/>
          </w:tcPr>
          <w:p>
            <w:pPr>
              <w:spacing w:before="0" w:after="0"/>
              <w:jc w:val="right"/>
            </w:pPr>
            <w:r>
              <w:rPr>
                <w:sz w:val="18"/>
                <w:szCs w:val="18"/>
              </w:rPr>
              <w:t xml:space="preserve">6,440</w:t>
            </w:r>
          </w:p>
        </w:tc>
      </w:tr>
      <w:tr>
        <w:tc>
          <w:tcPr>
            <w:tcW w:w="4872" w:type="dxa"/>
            <w:vAlign w:val="center"/>
          </w:tcPr>
          <w:p>
            <w:pPr>
              <w:spacing w:before="0" w:after="0"/>
              <w:jc w:val="left"/>
            </w:pPr>
            <w:r>
              <w:rPr>
                <w:sz w:val="18"/>
                <w:szCs w:val="18"/>
              </w:rPr>
              <w:t xml:space="preserve">Goodwill</w:t>
            </w:r>
          </w:p>
        </w:tc>
        <w:tc>
          <w:tcPr>
            <w:tcW w:w="800" w:type="dxa"/>
            <w:vAlign w:val="center"/>
          </w:tcPr>
          <w:p>
            <w:pPr>
              <w:spacing w:before="0" w:after="0"/>
              <w:jc w:val="left"/>
            </w:pPr>
            <w:r>
              <w:rPr>
                <w:sz w:val="18"/>
                <w:szCs w:val="18"/>
              </w:rPr>
              <w:t xml:space="preserve"/>
            </w:r>
          </w:p>
        </w:tc>
        <w:tc>
          <w:tcPr>
            <w:tcW w:w="1700" w:type="dxa"/>
            <w:vAlign w:val="center"/>
          </w:tcPr>
          <w:p>
            <w:pPr>
              <w:spacing w:before="0" w:after="0"/>
              <w:jc w:val="right"/>
            </w:pPr>
            <w:r>
              <w:rPr>
                <w:sz w:val="18"/>
                <w:szCs w:val="18"/>
              </w:rPr>
              <w:t xml:space="preserve">7,896</w:t>
            </w:r>
          </w:p>
        </w:tc>
        <w:tc>
          <w:tcPr>
            <w:tcW w:w="1700" w:type="dxa"/>
            <w:vAlign w:val="center"/>
          </w:tcPr>
          <w:p>
            <w:pPr>
              <w:spacing w:before="0" w:after="0"/>
              <w:jc w:val="right"/>
            </w:pPr>
            <w:r>
              <w:rPr>
                <w:sz w:val="18"/>
                <w:szCs w:val="18"/>
              </w:rPr>
              <w:t xml:space="preserve">8,460</w:t>
            </w:r>
          </w:p>
        </w:tc>
      </w:tr>
      <w:tr>
        <w:tc>
          <w:tcPr>
            <w:tcW w:w="4872" w:type="dxa"/>
            <w:vAlign w:val="center"/>
          </w:tcPr>
          <w:p>
            <w:pPr>
              <w:spacing w:before="0" w:after="0"/>
              <w:jc w:val="left"/>
            </w:pPr>
            <w:r>
              <w:rPr>
                <w:sz w:val="18"/>
                <w:szCs w:val="18"/>
              </w:rPr>
              <w:t xml:space="preserve">Other intangible assets, net</w:t>
            </w:r>
          </w:p>
        </w:tc>
        <w:tc>
          <w:tcPr>
            <w:tcW w:w="800" w:type="dxa"/>
            <w:vAlign w:val="center"/>
          </w:tcPr>
          <w:p>
            <w:pPr>
              <w:spacing w:before="0" w:after="0"/>
              <w:jc w:val="left"/>
            </w:pPr>
            <w:r>
              <w:rPr>
                <w:sz w:val="18"/>
                <w:szCs w:val="18"/>
              </w:rPr>
              <w:t xml:space="preserve"/>
            </w:r>
          </w:p>
        </w:tc>
        <w:tc>
          <w:tcPr>
            <w:tcW w:w="1700" w:type="dxa"/>
            <w:vAlign w:val="center"/>
          </w:tcPr>
          <w:p>
            <w:pPr>
              <w:spacing w:before="0" w:after="0"/>
              <w:jc w:val="right"/>
            </w:pPr>
            <w:r>
              <w:rPr>
                <w:sz w:val="18"/>
                <w:szCs w:val="18"/>
              </w:rPr>
              <w:t xml:space="preserve">3,987</w:t>
            </w:r>
          </w:p>
        </w:tc>
        <w:tc>
          <w:tcPr>
            <w:tcW w:w="1700" w:type="dxa"/>
            <w:vAlign w:val="center"/>
          </w:tcPr>
          <w:p>
            <w:pPr>
              <w:spacing w:before="0" w:after="0"/>
              <w:jc w:val="right"/>
            </w:pPr>
            <w:r>
              <w:rPr>
                <w:sz w:val="18"/>
                <w:szCs w:val="18"/>
              </w:rPr>
              <w:t xml:space="preserve">4,424</w:t>
            </w:r>
          </w:p>
        </w:tc>
      </w:tr>
      <w:tr>
        <w:tc>
          <w:tcPr>
            <w:tcW w:w="4872" w:type="dxa"/>
            <w:vAlign w:val="center"/>
          </w:tcPr>
          <w:p>
            <w:pPr>
              <w:spacing w:before="0" w:after="0"/>
              <w:jc w:val="left"/>
            </w:pPr>
            <w:r>
              <w:rPr>
                <w:sz w:val="18"/>
                <w:szCs w:val="18"/>
              </w:rPr>
              <w:t xml:space="preserve">Security deposits</w:t>
            </w:r>
          </w:p>
        </w:tc>
        <w:tc>
          <w:tcPr>
            <w:tcW w:w="800" w:type="dxa"/>
            <w:vAlign w:val="center"/>
          </w:tcPr>
          <w:p>
            <w:pPr>
              <w:spacing w:before="0" w:after="0"/>
              <w:jc w:val="left"/>
            </w:pPr>
            <w:r>
              <w:rPr>
                <w:sz w:val="18"/>
                <w:szCs w:val="18"/>
              </w:rPr>
              <w:t xml:space="preserve"/>
            </w:r>
          </w:p>
        </w:tc>
        <w:tc>
          <w:tcPr>
            <w:tcW w:w="1700" w:type="dxa"/>
            <w:vAlign w:val="center"/>
          </w:tcPr>
          <w:p>
            <w:pPr>
              <w:spacing w:before="0" w:after="0"/>
              <w:jc w:val="right"/>
            </w:pPr>
            <w:r>
              <w:rPr>
                <w:sz w:val="18"/>
                <w:szCs w:val="18"/>
              </w:rPr>
              <w:t xml:space="preserve">8,178</w:t>
            </w:r>
          </w:p>
        </w:tc>
        <w:tc>
          <w:tcPr>
            <w:tcW w:w="1700" w:type="dxa"/>
            <w:vAlign w:val="center"/>
          </w:tcPr>
          <w:p>
            <w:pPr>
              <w:spacing w:before="0" w:after="0"/>
              <w:jc w:val="right"/>
            </w:pPr>
            <w:r>
              <w:rPr>
                <w:sz w:val="18"/>
                <w:szCs w:val="18"/>
              </w:rPr>
              <w:t xml:space="preserve">8,130</w:t>
            </w:r>
          </w:p>
        </w:tc>
      </w:tr>
      <w:tr>
        <w:tc>
          <w:tcPr>
            <w:tcW w:w="4872" w:type="dxa"/>
            <w:vAlign w:val="center"/>
          </w:tcPr>
          <w:p>
            <w:pPr>
              <w:spacing w:before="0" w:after="0"/>
              <w:jc w:val="left"/>
            </w:pPr>
            <w:r>
              <w:rPr>
                <w:sz w:val="18"/>
                <w:szCs w:val="18"/>
              </w:rPr>
              <w:t xml:space="preserve">Other long-term assets</w:t>
            </w:r>
          </w:p>
        </w:tc>
        <w:tc>
          <w:tcPr>
            <w:tcW w:w="800" w:type="dxa"/>
            <w:vAlign w:val="center"/>
          </w:tcPr>
          <w:p>
            <w:pPr>
              <w:spacing w:before="0" w:after="0"/>
              <w:jc w:val="left"/>
            </w:pPr>
            <w:r>
              <w:rPr>
                <w:sz w:val="18"/>
                <w:szCs w:val="18"/>
              </w:rPr>
              <w:t xml:space="preserve"/>
            </w:r>
          </w:p>
        </w:tc>
        <w:tc>
          <w:tcPr>
            <w:tcW w:w="1700" w:type="dxa"/>
            <w:vAlign w:val="center"/>
          </w:tcPr>
          <w:p>
            <w:pPr>
              <w:spacing w:before="0" w:after="0"/>
              <w:jc w:val="right"/>
            </w:pPr>
            <w:r>
              <w:rPr>
                <w:sz w:val="18"/>
                <w:szCs w:val="18"/>
              </w:rPr>
              <w:t xml:space="preserve">3,960</w:t>
            </w:r>
          </w:p>
        </w:tc>
        <w:tc>
          <w:tcPr>
            <w:tcW w:w="1700" w:type="dxa"/>
            <w:vAlign w:val="center"/>
          </w:tcPr>
          <w:p>
            <w:pPr>
              <w:spacing w:before="0" w:after="0"/>
              <w:jc w:val="right"/>
            </w:pPr>
            <w:r>
              <w:rPr>
                <w:sz w:val="18"/>
                <w:szCs w:val="18"/>
              </w:rPr>
              <w:t xml:space="preserve">4,152</w:t>
            </w:r>
          </w:p>
        </w:tc>
      </w:tr>
      <w:tr>
        <w:tc>
          <w:tcPr>
            <w:tcW w:w="4872" w:type="dxa"/>
            <w:vAlign w:val="center"/>
          </w:tcPr>
          <w:p>
            <w:pPr>
              <w:spacing w:before="0" w:after="0"/>
              <w:jc w:val="left"/>
            </w:pPr>
            <w:r>
              <w:rPr>
                <w:b/>
                <w:sz w:val="18"/>
                <w:szCs w:val="18"/>
              </w:rPr>
              <w:t xml:space="preserve">Total non-current assets</w:t>
            </w:r>
          </w:p>
        </w:tc>
        <w:tc>
          <w:tcPr>
            <w:tcW w:w="800" w:type="dxa"/>
            <w:vAlign w:val="center"/>
          </w:tcPr>
          <w:p>
            <w:pPr>
              <w:spacing w:before="0" w:after="0"/>
              <w:jc w:val="left"/>
            </w:pPr>
            <w:r>
              <w:rPr>
                <w:b/>
                <w:sz w:val="18"/>
                <w:szCs w:val="18"/>
              </w:rPr>
              <w:t xml:space="preserve"/>
            </w:r>
          </w:p>
        </w:tc>
        <w:tc>
          <w:tcPr>
            <w:tcW w:w="1700" w:type="dxa"/>
            <w:vAlign w:val="center"/>
          </w:tcPr>
          <w:p>
            <w:pPr>
              <w:spacing w:before="0" w:after="0"/>
              <w:jc w:val="right"/>
            </w:pPr>
            <w:r>
              <w:rPr>
                <w:b/>
                <w:sz w:val="18"/>
                <w:szCs w:val="18"/>
              </w:rPr>
              <w:t xml:space="preserve">276,693</w:t>
            </w:r>
          </w:p>
        </w:tc>
        <w:tc>
          <w:tcPr>
            <w:tcW w:w="1700" w:type="dxa"/>
            <w:vAlign w:val="center"/>
          </w:tcPr>
          <w:p>
            <w:pPr>
              <w:spacing w:before="0" w:after="0"/>
              <w:jc w:val="right"/>
            </w:pPr>
            <w:r>
              <w:rPr>
                <w:b/>
                <w:sz w:val="18"/>
                <w:szCs w:val="18"/>
              </w:rPr>
              <w:t xml:space="preserve">293,280</w:t>
            </w:r>
          </w:p>
        </w:tc>
      </w:tr>
      <w:tr>
        <w:tc>
          <w:tcPr>
            <w:tcW w:w="4872" w:type="dxa"/>
            <w:vAlign w:val="center"/>
          </w:tcPr>
          <w:p>
            <w:pPr>
              <w:spacing w:before="0" w:after="0"/>
              <w:jc w:val="left"/>
            </w:pPr>
            <w:r>
              <w:rPr>
                <w:b/>
                <w:sz w:val="18"/>
                <w:szCs w:val="18"/>
              </w:rPr>
              <w:t xml:space="preserve">Total assets</w:t>
            </w:r>
          </w:p>
        </w:tc>
        <w:tc>
          <w:tcPr>
            <w:tcW w:w="800" w:type="dxa"/>
            <w:vAlign w:val="center"/>
          </w:tcPr>
          <w:p>
            <w:pPr>
              <w:spacing w:before="0" w:after="0"/>
              <w:jc w:val="left"/>
            </w:pPr>
            <w:r>
              <w:rPr>
                <w:b/>
                <w:sz w:val="18"/>
                <w:szCs w:val="18"/>
              </w:rPr>
              <w:t xml:space="preserve"/>
            </w:r>
          </w:p>
        </w:tc>
        <w:tc>
          <w:tcPr>
            <w:tcW w:w="1700" w:type="dxa"/>
            <w:vAlign w:val="center"/>
          </w:tcPr>
          <w:p>
            <w:pPr>
              <w:spacing w:before="0" w:after="0"/>
              <w:jc w:val="right"/>
            </w:pPr>
            <w:r>
              <w:rPr>
                <w:b/>
                <w:sz w:val="18"/>
                <w:szCs w:val="18"/>
              </w:rPr>
              <w:t xml:space="preserve">384,784</w:t>
            </w:r>
          </w:p>
        </w:tc>
        <w:tc>
          <w:tcPr>
            <w:tcW w:w="1700" w:type="dxa"/>
            <w:vAlign w:val="center"/>
          </w:tcPr>
          <w:p>
            <w:pPr>
              <w:spacing w:before="0" w:after="0"/>
              <w:jc w:val="right"/>
            </w:pPr>
            <w:r>
              <w:rPr>
                <w:b/>
                <w:sz w:val="18"/>
                <w:szCs w:val="18"/>
              </w:rPr>
              <w:t xml:space="preserve">401,415</w:t>
            </w:r>
          </w:p>
        </w:tc>
      </w:tr>
    </w:tbl>
    <w:p>
      <w:pPr/>
    </w:p>
    <w:p>
      <w:r>
        <w:br w:type="page"/>
      </w:r>
    </w:p>
    <w:p>
      <w:pPr>
        <w:pStyle w:val="Heading3"/>
        <w:keepNext/>
      </w:pPr>
      <w:r>
        <w:t xml:space="preserve">Balance Sheets (Liabilities and Stockholders' Equity)</w:t>
      </w:r>
    </w:p>
    <w:p>
      <w:pPr>
        <w:jc w:val="right"/>
      </w:pPr>
      <w:r>
        <w:rPr>
          <w:sz w:val="18"/>
          <w:szCs w:val="18"/>
        </w:rPr>
        <w:t xml:space="preserve">(In thousands of U.S. dollars)</w:t>
      </w:r>
    </w:p>
    <w:tbl>
      <w:tblPr>
        <w:tblW w:w="907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72" w:type="dxa"/>
          <w:right w:w="72" w:type="dxa"/>
        </w:tblCellMar>
      </w:tblPr>
      <w:tblGrid>
        <w:gridCol w:w="4872"/>
        <w:gridCol w:w="800"/>
        <w:gridCol w:w="1700"/>
        <w:gridCol w:w="1700"/>
      </w:tblGrid>
      <w:tr>
        <w:trPr>
          <w:tblHeader/>
        </w:trPr>
        <w:tc>
          <w:tcPr>
            <w:tcW w:w="4872" w:type="dxa"/>
            <w:shd w:val="clear" w:color="auto" w:fill="DDEBF7"/>
            <w:vAlign w:val="center"/>
          </w:tcPr>
          <w:p>
            <w:pPr>
              <w:spacing w:before="0" w:after="0"/>
              <w:jc w:val="center"/>
            </w:pPr>
            <w:r>
              <w:rPr>
                <w:b/>
                <w:sz w:val="18"/>
                <w:szCs w:val="18"/>
              </w:rPr>
              <w:t xml:space="preserve"/>
            </w:r>
          </w:p>
        </w:tc>
        <w:tc>
          <w:tcPr>
            <w:tcW w:w="800" w:type="dxa"/>
            <w:shd w:val="clear" w:color="auto" w:fill="DDEBF7"/>
            <w:vAlign w:val="center"/>
          </w:tcPr>
          <w:p>
            <w:pPr>
              <w:spacing w:before="0" w:after="0"/>
              <w:jc w:val="center"/>
            </w:pPr>
            <w:r>
              <w:rPr>
                <w:b/>
                <w:sz w:val="18"/>
                <w:szCs w:val="18"/>
              </w:rPr>
              <w:t xml:space="preserve">Note</w:t>
            </w:r>
          </w:p>
        </w:tc>
        <w:tc>
          <w:tcPr>
            <w:tcW w:w="1700" w:type="dxa"/>
            <w:shd w:val="clear" w:color="auto" w:fill="DDEBF7"/>
            <w:vAlign w:val="center"/>
          </w:tcPr>
          <w:p>
            <w:pPr>
              <w:spacing w:before="0" w:after="0"/>
              <w:jc w:val="center"/>
            </w:pPr>
            <w:r>
              <w:rPr>
                <w:b/>
                <w:sz w:val="18"/>
                <w:szCs w:val="18"/>
              </w:rPr>
              <w:t xml:space="preserve">FY2024</w:t>
            </w:r>
          </w:p>
        </w:tc>
        <w:tc>
          <w:tcPr>
            <w:tcW w:w="1700" w:type="dxa"/>
            <w:shd w:val="clear" w:color="auto" w:fill="DDEBF7"/>
            <w:vAlign w:val="center"/>
          </w:tcPr>
          <w:p>
            <w:pPr>
              <w:spacing w:before="0" w:after="0"/>
              <w:jc w:val="center"/>
            </w:pPr>
            <w:r>
              <w:rPr>
                <w:b/>
                <w:sz w:val="18"/>
                <w:szCs w:val="18"/>
              </w:rPr>
              <w:t xml:space="preserve">FY2025</w:t>
            </w:r>
          </w:p>
        </w:tc>
      </w:tr>
      <w:tr>
        <w:tc>
          <w:tcPr>
            <w:tcW w:w="4872" w:type="dxa"/>
            <w:vAlign w:val="center"/>
          </w:tcPr>
          <w:p>
            <w:pPr>
              <w:spacing w:before="0" w:after="0"/>
              <w:jc w:val="left"/>
            </w:pPr>
            <w:r>
              <w:rPr>
                <w:b/>
                <w:sz w:val="18"/>
                <w:szCs w:val="18"/>
              </w:rPr>
              <w:t xml:space="preserve">Current liabilities</w:t>
            </w:r>
          </w:p>
        </w:tc>
        <w:tc>
          <w:tcPr>
            <w:tcW w:w="800" w:type="dxa"/>
            <w:vAlign w:val="center"/>
          </w:tcPr>
          <w:p>
            <w:pPr>
              <w:spacing w:before="0" w:after="0"/>
              <w:jc w:val="left"/>
            </w:pPr>
            <w:r>
              <w:rPr>
                <w:b/>
                <w:sz w:val="18"/>
                <w:szCs w:val="18"/>
              </w:rPr>
              <w:t xml:space="preserve"/>
            </w:r>
          </w:p>
        </w:tc>
        <w:tc>
          <w:tcPr>
            <w:tcW w:w="1700" w:type="dxa"/>
            <w:vAlign w:val="center"/>
          </w:tcPr>
          <w:p>
            <w:pPr>
              <w:spacing w:before="0" w:after="0"/>
              <w:jc w:val="right"/>
            </w:pPr>
            <w:r>
              <w:rPr>
                <w:b/>
                <w:sz w:val="18"/>
                <w:szCs w:val="18"/>
              </w:rPr>
              <w:t xml:space="preserve"/>
            </w:r>
          </w:p>
        </w:tc>
        <w:tc>
          <w:tcPr>
            <w:tcW w:w="1700" w:type="dxa"/>
            <w:vAlign w:val="center"/>
          </w:tcPr>
          <w:p>
            <w:pPr>
              <w:spacing w:before="0" w:after="0"/>
              <w:jc w:val="right"/>
            </w:pPr>
            <w:r>
              <w:rPr>
                <w:b/>
                <w:sz w:val="18"/>
                <w:szCs w:val="18"/>
              </w:rPr>
              <w:t xml:space="preserve"/>
            </w:r>
          </w:p>
        </w:tc>
      </w:tr>
      <w:tr>
        <w:tc>
          <w:tcPr>
            <w:tcW w:w="4872" w:type="dxa"/>
            <w:vAlign w:val="center"/>
          </w:tcPr>
          <w:p>
            <w:pPr>
              <w:spacing w:before="0" w:after="0"/>
              <w:jc w:val="left"/>
            </w:pPr>
            <w:r>
              <w:rPr>
                <w:sz w:val="18"/>
                <w:szCs w:val="18"/>
              </w:rPr>
              <w:t xml:space="preserve">Accounts payable</w:t>
            </w:r>
          </w:p>
        </w:tc>
        <w:tc>
          <w:tcPr>
            <w:tcW w:w="800" w:type="dxa"/>
            <w:vAlign w:val="center"/>
          </w:tcPr>
          <w:p>
            <w:pPr>
              <w:spacing w:before="0" w:after="0"/>
              <w:jc w:val="left"/>
            </w:pPr>
            <w:r>
              <w:rPr>
                <w:sz w:val="18"/>
                <w:szCs w:val="18"/>
              </w:rPr>
              <w:t xml:space="preserve"/>
            </w:r>
          </w:p>
        </w:tc>
        <w:tc>
          <w:tcPr>
            <w:tcW w:w="1700" w:type="dxa"/>
            <w:vAlign w:val="center"/>
          </w:tcPr>
          <w:p>
            <w:pPr>
              <w:spacing w:before="0" w:after="0"/>
              <w:jc w:val="right"/>
            </w:pPr>
            <w:r>
              <w:rPr>
                <w:sz w:val="18"/>
                <w:szCs w:val="18"/>
              </w:rPr>
              <w:t xml:space="preserve">15,825</w:t>
            </w:r>
          </w:p>
        </w:tc>
        <w:tc>
          <w:tcPr>
            <w:tcW w:w="1700" w:type="dxa"/>
            <w:vAlign w:val="center"/>
          </w:tcPr>
          <w:p>
            <w:pPr>
              <w:spacing w:before="0" w:after="0"/>
              <w:jc w:val="right"/>
            </w:pPr>
            <w:r>
              <w:rPr>
                <w:sz w:val="18"/>
                <w:szCs w:val="18"/>
              </w:rPr>
              <w:t xml:space="preserve">15,303</w:t>
            </w:r>
          </w:p>
        </w:tc>
      </w:tr>
      <w:tr>
        <w:tc>
          <w:tcPr>
            <w:tcW w:w="4872" w:type="dxa"/>
            <w:vAlign w:val="center"/>
          </w:tcPr>
          <w:p>
            <w:pPr>
              <w:spacing w:before="0" w:after="0"/>
              <w:jc w:val="left"/>
            </w:pPr>
            <w:r>
              <w:rPr>
                <w:sz w:val="18"/>
                <w:szCs w:val="18"/>
              </w:rPr>
              <w:t xml:space="preserve">Accrued payroll and benefits</w:t>
            </w:r>
          </w:p>
        </w:tc>
        <w:tc>
          <w:tcPr>
            <w:tcW w:w="800" w:type="dxa"/>
            <w:vAlign w:val="center"/>
          </w:tcPr>
          <w:p>
            <w:pPr>
              <w:spacing w:before="0" w:after="0"/>
              <w:jc w:val="left"/>
            </w:pPr>
            <w:r>
              <w:rPr>
                <w:sz w:val="18"/>
                <w:szCs w:val="18"/>
              </w:rPr>
              <w:t xml:space="preserve"/>
            </w:r>
          </w:p>
        </w:tc>
        <w:tc>
          <w:tcPr>
            <w:tcW w:w="1700" w:type="dxa"/>
            <w:vAlign w:val="center"/>
          </w:tcPr>
          <w:p>
            <w:pPr>
              <w:spacing w:before="0" w:after="0"/>
              <w:jc w:val="right"/>
            </w:pPr>
            <w:r>
              <w:rPr>
                <w:sz w:val="18"/>
                <w:szCs w:val="18"/>
              </w:rPr>
              <w:t xml:space="preserve">11,943</w:t>
            </w:r>
          </w:p>
        </w:tc>
        <w:tc>
          <w:tcPr>
            <w:tcW w:w="1700" w:type="dxa"/>
            <w:vAlign w:val="center"/>
          </w:tcPr>
          <w:p>
            <w:pPr>
              <w:spacing w:before="0" w:after="0"/>
              <w:jc w:val="right"/>
            </w:pPr>
            <w:r>
              <w:rPr>
                <w:sz w:val="18"/>
                <w:szCs w:val="18"/>
              </w:rPr>
              <w:t xml:space="preserve">11,729</w:t>
            </w:r>
          </w:p>
        </w:tc>
      </w:tr>
      <w:tr>
        <w:tc>
          <w:tcPr>
            <w:tcW w:w="4872" w:type="dxa"/>
            <w:vAlign w:val="center"/>
          </w:tcPr>
          <w:p>
            <w:pPr>
              <w:spacing w:before="0" w:after="0"/>
              <w:jc w:val="left"/>
            </w:pPr>
            <w:r>
              <w:rPr>
                <w:sz w:val="18"/>
                <w:szCs w:val="18"/>
              </w:rPr>
              <w:t xml:space="preserve">Current portion of operating lease liabilities</w:t>
            </w:r>
          </w:p>
        </w:tc>
        <w:tc>
          <w:tcPr>
            <w:tcW w:w="800" w:type="dxa"/>
            <w:vAlign w:val="center"/>
          </w:tcPr>
          <w:p>
            <w:pPr>
              <w:spacing w:before="0" w:after="0"/>
              <w:jc w:val="left"/>
            </w:pPr>
            <w:r>
              <w:rPr>
                <w:sz w:val="18"/>
                <w:szCs w:val="18"/>
              </w:rPr>
              <w:t xml:space="preserve"/>
            </w:r>
          </w:p>
        </w:tc>
        <w:tc>
          <w:tcPr>
            <w:tcW w:w="1700" w:type="dxa"/>
            <w:vAlign w:val="center"/>
          </w:tcPr>
          <w:p>
            <w:pPr>
              <w:spacing w:before="0" w:after="0"/>
              <w:jc w:val="right"/>
            </w:pPr>
            <w:r>
              <w:rPr>
                <w:sz w:val="18"/>
                <w:szCs w:val="18"/>
              </w:rPr>
              <w:t xml:space="preserve">18,078</w:t>
            </w:r>
          </w:p>
        </w:tc>
        <w:tc>
          <w:tcPr>
            <w:tcW w:w="1700" w:type="dxa"/>
            <w:vAlign w:val="center"/>
          </w:tcPr>
          <w:p>
            <w:pPr>
              <w:spacing w:before="0" w:after="0"/>
              <w:jc w:val="right"/>
            </w:pPr>
            <w:r>
              <w:rPr>
                <w:sz w:val="18"/>
                <w:szCs w:val="18"/>
              </w:rPr>
              <w:t xml:space="preserve">18,446</w:t>
            </w:r>
          </w:p>
        </w:tc>
      </w:tr>
      <w:tr>
        <w:tc>
          <w:tcPr>
            <w:tcW w:w="4872" w:type="dxa"/>
            <w:vAlign w:val="center"/>
          </w:tcPr>
          <w:p>
            <w:pPr>
              <w:spacing w:before="0" w:after="0"/>
              <w:jc w:val="left"/>
            </w:pPr>
            <w:r>
              <w:rPr>
                <w:sz w:val="18"/>
                <w:szCs w:val="18"/>
              </w:rPr>
              <w:t xml:space="preserve">Current portion of long-term debt</w:t>
            </w:r>
          </w:p>
        </w:tc>
        <w:tc>
          <w:tcPr>
            <w:tcW w:w="800" w:type="dxa"/>
            <w:vAlign w:val="center"/>
          </w:tcPr>
          <w:p>
            <w:pPr>
              <w:spacing w:before="0" w:after="0"/>
              <w:jc w:val="left"/>
            </w:pPr>
            <w:r>
              <w:rPr>
                <w:sz w:val="18"/>
                <w:szCs w:val="18"/>
              </w:rPr>
              <w:t xml:space="preserve">2</w:t>
            </w:r>
          </w:p>
        </w:tc>
        <w:tc>
          <w:tcPr>
            <w:tcW w:w="1700" w:type="dxa"/>
            <w:vAlign w:val="center"/>
          </w:tcPr>
          <w:p>
            <w:pPr>
              <w:spacing w:before="0" w:after="0"/>
              <w:jc w:val="right"/>
            </w:pPr>
            <w:r>
              <w:rPr>
                <w:sz w:val="18"/>
                <w:szCs w:val="18"/>
              </w:rPr>
              <w:t xml:space="preserve">7,927</w:t>
            </w:r>
          </w:p>
        </w:tc>
        <w:tc>
          <w:tcPr>
            <w:tcW w:w="1700" w:type="dxa"/>
            <w:vAlign w:val="center"/>
          </w:tcPr>
          <w:p>
            <w:pPr>
              <w:spacing w:before="0" w:after="0"/>
              <w:jc w:val="right"/>
            </w:pPr>
            <w:r>
              <w:rPr>
                <w:sz w:val="18"/>
                <w:szCs w:val="18"/>
              </w:rPr>
              <w:t xml:space="preserve">8,833</w:t>
            </w:r>
          </w:p>
        </w:tc>
      </w:tr>
      <w:tr>
        <w:tc>
          <w:tcPr>
            <w:tcW w:w="4872" w:type="dxa"/>
            <w:vAlign w:val="center"/>
          </w:tcPr>
          <w:p>
            <w:pPr>
              <w:spacing w:before="0" w:after="0"/>
              <w:jc w:val="left"/>
            </w:pPr>
            <w:r>
              <w:rPr>
                <w:sz w:val="18"/>
                <w:szCs w:val="18"/>
              </w:rPr>
              <w:t xml:space="preserve">Deferred revenue (gift cards and loyalty)</w:t>
            </w:r>
          </w:p>
        </w:tc>
        <w:tc>
          <w:tcPr>
            <w:tcW w:w="800" w:type="dxa"/>
            <w:vAlign w:val="center"/>
          </w:tcPr>
          <w:p>
            <w:pPr>
              <w:spacing w:before="0" w:after="0"/>
              <w:jc w:val="left"/>
            </w:pPr>
            <w:r>
              <w:rPr>
                <w:sz w:val="18"/>
                <w:szCs w:val="18"/>
              </w:rPr>
              <w:t xml:space="preserve"/>
            </w:r>
          </w:p>
        </w:tc>
        <w:tc>
          <w:tcPr>
            <w:tcW w:w="1700" w:type="dxa"/>
            <w:vAlign w:val="center"/>
          </w:tcPr>
          <w:p>
            <w:pPr>
              <w:spacing w:before="0" w:after="0"/>
              <w:jc w:val="right"/>
            </w:pPr>
            <w:r>
              <w:rPr>
                <w:sz w:val="18"/>
                <w:szCs w:val="18"/>
              </w:rPr>
              <w:t xml:space="preserve">10,362</w:t>
            </w:r>
          </w:p>
        </w:tc>
        <w:tc>
          <w:tcPr>
            <w:tcW w:w="1700" w:type="dxa"/>
            <w:vAlign w:val="center"/>
          </w:tcPr>
          <w:p>
            <w:pPr>
              <w:spacing w:before="0" w:after="0"/>
              <w:jc w:val="right"/>
            </w:pPr>
            <w:r>
              <w:rPr>
                <w:sz w:val="18"/>
                <w:szCs w:val="18"/>
              </w:rPr>
              <w:t xml:space="preserve">9,576</w:t>
            </w:r>
          </w:p>
        </w:tc>
      </w:tr>
      <w:tr>
        <w:tc>
          <w:tcPr>
            <w:tcW w:w="4872" w:type="dxa"/>
            <w:vAlign w:val="center"/>
          </w:tcPr>
          <w:p>
            <w:pPr>
              <w:spacing w:before="0" w:after="0"/>
              <w:jc w:val="left"/>
            </w:pPr>
            <w:r>
              <w:rPr>
                <w:sz w:val="18"/>
                <w:szCs w:val="18"/>
              </w:rPr>
              <w:t xml:space="preserve">Income taxes payable</w:t>
            </w:r>
          </w:p>
        </w:tc>
        <w:tc>
          <w:tcPr>
            <w:tcW w:w="800" w:type="dxa"/>
            <w:vAlign w:val="center"/>
          </w:tcPr>
          <w:p>
            <w:pPr>
              <w:spacing w:before="0" w:after="0"/>
              <w:jc w:val="left"/>
            </w:pPr>
            <w:r>
              <w:rPr>
                <w:sz w:val="18"/>
                <w:szCs w:val="18"/>
              </w:rPr>
              <w:t xml:space="preserve"/>
            </w:r>
          </w:p>
        </w:tc>
        <w:tc>
          <w:tcPr>
            <w:tcW w:w="1700" w:type="dxa"/>
            <w:vAlign w:val="center"/>
          </w:tcPr>
          <w:p>
            <w:pPr>
              <w:spacing w:before="0" w:after="0"/>
              <w:jc w:val="right"/>
            </w:pPr>
            <w:r>
              <w:rPr>
                <w:sz w:val="18"/>
                <w:szCs w:val="18"/>
              </w:rPr>
              <w:t xml:space="preserve">3,025</w:t>
            </w:r>
          </w:p>
        </w:tc>
        <w:tc>
          <w:tcPr>
            <w:tcW w:w="1700" w:type="dxa"/>
            <w:vAlign w:val="center"/>
          </w:tcPr>
          <w:p>
            <w:pPr>
              <w:spacing w:before="0" w:after="0"/>
              <w:jc w:val="right"/>
            </w:pPr>
            <w:r>
              <w:rPr>
                <w:sz w:val="18"/>
                <w:szCs w:val="18"/>
              </w:rPr>
              <w:t xml:space="preserve">3,104</w:t>
            </w:r>
          </w:p>
        </w:tc>
      </w:tr>
      <w:tr>
        <w:tc>
          <w:tcPr>
            <w:tcW w:w="4872" w:type="dxa"/>
            <w:vAlign w:val="center"/>
          </w:tcPr>
          <w:p>
            <w:pPr>
              <w:spacing w:before="0" w:after="0"/>
              <w:jc w:val="left"/>
            </w:pPr>
            <w:r>
              <w:rPr>
                <w:sz w:val="18"/>
                <w:szCs w:val="18"/>
              </w:rPr>
              <w:t xml:space="preserve">Other accrued liabilities</w:t>
            </w:r>
          </w:p>
        </w:tc>
        <w:tc>
          <w:tcPr>
            <w:tcW w:w="800" w:type="dxa"/>
            <w:vAlign w:val="center"/>
          </w:tcPr>
          <w:p>
            <w:pPr>
              <w:spacing w:before="0" w:after="0"/>
              <w:jc w:val="left"/>
            </w:pPr>
            <w:r>
              <w:rPr>
                <w:sz w:val="18"/>
                <w:szCs w:val="18"/>
              </w:rPr>
              <w:t xml:space="preserve">9</w:t>
            </w:r>
          </w:p>
        </w:tc>
        <w:tc>
          <w:tcPr>
            <w:tcW w:w="1700" w:type="dxa"/>
            <w:vAlign w:val="center"/>
          </w:tcPr>
          <w:p>
            <w:pPr>
              <w:spacing w:before="0" w:after="0"/>
              <w:jc w:val="right"/>
            </w:pPr>
            <w:r>
              <w:rPr>
                <w:sz w:val="18"/>
                <w:szCs w:val="18"/>
              </w:rPr>
              <w:t xml:space="preserve">5,633</w:t>
            </w:r>
          </w:p>
        </w:tc>
        <w:tc>
          <w:tcPr>
            <w:tcW w:w="1700" w:type="dxa"/>
            <w:vAlign w:val="center"/>
          </w:tcPr>
          <w:p>
            <w:pPr>
              <w:spacing w:before="0" w:after="0"/>
              <w:jc w:val="right"/>
            </w:pPr>
            <w:r>
              <w:rPr>
                <w:sz w:val="18"/>
                <w:szCs w:val="18"/>
              </w:rPr>
              <w:t xml:space="preserve">5,733</w:t>
            </w:r>
          </w:p>
        </w:tc>
      </w:tr>
      <w:tr>
        <w:tc>
          <w:tcPr>
            <w:tcW w:w="4872" w:type="dxa"/>
            <w:vAlign w:val="center"/>
          </w:tcPr>
          <w:p>
            <w:pPr>
              <w:spacing w:before="0" w:after="0"/>
              <w:jc w:val="left"/>
            </w:pPr>
            <w:r>
              <w:rPr>
                <w:b/>
                <w:sz w:val="18"/>
                <w:szCs w:val="18"/>
              </w:rPr>
              <w:t xml:space="preserve">Total current liabilities</w:t>
            </w:r>
          </w:p>
        </w:tc>
        <w:tc>
          <w:tcPr>
            <w:tcW w:w="800" w:type="dxa"/>
            <w:vAlign w:val="center"/>
          </w:tcPr>
          <w:p>
            <w:pPr>
              <w:spacing w:before="0" w:after="0"/>
              <w:jc w:val="left"/>
            </w:pPr>
            <w:r>
              <w:rPr>
                <w:b/>
                <w:sz w:val="18"/>
                <w:szCs w:val="18"/>
              </w:rPr>
              <w:t xml:space="preserve"/>
            </w:r>
          </w:p>
        </w:tc>
        <w:tc>
          <w:tcPr>
            <w:tcW w:w="1700" w:type="dxa"/>
            <w:vAlign w:val="center"/>
          </w:tcPr>
          <w:p>
            <w:pPr>
              <w:spacing w:before="0" w:after="0"/>
              <w:jc w:val="right"/>
            </w:pPr>
            <w:r>
              <w:rPr>
                <w:b/>
                <w:sz w:val="18"/>
                <w:szCs w:val="18"/>
              </w:rPr>
              <w:t xml:space="preserve">72,793</w:t>
            </w:r>
          </w:p>
        </w:tc>
        <w:tc>
          <w:tcPr>
            <w:tcW w:w="1700" w:type="dxa"/>
            <w:vAlign w:val="center"/>
          </w:tcPr>
          <w:p>
            <w:pPr>
              <w:spacing w:before="0" w:after="0"/>
              <w:jc w:val="right"/>
            </w:pPr>
            <w:r>
              <w:rPr>
                <w:b/>
                <w:sz w:val="18"/>
                <w:szCs w:val="18"/>
              </w:rPr>
              <w:t xml:space="preserve">72,724</w:t>
            </w:r>
          </w:p>
        </w:tc>
      </w:tr>
      <w:tr>
        <w:tc>
          <w:tcPr>
            <w:tcW w:w="4872" w:type="dxa"/>
            <w:vAlign w:val="center"/>
          </w:tcPr>
          <w:p>
            <w:pPr>
              <w:spacing w:before="0" w:after="0"/>
              <w:jc w:val="left"/>
            </w:pPr>
            <w:r>
              <w:rPr>
                <w:b/>
                <w:sz w:val="18"/>
                <w:szCs w:val="18"/>
              </w:rPr>
              <w:t xml:space="preserve">Non-current liabilities</w:t>
            </w:r>
          </w:p>
        </w:tc>
        <w:tc>
          <w:tcPr>
            <w:tcW w:w="800" w:type="dxa"/>
            <w:vAlign w:val="center"/>
          </w:tcPr>
          <w:p>
            <w:pPr>
              <w:spacing w:before="0" w:after="0"/>
              <w:jc w:val="left"/>
            </w:pPr>
            <w:r>
              <w:rPr>
                <w:b/>
                <w:sz w:val="18"/>
                <w:szCs w:val="18"/>
              </w:rPr>
              <w:t xml:space="preserve"/>
            </w:r>
          </w:p>
        </w:tc>
        <w:tc>
          <w:tcPr>
            <w:tcW w:w="1700" w:type="dxa"/>
            <w:vAlign w:val="center"/>
          </w:tcPr>
          <w:p>
            <w:pPr>
              <w:spacing w:before="0" w:after="0"/>
              <w:jc w:val="right"/>
            </w:pPr>
            <w:r>
              <w:rPr>
                <w:b/>
                <w:sz w:val="18"/>
                <w:szCs w:val="18"/>
              </w:rPr>
              <w:t xml:space="preserve"/>
            </w:r>
          </w:p>
        </w:tc>
        <w:tc>
          <w:tcPr>
            <w:tcW w:w="1700" w:type="dxa"/>
            <w:vAlign w:val="center"/>
          </w:tcPr>
          <w:p>
            <w:pPr>
              <w:spacing w:before="0" w:after="0"/>
              <w:jc w:val="right"/>
            </w:pPr>
            <w:r>
              <w:rPr>
                <w:b/>
                <w:sz w:val="18"/>
                <w:szCs w:val="18"/>
              </w:rPr>
              <w:t xml:space="preserve"/>
            </w:r>
          </w:p>
        </w:tc>
      </w:tr>
      <w:tr>
        <w:tc>
          <w:tcPr>
            <w:tcW w:w="4872" w:type="dxa"/>
            <w:vAlign w:val="center"/>
          </w:tcPr>
          <w:p>
            <w:pPr>
              <w:spacing w:before="0" w:after="0"/>
              <w:jc w:val="left"/>
            </w:pPr>
            <w:r>
              <w:rPr>
                <w:sz w:val="18"/>
                <w:szCs w:val="18"/>
              </w:rPr>
              <w:t xml:space="preserve">Long-term debt, net of current portion</w:t>
            </w:r>
          </w:p>
        </w:tc>
        <w:tc>
          <w:tcPr>
            <w:tcW w:w="800" w:type="dxa"/>
            <w:vAlign w:val="center"/>
          </w:tcPr>
          <w:p>
            <w:pPr>
              <w:spacing w:before="0" w:after="0"/>
              <w:jc w:val="left"/>
            </w:pPr>
            <w:r>
              <w:rPr>
                <w:sz w:val="18"/>
                <w:szCs w:val="18"/>
              </w:rPr>
              <w:t xml:space="preserve"/>
            </w:r>
          </w:p>
        </w:tc>
        <w:tc>
          <w:tcPr>
            <w:tcW w:w="1700" w:type="dxa"/>
            <w:vAlign w:val="center"/>
          </w:tcPr>
          <w:p>
            <w:pPr>
              <w:spacing w:before="0" w:after="0"/>
              <w:jc w:val="right"/>
            </w:pPr>
            <w:r>
              <w:rPr>
                <w:sz w:val="18"/>
                <w:szCs w:val="18"/>
              </w:rPr>
              <w:t xml:space="preserve">37,507</w:t>
            </w:r>
          </w:p>
        </w:tc>
        <w:tc>
          <w:tcPr>
            <w:tcW w:w="1700" w:type="dxa"/>
            <w:vAlign w:val="center"/>
          </w:tcPr>
          <w:p>
            <w:pPr>
              <w:spacing w:before="0" w:after="0"/>
              <w:jc w:val="right"/>
            </w:pPr>
            <w:r>
              <w:rPr>
                <w:sz w:val="18"/>
                <w:szCs w:val="18"/>
              </w:rPr>
              <w:t xml:space="preserve">36,477</w:t>
            </w:r>
          </w:p>
        </w:tc>
      </w:tr>
      <w:tr>
        <w:tc>
          <w:tcPr>
            <w:tcW w:w="4872" w:type="dxa"/>
            <w:vAlign w:val="center"/>
          </w:tcPr>
          <w:p>
            <w:pPr>
              <w:spacing w:before="0" w:after="0"/>
              <w:jc w:val="left"/>
            </w:pPr>
            <w:r>
              <w:rPr>
                <w:sz w:val="18"/>
                <w:szCs w:val="18"/>
              </w:rPr>
              <w:t xml:space="preserve">Operating lease liabilities, net of current portion</w:t>
            </w:r>
          </w:p>
        </w:tc>
        <w:tc>
          <w:tcPr>
            <w:tcW w:w="800" w:type="dxa"/>
            <w:vAlign w:val="center"/>
          </w:tcPr>
          <w:p>
            <w:pPr>
              <w:spacing w:before="0" w:after="0"/>
              <w:jc w:val="left"/>
            </w:pPr>
            <w:r>
              <w:rPr>
                <w:sz w:val="18"/>
                <w:szCs w:val="18"/>
              </w:rPr>
              <w:t xml:space="preserve"/>
            </w:r>
          </w:p>
        </w:tc>
        <w:tc>
          <w:tcPr>
            <w:tcW w:w="1700" w:type="dxa"/>
            <w:vAlign w:val="center"/>
          </w:tcPr>
          <w:p>
            <w:pPr>
              <w:spacing w:before="0" w:after="0"/>
              <w:jc w:val="right"/>
            </w:pPr>
            <w:r>
              <w:rPr>
                <w:sz w:val="18"/>
                <w:szCs w:val="18"/>
              </w:rPr>
              <w:t xml:space="preserve">112,010</w:t>
            </w:r>
          </w:p>
        </w:tc>
        <w:tc>
          <w:tcPr>
            <w:tcW w:w="1700" w:type="dxa"/>
            <w:vAlign w:val="center"/>
          </w:tcPr>
          <w:p>
            <w:pPr>
              <w:spacing w:before="0" w:after="0"/>
              <w:jc w:val="right"/>
            </w:pPr>
            <w:r>
              <w:rPr>
                <w:sz w:val="18"/>
                <w:szCs w:val="18"/>
              </w:rPr>
              <w:t xml:space="preserve">107,327</w:t>
            </w:r>
          </w:p>
        </w:tc>
      </w:tr>
      <w:tr>
        <w:tc>
          <w:tcPr>
            <w:tcW w:w="4872" w:type="dxa"/>
            <w:vAlign w:val="center"/>
          </w:tcPr>
          <w:p>
            <w:pPr>
              <w:spacing w:before="0" w:after="0"/>
              <w:jc w:val="left"/>
            </w:pPr>
            <w:r>
              <w:rPr>
                <w:sz w:val="18"/>
                <w:szCs w:val="18"/>
              </w:rPr>
              <w:t xml:space="preserve">Deferred rent and asset retirement obligations</w:t>
            </w:r>
          </w:p>
        </w:tc>
        <w:tc>
          <w:tcPr>
            <w:tcW w:w="800" w:type="dxa"/>
            <w:vAlign w:val="center"/>
          </w:tcPr>
          <w:p>
            <w:pPr>
              <w:spacing w:before="0" w:after="0"/>
              <w:jc w:val="left"/>
            </w:pPr>
            <w:r>
              <w:rPr>
                <w:sz w:val="18"/>
                <w:szCs w:val="18"/>
              </w:rPr>
              <w:t xml:space="preserve"/>
            </w:r>
          </w:p>
        </w:tc>
        <w:tc>
          <w:tcPr>
            <w:tcW w:w="1700" w:type="dxa"/>
            <w:vAlign w:val="center"/>
          </w:tcPr>
          <w:p>
            <w:pPr>
              <w:spacing w:before="0" w:after="0"/>
              <w:jc w:val="right"/>
            </w:pPr>
            <w:r>
              <w:rPr>
                <w:sz w:val="18"/>
                <w:szCs w:val="18"/>
              </w:rPr>
              <w:t xml:space="preserve">5,032</w:t>
            </w:r>
          </w:p>
        </w:tc>
        <w:tc>
          <w:tcPr>
            <w:tcW w:w="1700" w:type="dxa"/>
            <w:vAlign w:val="center"/>
          </w:tcPr>
          <w:p>
            <w:pPr>
              <w:spacing w:before="0" w:after="0"/>
              <w:jc w:val="right"/>
            </w:pPr>
            <w:r>
              <w:rPr>
                <w:sz w:val="18"/>
                <w:szCs w:val="18"/>
              </w:rPr>
              <w:t xml:space="preserve">4,682</w:t>
            </w:r>
          </w:p>
        </w:tc>
      </w:tr>
      <w:tr>
        <w:tc>
          <w:tcPr>
            <w:tcW w:w="4872" w:type="dxa"/>
            <w:vAlign w:val="center"/>
          </w:tcPr>
          <w:p>
            <w:pPr>
              <w:spacing w:before="0" w:after="0"/>
              <w:jc w:val="left"/>
            </w:pPr>
            <w:r>
              <w:rPr>
                <w:sz w:val="18"/>
                <w:szCs w:val="18"/>
              </w:rPr>
              <w:t xml:space="preserve">Other long-term liabilities</w:t>
            </w:r>
          </w:p>
        </w:tc>
        <w:tc>
          <w:tcPr>
            <w:tcW w:w="800" w:type="dxa"/>
            <w:vAlign w:val="center"/>
          </w:tcPr>
          <w:p>
            <w:pPr>
              <w:spacing w:before="0" w:after="0"/>
              <w:jc w:val="left"/>
            </w:pPr>
            <w:r>
              <w:rPr>
                <w:sz w:val="18"/>
                <w:szCs w:val="18"/>
              </w:rPr>
              <w:t xml:space="preserve"/>
            </w:r>
          </w:p>
        </w:tc>
        <w:tc>
          <w:tcPr>
            <w:tcW w:w="1700" w:type="dxa"/>
            <w:vAlign w:val="center"/>
          </w:tcPr>
          <w:p>
            <w:pPr>
              <w:spacing w:before="0" w:after="0"/>
              <w:jc w:val="right"/>
            </w:pPr>
            <w:r>
              <w:rPr>
                <w:sz w:val="18"/>
                <w:szCs w:val="18"/>
              </w:rPr>
              <w:t xml:space="preserve">3,054</w:t>
            </w:r>
          </w:p>
        </w:tc>
        <w:tc>
          <w:tcPr>
            <w:tcW w:w="1700" w:type="dxa"/>
            <w:vAlign w:val="center"/>
          </w:tcPr>
          <w:p>
            <w:pPr>
              <w:spacing w:before="0" w:after="0"/>
              <w:jc w:val="right"/>
            </w:pPr>
            <w:r>
              <w:rPr>
                <w:sz w:val="18"/>
                <w:szCs w:val="18"/>
              </w:rPr>
              <w:t xml:space="preserve">3,103</w:t>
            </w:r>
          </w:p>
        </w:tc>
      </w:tr>
      <w:tr>
        <w:tc>
          <w:tcPr>
            <w:tcW w:w="4872" w:type="dxa"/>
            <w:vAlign w:val="center"/>
          </w:tcPr>
          <w:p>
            <w:pPr>
              <w:spacing w:before="0" w:after="0"/>
              <w:jc w:val="left"/>
            </w:pPr>
            <w:r>
              <w:rPr>
                <w:b/>
                <w:sz w:val="18"/>
                <w:szCs w:val="18"/>
              </w:rPr>
              <w:t xml:space="preserve">Total non-current liabilities</w:t>
            </w:r>
          </w:p>
        </w:tc>
        <w:tc>
          <w:tcPr>
            <w:tcW w:w="800" w:type="dxa"/>
            <w:vAlign w:val="center"/>
          </w:tcPr>
          <w:p>
            <w:pPr>
              <w:spacing w:before="0" w:after="0"/>
              <w:jc w:val="left"/>
            </w:pPr>
            <w:r>
              <w:rPr>
                <w:b/>
                <w:sz w:val="18"/>
                <w:szCs w:val="18"/>
              </w:rPr>
              <w:t xml:space="preserve"/>
            </w:r>
          </w:p>
        </w:tc>
        <w:tc>
          <w:tcPr>
            <w:tcW w:w="1700" w:type="dxa"/>
            <w:vAlign w:val="center"/>
          </w:tcPr>
          <w:p>
            <w:pPr>
              <w:spacing w:before="0" w:after="0"/>
              <w:jc w:val="right"/>
            </w:pPr>
            <w:r>
              <w:rPr>
                <w:b/>
                <w:sz w:val="18"/>
                <w:szCs w:val="18"/>
              </w:rPr>
              <w:t xml:space="preserve">157,603</w:t>
            </w:r>
          </w:p>
        </w:tc>
        <w:tc>
          <w:tcPr>
            <w:tcW w:w="1700" w:type="dxa"/>
            <w:vAlign w:val="center"/>
          </w:tcPr>
          <w:p>
            <w:pPr>
              <w:spacing w:before="0" w:after="0"/>
              <w:jc w:val="right"/>
            </w:pPr>
            <w:r>
              <w:rPr>
                <w:b/>
                <w:sz w:val="18"/>
                <w:szCs w:val="18"/>
              </w:rPr>
              <w:t xml:space="preserve">151,589</w:t>
            </w:r>
          </w:p>
        </w:tc>
      </w:tr>
      <w:tr>
        <w:tc>
          <w:tcPr>
            <w:tcW w:w="4872" w:type="dxa"/>
            <w:vAlign w:val="center"/>
          </w:tcPr>
          <w:p>
            <w:pPr>
              <w:spacing w:before="0" w:after="0"/>
              <w:jc w:val="left"/>
            </w:pPr>
            <w:r>
              <w:rPr>
                <w:b/>
                <w:sz w:val="18"/>
                <w:szCs w:val="18"/>
              </w:rPr>
              <w:t xml:space="preserve">Total liabilities</w:t>
            </w:r>
          </w:p>
        </w:tc>
        <w:tc>
          <w:tcPr>
            <w:tcW w:w="800" w:type="dxa"/>
            <w:vAlign w:val="center"/>
          </w:tcPr>
          <w:p>
            <w:pPr>
              <w:spacing w:before="0" w:after="0"/>
              <w:jc w:val="left"/>
            </w:pPr>
            <w:r>
              <w:rPr>
                <w:b/>
                <w:sz w:val="18"/>
                <w:szCs w:val="18"/>
              </w:rPr>
              <w:t xml:space="preserve"/>
            </w:r>
          </w:p>
        </w:tc>
        <w:tc>
          <w:tcPr>
            <w:tcW w:w="1700" w:type="dxa"/>
            <w:vAlign w:val="center"/>
          </w:tcPr>
          <w:p>
            <w:pPr>
              <w:spacing w:before="0" w:after="0"/>
              <w:jc w:val="right"/>
            </w:pPr>
            <w:r>
              <w:rPr>
                <w:b/>
                <w:sz w:val="18"/>
                <w:szCs w:val="18"/>
              </w:rPr>
              <w:t xml:space="preserve">230,396</w:t>
            </w:r>
          </w:p>
        </w:tc>
        <w:tc>
          <w:tcPr>
            <w:tcW w:w="1700" w:type="dxa"/>
            <w:vAlign w:val="center"/>
          </w:tcPr>
          <w:p>
            <w:pPr>
              <w:spacing w:before="0" w:after="0"/>
              <w:jc w:val="right"/>
            </w:pPr>
            <w:r>
              <w:rPr>
                <w:b/>
                <w:sz w:val="18"/>
                <w:szCs w:val="18"/>
              </w:rPr>
              <w:t xml:space="preserve">224,313</w:t>
            </w:r>
          </w:p>
        </w:tc>
      </w:tr>
      <w:tr>
        <w:tc>
          <w:tcPr>
            <w:tcW w:w="4872" w:type="dxa"/>
            <w:vAlign w:val="center"/>
          </w:tcPr>
          <w:p>
            <w:pPr>
              <w:spacing w:before="0" w:after="0"/>
              <w:jc w:val="left"/>
            </w:pPr>
            <w:r>
              <w:rPr>
                <w:b/>
                <w:sz w:val="18"/>
                <w:szCs w:val="18"/>
              </w:rPr>
              <w:t xml:space="preserve">Stockholders' equity</w:t>
            </w:r>
          </w:p>
        </w:tc>
        <w:tc>
          <w:tcPr>
            <w:tcW w:w="800" w:type="dxa"/>
            <w:vAlign w:val="center"/>
          </w:tcPr>
          <w:p>
            <w:pPr>
              <w:spacing w:before="0" w:after="0"/>
              <w:jc w:val="left"/>
            </w:pPr>
            <w:r>
              <w:rPr>
                <w:b/>
                <w:sz w:val="18"/>
                <w:szCs w:val="18"/>
              </w:rPr>
              <w:t xml:space="preserve"/>
            </w:r>
          </w:p>
        </w:tc>
        <w:tc>
          <w:tcPr>
            <w:tcW w:w="1700" w:type="dxa"/>
            <w:vAlign w:val="center"/>
          </w:tcPr>
          <w:p>
            <w:pPr>
              <w:spacing w:before="0" w:after="0"/>
              <w:jc w:val="right"/>
            </w:pPr>
            <w:r>
              <w:rPr>
                <w:b/>
                <w:sz w:val="18"/>
                <w:szCs w:val="18"/>
              </w:rPr>
              <w:t xml:space="preserve"/>
            </w:r>
          </w:p>
        </w:tc>
        <w:tc>
          <w:tcPr>
            <w:tcW w:w="1700" w:type="dxa"/>
            <w:vAlign w:val="center"/>
          </w:tcPr>
          <w:p>
            <w:pPr>
              <w:spacing w:before="0" w:after="0"/>
              <w:jc w:val="right"/>
            </w:pPr>
            <w:r>
              <w:rPr>
                <w:b/>
                <w:sz w:val="18"/>
                <w:szCs w:val="18"/>
              </w:rPr>
              <w:t xml:space="preserve"/>
            </w:r>
          </w:p>
        </w:tc>
      </w:tr>
      <w:tr>
        <w:tc>
          <w:tcPr>
            <w:tcW w:w="4872" w:type="dxa"/>
            <w:vAlign w:val="center"/>
          </w:tcPr>
          <w:p>
            <w:pPr>
              <w:spacing w:before="0" w:after="0"/>
              <w:jc w:val="left"/>
            </w:pPr>
            <w:r>
              <w:rPr>
                <w:sz w:val="18"/>
                <w:szCs w:val="18"/>
              </w:rPr>
              <w:t xml:space="preserve">Common stock</w:t>
            </w:r>
          </w:p>
        </w:tc>
        <w:tc>
          <w:tcPr>
            <w:tcW w:w="800" w:type="dxa"/>
            <w:vAlign w:val="center"/>
          </w:tcPr>
          <w:p>
            <w:pPr>
              <w:spacing w:before="0" w:after="0"/>
              <w:jc w:val="left"/>
            </w:pPr>
            <w:r>
              <w:rPr>
                <w:sz w:val="18"/>
                <w:szCs w:val="18"/>
              </w:rPr>
              <w:t xml:space="preserve"/>
            </w:r>
          </w:p>
        </w:tc>
        <w:tc>
          <w:tcPr>
            <w:tcW w:w="1700" w:type="dxa"/>
            <w:vAlign w:val="center"/>
          </w:tcPr>
          <w:p>
            <w:pPr>
              <w:spacing w:before="0" w:after="0"/>
              <w:jc w:val="right"/>
            </w:pPr>
            <w:r>
              <w:rPr>
                <w:sz w:val="18"/>
                <w:szCs w:val="18"/>
              </w:rPr>
              <w:t xml:space="preserve">365</w:t>
            </w:r>
          </w:p>
        </w:tc>
        <w:tc>
          <w:tcPr>
            <w:tcW w:w="1700" w:type="dxa"/>
            <w:vAlign w:val="center"/>
          </w:tcPr>
          <w:p>
            <w:pPr>
              <w:spacing w:before="0" w:after="0"/>
              <w:jc w:val="right"/>
            </w:pPr>
            <w:r>
              <w:rPr>
                <w:sz w:val="18"/>
                <w:szCs w:val="18"/>
              </w:rPr>
              <w:t xml:space="preserve">384</w:t>
            </w:r>
          </w:p>
        </w:tc>
      </w:tr>
      <w:tr>
        <w:tc>
          <w:tcPr>
            <w:tcW w:w="4872" w:type="dxa"/>
            <w:vAlign w:val="center"/>
          </w:tcPr>
          <w:p>
            <w:pPr>
              <w:spacing w:before="0" w:after="0"/>
              <w:jc w:val="left"/>
            </w:pPr>
            <w:r>
              <w:rPr>
                <w:sz w:val="18"/>
                <w:szCs w:val="18"/>
              </w:rPr>
              <w:t xml:space="preserve">Additional paid-in capital</w:t>
            </w:r>
          </w:p>
        </w:tc>
        <w:tc>
          <w:tcPr>
            <w:tcW w:w="800" w:type="dxa"/>
            <w:vAlign w:val="center"/>
          </w:tcPr>
          <w:p>
            <w:pPr>
              <w:spacing w:before="0" w:after="0"/>
              <w:jc w:val="left"/>
            </w:pPr>
            <w:r>
              <w:rPr>
                <w:sz w:val="18"/>
                <w:szCs w:val="18"/>
              </w:rPr>
              <w:t xml:space="preserve"/>
            </w:r>
          </w:p>
        </w:tc>
        <w:tc>
          <w:tcPr>
            <w:tcW w:w="1700" w:type="dxa"/>
            <w:vAlign w:val="center"/>
          </w:tcPr>
          <w:p>
            <w:pPr>
              <w:spacing w:before="0" w:after="0"/>
              <w:jc w:val="right"/>
            </w:pPr>
            <w:r>
              <w:rPr>
                <w:sz w:val="18"/>
                <w:szCs w:val="18"/>
              </w:rPr>
              <w:t xml:space="preserve">46,040</w:t>
            </w:r>
          </w:p>
        </w:tc>
        <w:tc>
          <w:tcPr>
            <w:tcW w:w="1700" w:type="dxa"/>
            <w:vAlign w:val="center"/>
          </w:tcPr>
          <w:p>
            <w:pPr>
              <w:spacing w:before="0" w:after="0"/>
              <w:jc w:val="right"/>
            </w:pPr>
            <w:r>
              <w:rPr>
                <w:sz w:val="18"/>
                <w:szCs w:val="18"/>
              </w:rPr>
              <w:t xml:space="preserve">48,349</w:t>
            </w:r>
          </w:p>
        </w:tc>
      </w:tr>
      <w:tr>
        <w:tc>
          <w:tcPr>
            <w:tcW w:w="4872" w:type="dxa"/>
            <w:vAlign w:val="center"/>
          </w:tcPr>
          <w:p>
            <w:pPr>
              <w:spacing w:before="0" w:after="0"/>
              <w:jc w:val="left"/>
            </w:pPr>
            <w:r>
              <w:rPr>
                <w:sz w:val="18"/>
                <w:szCs w:val="18"/>
              </w:rPr>
              <w:t xml:space="preserve">Retained earnings</w:t>
            </w:r>
          </w:p>
        </w:tc>
        <w:tc>
          <w:tcPr>
            <w:tcW w:w="800" w:type="dxa"/>
            <w:vAlign w:val="center"/>
          </w:tcPr>
          <w:p>
            <w:pPr>
              <w:spacing w:before="0" w:after="0"/>
              <w:jc w:val="left"/>
            </w:pPr>
            <w:r>
              <w:rPr>
                <w:sz w:val="18"/>
                <w:szCs w:val="18"/>
              </w:rPr>
              <w:t xml:space="preserve"/>
            </w:r>
          </w:p>
        </w:tc>
        <w:tc>
          <w:tcPr>
            <w:tcW w:w="1700" w:type="dxa"/>
            <w:vAlign w:val="center"/>
          </w:tcPr>
          <w:p>
            <w:pPr>
              <w:spacing w:before="0" w:after="0"/>
              <w:jc w:val="right"/>
            </w:pPr>
            <w:r>
              <w:rPr>
                <w:sz w:val="18"/>
                <w:szCs w:val="18"/>
              </w:rPr>
              <w:t xml:space="preserve">111,940</w:t>
            </w:r>
          </w:p>
        </w:tc>
        <w:tc>
          <w:tcPr>
            <w:tcW w:w="1700" w:type="dxa"/>
            <w:vAlign w:val="center"/>
          </w:tcPr>
          <w:p>
            <w:pPr>
              <w:spacing w:before="0" w:after="0"/>
              <w:jc w:val="right"/>
            </w:pPr>
            <w:r>
              <w:rPr>
                <w:sz w:val="18"/>
                <w:szCs w:val="18"/>
              </w:rPr>
              <w:t xml:space="preserve">131,106</w:t>
            </w:r>
          </w:p>
        </w:tc>
      </w:tr>
      <w:tr>
        <w:tc>
          <w:tcPr>
            <w:tcW w:w="4872" w:type="dxa"/>
            <w:vAlign w:val="center"/>
          </w:tcPr>
          <w:p>
            <w:pPr>
              <w:spacing w:before="0" w:after="0"/>
              <w:jc w:val="left"/>
            </w:pPr>
            <w:r>
              <w:rPr>
                <w:sz w:val="18"/>
                <w:szCs w:val="18"/>
              </w:rPr>
              <w:t xml:space="preserve">Treasury stock, at cost</w:t>
            </w:r>
          </w:p>
        </w:tc>
        <w:tc>
          <w:tcPr>
            <w:tcW w:w="800" w:type="dxa"/>
            <w:vAlign w:val="center"/>
          </w:tcPr>
          <w:p>
            <w:pPr>
              <w:spacing w:before="0" w:after="0"/>
              <w:jc w:val="left"/>
            </w:pPr>
            <w:r>
              <w:rPr>
                <w:sz w:val="18"/>
                <w:szCs w:val="18"/>
              </w:rPr>
              <w:t xml:space="preserve"/>
            </w:r>
          </w:p>
        </w:tc>
        <w:tc>
          <w:tcPr>
            <w:tcW w:w="1700" w:type="dxa"/>
            <w:vAlign w:val="center"/>
          </w:tcPr>
          <w:p>
            <w:pPr>
              <w:spacing w:before="0" w:after="0"/>
              <w:jc w:val="right"/>
            </w:pPr>
            <w:r>
              <w:rPr>
                <w:sz w:val="18"/>
                <w:szCs w:val="18"/>
              </w:rPr>
              <w:t xml:space="preserve">(3,729)</w:t>
            </w:r>
          </w:p>
        </w:tc>
        <w:tc>
          <w:tcPr>
            <w:tcW w:w="1700" w:type="dxa"/>
            <w:vAlign w:val="center"/>
          </w:tcPr>
          <w:p>
            <w:pPr>
              <w:spacing w:before="0" w:after="0"/>
              <w:jc w:val="right"/>
            </w:pPr>
            <w:r>
              <w:rPr>
                <w:sz w:val="18"/>
                <w:szCs w:val="18"/>
              </w:rPr>
              <w:t xml:space="preserve">(4,285)</w:t>
            </w:r>
          </w:p>
        </w:tc>
      </w:tr>
      <w:tr>
        <w:tc>
          <w:tcPr>
            <w:tcW w:w="4872" w:type="dxa"/>
            <w:vAlign w:val="center"/>
          </w:tcPr>
          <w:p>
            <w:pPr>
              <w:spacing w:before="0" w:after="0"/>
              <w:jc w:val="left"/>
            </w:pPr>
            <w:r>
              <w:rPr>
                <w:sz w:val="18"/>
                <w:szCs w:val="18"/>
              </w:rPr>
              <w:t xml:space="preserve">Accumulated other comprehensive income (loss)</w:t>
            </w:r>
          </w:p>
        </w:tc>
        <w:tc>
          <w:tcPr>
            <w:tcW w:w="800" w:type="dxa"/>
            <w:vAlign w:val="center"/>
          </w:tcPr>
          <w:p>
            <w:pPr>
              <w:spacing w:before="0" w:after="0"/>
              <w:jc w:val="left"/>
            </w:pPr>
            <w:r>
              <w:rPr>
                <w:sz w:val="18"/>
                <w:szCs w:val="18"/>
              </w:rPr>
              <w:t xml:space="preserve"/>
            </w:r>
          </w:p>
        </w:tc>
        <w:tc>
          <w:tcPr>
            <w:tcW w:w="1700" w:type="dxa"/>
            <w:vAlign w:val="center"/>
          </w:tcPr>
          <w:p>
            <w:pPr>
              <w:spacing w:before="0" w:after="0"/>
              <w:jc w:val="right"/>
            </w:pPr>
            <w:r>
              <w:rPr>
                <w:sz w:val="18"/>
                <w:szCs w:val="18"/>
              </w:rPr>
              <w:t xml:space="preserve">(228)</w:t>
            </w:r>
          </w:p>
        </w:tc>
        <w:tc>
          <w:tcPr>
            <w:tcW w:w="1700" w:type="dxa"/>
            <w:vAlign w:val="center"/>
          </w:tcPr>
          <w:p>
            <w:pPr>
              <w:spacing w:before="0" w:after="0"/>
              <w:jc w:val="right"/>
            </w:pPr>
            <w:r>
              <w:rPr>
                <w:sz w:val="18"/>
                <w:szCs w:val="18"/>
              </w:rPr>
              <w:t xml:space="preserve">1,548</w:t>
            </w:r>
          </w:p>
        </w:tc>
      </w:tr>
      <w:tr>
        <w:tc>
          <w:tcPr>
            <w:tcW w:w="4872" w:type="dxa"/>
            <w:vAlign w:val="center"/>
          </w:tcPr>
          <w:p>
            <w:pPr>
              <w:spacing w:before="0" w:after="0"/>
              <w:jc w:val="left"/>
            </w:pPr>
            <w:r>
              <w:rPr>
                <w:b/>
                <w:sz w:val="18"/>
                <w:szCs w:val="18"/>
              </w:rPr>
              <w:t xml:space="preserve">Total stockholders' equity</w:t>
            </w:r>
          </w:p>
        </w:tc>
        <w:tc>
          <w:tcPr>
            <w:tcW w:w="800" w:type="dxa"/>
            <w:vAlign w:val="center"/>
          </w:tcPr>
          <w:p>
            <w:pPr>
              <w:spacing w:before="0" w:after="0"/>
              <w:jc w:val="left"/>
            </w:pPr>
            <w:r>
              <w:rPr>
                <w:b/>
                <w:sz w:val="18"/>
                <w:szCs w:val="18"/>
              </w:rPr>
              <w:t xml:space="preserve"/>
            </w:r>
          </w:p>
        </w:tc>
        <w:tc>
          <w:tcPr>
            <w:tcW w:w="1700" w:type="dxa"/>
            <w:vAlign w:val="center"/>
          </w:tcPr>
          <w:p>
            <w:pPr>
              <w:spacing w:before="0" w:after="0"/>
              <w:jc w:val="right"/>
            </w:pPr>
            <w:r>
              <w:rPr>
                <w:b/>
                <w:sz w:val="18"/>
                <w:szCs w:val="18"/>
              </w:rPr>
              <w:t xml:space="preserve">154,388</w:t>
            </w:r>
          </w:p>
        </w:tc>
        <w:tc>
          <w:tcPr>
            <w:tcW w:w="1700" w:type="dxa"/>
            <w:vAlign w:val="center"/>
          </w:tcPr>
          <w:p>
            <w:pPr>
              <w:spacing w:before="0" w:after="0"/>
              <w:jc w:val="right"/>
            </w:pPr>
            <w:r>
              <w:rPr>
                <w:b/>
                <w:sz w:val="18"/>
                <w:szCs w:val="18"/>
              </w:rPr>
              <w:t xml:space="preserve">177,102</w:t>
            </w:r>
          </w:p>
        </w:tc>
      </w:tr>
      <w:tr>
        <w:tc>
          <w:tcPr>
            <w:tcW w:w="4872" w:type="dxa"/>
            <w:vAlign w:val="center"/>
          </w:tcPr>
          <w:p>
            <w:pPr>
              <w:spacing w:before="0" w:after="0"/>
              <w:jc w:val="left"/>
            </w:pPr>
            <w:r>
              <w:rPr>
                <w:b/>
                <w:sz w:val="18"/>
                <w:szCs w:val="18"/>
              </w:rPr>
              <w:t xml:space="preserve">Total liabilities and stockholders' equity</w:t>
            </w:r>
          </w:p>
        </w:tc>
        <w:tc>
          <w:tcPr>
            <w:tcW w:w="800" w:type="dxa"/>
            <w:vAlign w:val="center"/>
          </w:tcPr>
          <w:p>
            <w:pPr>
              <w:spacing w:before="0" w:after="0"/>
              <w:jc w:val="left"/>
            </w:pPr>
            <w:r>
              <w:rPr>
                <w:b/>
                <w:sz w:val="18"/>
                <w:szCs w:val="18"/>
              </w:rPr>
              <w:t xml:space="preserve"/>
            </w:r>
          </w:p>
        </w:tc>
        <w:tc>
          <w:tcPr>
            <w:tcW w:w="1700" w:type="dxa"/>
            <w:vAlign w:val="center"/>
          </w:tcPr>
          <w:p>
            <w:pPr>
              <w:spacing w:before="0" w:after="0"/>
              <w:jc w:val="right"/>
            </w:pPr>
            <w:r>
              <w:rPr>
                <w:b/>
                <w:sz w:val="18"/>
                <w:szCs w:val="18"/>
              </w:rPr>
              <w:t xml:space="preserve">384,784</w:t>
            </w:r>
          </w:p>
        </w:tc>
        <w:tc>
          <w:tcPr>
            <w:tcW w:w="1700" w:type="dxa"/>
            <w:vAlign w:val="center"/>
          </w:tcPr>
          <w:p>
            <w:pPr>
              <w:spacing w:before="0" w:after="0"/>
              <w:jc w:val="right"/>
            </w:pPr>
            <w:r>
              <w:rPr>
                <w:b/>
                <w:sz w:val="18"/>
                <w:szCs w:val="18"/>
              </w:rPr>
              <w:t xml:space="preserve">401,415</w:t>
            </w:r>
          </w:p>
        </w:tc>
      </w:tr>
    </w:tbl>
    <w:p>
      <w:pPr/>
    </w:p>
    <w:p>
      <w:r>
        <w:br w:type="page"/>
      </w:r>
    </w:p>
    <w:p>
      <w:pPr>
        <w:pStyle w:val="Heading3"/>
        <w:keepNext/>
      </w:pPr>
      <w:r>
        <w:t xml:space="preserve">Statements of Income</w:t>
      </w:r>
    </w:p>
    <w:p>
      <w:pPr>
        <w:jc w:val="right"/>
      </w:pPr>
      <w:r>
        <w:rPr>
          <w:sz w:val="18"/>
          <w:szCs w:val="18"/>
        </w:rPr>
        <w:t xml:space="preserve">(In thousands of U.S. dollars)</w:t>
      </w:r>
    </w:p>
    <w:tbl>
      <w:tblPr>
        <w:tblW w:w="907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72" w:type="dxa"/>
          <w:right w:w="72" w:type="dxa"/>
        </w:tblCellMar>
      </w:tblPr>
      <w:tblGrid>
        <w:gridCol w:w="4872"/>
        <w:gridCol w:w="800"/>
        <w:gridCol w:w="1700"/>
        <w:gridCol w:w="1700"/>
      </w:tblGrid>
      <w:tr>
        <w:trPr>
          <w:tblHeader/>
        </w:trPr>
        <w:tc>
          <w:tcPr>
            <w:tcW w:w="4872" w:type="dxa"/>
            <w:shd w:val="clear" w:color="auto" w:fill="DDEBF7"/>
            <w:vAlign w:val="center"/>
          </w:tcPr>
          <w:p>
            <w:pPr>
              <w:spacing w:before="0" w:after="0"/>
              <w:jc w:val="center"/>
            </w:pPr>
            <w:r>
              <w:rPr>
                <w:b/>
                <w:sz w:val="18"/>
                <w:szCs w:val="18"/>
              </w:rPr>
              <w:t xml:space="preserve"/>
            </w:r>
          </w:p>
        </w:tc>
        <w:tc>
          <w:tcPr>
            <w:tcW w:w="800" w:type="dxa"/>
            <w:shd w:val="clear" w:color="auto" w:fill="DDEBF7"/>
            <w:vAlign w:val="center"/>
          </w:tcPr>
          <w:p>
            <w:pPr>
              <w:spacing w:before="0" w:after="0"/>
              <w:jc w:val="center"/>
            </w:pPr>
            <w:r>
              <w:rPr>
                <w:b/>
                <w:sz w:val="18"/>
                <w:szCs w:val="18"/>
              </w:rPr>
              <w:t xml:space="preserve">Note</w:t>
            </w:r>
          </w:p>
        </w:tc>
        <w:tc>
          <w:tcPr>
            <w:tcW w:w="1700" w:type="dxa"/>
            <w:shd w:val="clear" w:color="auto" w:fill="DDEBF7"/>
            <w:vAlign w:val="center"/>
          </w:tcPr>
          <w:p>
            <w:pPr>
              <w:spacing w:before="0" w:after="0"/>
              <w:jc w:val="center"/>
            </w:pPr>
            <w:r>
              <w:rPr>
                <w:b/>
                <w:sz w:val="18"/>
                <w:szCs w:val="18"/>
              </w:rPr>
              <w:t xml:space="preserve">FY2024</w:t>
            </w:r>
          </w:p>
        </w:tc>
        <w:tc>
          <w:tcPr>
            <w:tcW w:w="1700" w:type="dxa"/>
            <w:shd w:val="clear" w:color="auto" w:fill="DDEBF7"/>
            <w:vAlign w:val="center"/>
          </w:tcPr>
          <w:p>
            <w:pPr>
              <w:spacing w:before="0" w:after="0"/>
              <w:jc w:val="center"/>
            </w:pPr>
            <w:r>
              <w:rPr>
                <w:b/>
                <w:sz w:val="18"/>
                <w:szCs w:val="18"/>
              </w:rPr>
              <w:t xml:space="preserve">FY2025</w:t>
            </w:r>
          </w:p>
        </w:tc>
      </w:tr>
      <w:tr>
        <w:tc>
          <w:tcPr>
            <w:tcW w:w="4872" w:type="dxa"/>
            <w:vAlign w:val="center"/>
          </w:tcPr>
          <w:p>
            <w:pPr>
              <w:spacing w:before="0" w:after="0"/>
              <w:jc w:val="left"/>
            </w:pPr>
            <w:r>
              <w:rPr>
                <w:b/>
                <w:sz w:val="18"/>
                <w:szCs w:val="18"/>
              </w:rPr>
              <w:t xml:space="preserve">Revenue</w:t>
            </w:r>
          </w:p>
        </w:tc>
        <w:tc>
          <w:tcPr>
            <w:tcW w:w="800" w:type="dxa"/>
            <w:vAlign w:val="center"/>
          </w:tcPr>
          <w:p>
            <w:pPr>
              <w:spacing w:before="0" w:after="0"/>
              <w:jc w:val="left"/>
            </w:pPr>
            <w:r>
              <w:rPr>
                <w:b/>
                <w:sz w:val="18"/>
                <w:szCs w:val="18"/>
              </w:rPr>
              <w:t xml:space="preserve"/>
            </w:r>
          </w:p>
        </w:tc>
        <w:tc>
          <w:tcPr>
            <w:tcW w:w="1700" w:type="dxa"/>
            <w:vAlign w:val="center"/>
          </w:tcPr>
          <w:p>
            <w:pPr>
              <w:spacing w:before="0" w:after="0"/>
              <w:jc w:val="right"/>
            </w:pPr>
            <w:r>
              <w:rPr>
                <w:b/>
                <w:sz w:val="18"/>
                <w:szCs w:val="18"/>
              </w:rPr>
              <w:t xml:space="preserve"/>
            </w:r>
          </w:p>
        </w:tc>
        <w:tc>
          <w:tcPr>
            <w:tcW w:w="1700" w:type="dxa"/>
            <w:vAlign w:val="center"/>
          </w:tcPr>
          <w:p>
            <w:pPr>
              <w:spacing w:before="0" w:after="0"/>
              <w:jc w:val="right"/>
            </w:pPr>
            <w:r>
              <w:rPr>
                <w:b/>
                <w:sz w:val="18"/>
                <w:szCs w:val="18"/>
              </w:rPr>
              <w:t xml:space="preserve"/>
            </w:r>
          </w:p>
        </w:tc>
      </w:tr>
      <w:tr>
        <w:tc>
          <w:tcPr>
            <w:tcW w:w="4872" w:type="dxa"/>
            <w:vAlign w:val="center"/>
          </w:tcPr>
          <w:p>
            <w:pPr>
              <w:spacing w:before="0" w:after="0"/>
              <w:jc w:val="left"/>
            </w:pPr>
            <w:r>
              <w:rPr>
                <w:sz w:val="18"/>
                <w:szCs w:val="18"/>
              </w:rPr>
              <w:t xml:space="preserve">Company-operated stores</w:t>
            </w:r>
          </w:p>
        </w:tc>
        <w:tc>
          <w:tcPr>
            <w:tcW w:w="800" w:type="dxa"/>
            <w:vAlign w:val="center"/>
          </w:tcPr>
          <w:p>
            <w:pPr>
              <w:spacing w:before="0" w:after="0"/>
              <w:jc w:val="left"/>
            </w:pPr>
            <w:r>
              <w:rPr>
                <w:sz w:val="18"/>
                <w:szCs w:val="18"/>
              </w:rPr>
              <w:t xml:space="preserve"/>
            </w:r>
          </w:p>
        </w:tc>
        <w:tc>
          <w:tcPr>
            <w:tcW w:w="1700" w:type="dxa"/>
            <w:vAlign w:val="center"/>
          </w:tcPr>
          <w:p>
            <w:pPr>
              <w:spacing w:before="0" w:after="0"/>
              <w:jc w:val="right"/>
            </w:pPr>
            <w:r>
              <w:rPr>
                <w:sz w:val="18"/>
                <w:szCs w:val="18"/>
              </w:rPr>
              <w:t xml:space="preserve">223,097</w:t>
            </w:r>
          </w:p>
        </w:tc>
        <w:tc>
          <w:tcPr>
            <w:tcW w:w="1700" w:type="dxa"/>
            <w:vAlign w:val="center"/>
          </w:tcPr>
          <w:p>
            <w:pPr>
              <w:spacing w:before="0" w:after="0"/>
              <w:jc w:val="right"/>
            </w:pPr>
            <w:r>
              <w:rPr>
                <w:sz w:val="18"/>
                <w:szCs w:val="18"/>
              </w:rPr>
              <w:t xml:space="preserve">261,397</w:t>
            </w:r>
          </w:p>
        </w:tc>
      </w:tr>
      <w:tr>
        <w:tc>
          <w:tcPr>
            <w:tcW w:w="4872" w:type="dxa"/>
            <w:vAlign w:val="center"/>
          </w:tcPr>
          <w:p>
            <w:pPr>
              <w:spacing w:before="0" w:after="0"/>
              <w:jc w:val="left"/>
            </w:pPr>
            <w:r>
              <w:rPr>
                <w:sz w:val="18"/>
                <w:szCs w:val="18"/>
              </w:rPr>
              <w:t xml:space="preserve">Online store</w:t>
            </w:r>
          </w:p>
        </w:tc>
        <w:tc>
          <w:tcPr>
            <w:tcW w:w="800" w:type="dxa"/>
            <w:vAlign w:val="center"/>
          </w:tcPr>
          <w:p>
            <w:pPr>
              <w:spacing w:before="0" w:after="0"/>
              <w:jc w:val="left"/>
            </w:pPr>
            <w:r>
              <w:rPr>
                <w:sz w:val="18"/>
                <w:szCs w:val="18"/>
              </w:rPr>
              <w:t xml:space="preserve"/>
            </w:r>
          </w:p>
        </w:tc>
        <w:tc>
          <w:tcPr>
            <w:tcW w:w="1700" w:type="dxa"/>
            <w:vAlign w:val="center"/>
          </w:tcPr>
          <w:p>
            <w:pPr>
              <w:spacing w:before="0" w:after="0"/>
              <w:jc w:val="right"/>
            </w:pPr>
            <w:r>
              <w:rPr>
                <w:sz w:val="18"/>
                <w:szCs w:val="18"/>
              </w:rPr>
              <w:t xml:space="preserve">31,647</w:t>
            </w:r>
          </w:p>
        </w:tc>
        <w:tc>
          <w:tcPr>
            <w:tcW w:w="1700" w:type="dxa"/>
            <w:vAlign w:val="center"/>
          </w:tcPr>
          <w:p>
            <w:pPr>
              <w:spacing w:before="0" w:after="0"/>
              <w:jc w:val="right"/>
            </w:pPr>
            <w:r>
              <w:rPr>
                <w:sz w:val="18"/>
                <w:szCs w:val="18"/>
              </w:rPr>
              <w:t xml:space="preserve">34,930</w:t>
            </w:r>
          </w:p>
        </w:tc>
      </w:tr>
      <w:tr>
        <w:tc>
          <w:tcPr>
            <w:tcW w:w="4872" w:type="dxa"/>
            <w:vAlign w:val="center"/>
          </w:tcPr>
          <w:p>
            <w:pPr>
              <w:spacing w:before="0" w:after="0"/>
              <w:jc w:val="left"/>
            </w:pPr>
            <w:r>
              <w:rPr>
                <w:sz w:val="18"/>
                <w:szCs w:val="18"/>
              </w:rPr>
              <w:t xml:space="preserve">Wholesale</w:t>
            </w:r>
          </w:p>
        </w:tc>
        <w:tc>
          <w:tcPr>
            <w:tcW w:w="800" w:type="dxa"/>
            <w:vAlign w:val="center"/>
          </w:tcPr>
          <w:p>
            <w:pPr>
              <w:spacing w:before="0" w:after="0"/>
              <w:jc w:val="left"/>
            </w:pPr>
            <w:r>
              <w:rPr>
                <w:sz w:val="18"/>
                <w:szCs w:val="18"/>
              </w:rPr>
              <w:t xml:space="preserve">1</w:t>
            </w:r>
          </w:p>
        </w:tc>
        <w:tc>
          <w:tcPr>
            <w:tcW w:w="1700" w:type="dxa"/>
            <w:vAlign w:val="center"/>
          </w:tcPr>
          <w:p>
            <w:pPr>
              <w:spacing w:before="0" w:after="0"/>
              <w:jc w:val="right"/>
            </w:pPr>
            <w:r>
              <w:rPr>
                <w:sz w:val="18"/>
                <w:szCs w:val="18"/>
              </w:rPr>
              <w:t xml:space="preserve">15,594</w:t>
            </w:r>
          </w:p>
        </w:tc>
        <w:tc>
          <w:tcPr>
            <w:tcW w:w="1700" w:type="dxa"/>
            <w:vAlign w:val="center"/>
          </w:tcPr>
          <w:p>
            <w:pPr>
              <w:spacing w:before="0" w:after="0"/>
              <w:jc w:val="right"/>
            </w:pPr>
            <w:r>
              <w:rPr>
                <w:sz w:val="18"/>
                <w:szCs w:val="18"/>
              </w:rPr>
              <w:t xml:space="preserve">15,673</w:t>
            </w:r>
          </w:p>
        </w:tc>
      </w:tr>
      <w:tr>
        <w:tc>
          <w:tcPr>
            <w:tcW w:w="4872" w:type="dxa"/>
            <w:vAlign w:val="center"/>
          </w:tcPr>
          <w:p>
            <w:pPr>
              <w:spacing w:before="0" w:after="0"/>
              <w:jc w:val="left"/>
            </w:pPr>
            <w:r>
              <w:rPr>
                <w:b/>
                <w:sz w:val="18"/>
                <w:szCs w:val="18"/>
              </w:rPr>
              <w:t xml:space="preserve">Total revenue</w:t>
            </w:r>
          </w:p>
        </w:tc>
        <w:tc>
          <w:tcPr>
            <w:tcW w:w="800" w:type="dxa"/>
            <w:vAlign w:val="center"/>
          </w:tcPr>
          <w:p>
            <w:pPr>
              <w:spacing w:before="0" w:after="0"/>
              <w:jc w:val="left"/>
            </w:pPr>
            <w:r>
              <w:rPr>
                <w:b/>
                <w:sz w:val="18"/>
                <w:szCs w:val="18"/>
              </w:rPr>
              <w:t xml:space="preserve">1</w:t>
            </w:r>
          </w:p>
        </w:tc>
        <w:tc>
          <w:tcPr>
            <w:tcW w:w="1700" w:type="dxa"/>
            <w:vAlign w:val="center"/>
          </w:tcPr>
          <w:p>
            <w:pPr>
              <w:spacing w:before="0" w:after="0"/>
              <w:jc w:val="right"/>
            </w:pPr>
            <w:r>
              <w:rPr>
                <w:b/>
                <w:sz w:val="18"/>
                <w:szCs w:val="18"/>
              </w:rPr>
              <w:t xml:space="preserve">270,338</w:t>
            </w:r>
          </w:p>
        </w:tc>
        <w:tc>
          <w:tcPr>
            <w:tcW w:w="1700" w:type="dxa"/>
            <w:vAlign w:val="center"/>
          </w:tcPr>
          <w:p>
            <w:pPr>
              <w:spacing w:before="0" w:after="0"/>
              <w:jc w:val="right"/>
            </w:pPr>
            <w:r>
              <w:rPr>
                <w:b/>
                <w:sz w:val="18"/>
                <w:szCs w:val="18"/>
              </w:rPr>
              <w:t xml:space="preserve">312,000</w:t>
            </w:r>
          </w:p>
        </w:tc>
      </w:tr>
      <w:tr>
        <w:tc>
          <w:tcPr>
            <w:tcW w:w="4872" w:type="dxa"/>
            <w:vAlign w:val="center"/>
          </w:tcPr>
          <w:p>
            <w:pPr>
              <w:spacing w:before="0" w:after="0"/>
              <w:jc w:val="left"/>
            </w:pPr>
            <w:r>
              <w:rPr>
                <w:b/>
                <w:sz w:val="18"/>
                <w:szCs w:val="18"/>
              </w:rPr>
              <w:t xml:space="preserve">Operating expenses</w:t>
            </w:r>
          </w:p>
        </w:tc>
        <w:tc>
          <w:tcPr>
            <w:tcW w:w="800" w:type="dxa"/>
            <w:vAlign w:val="center"/>
          </w:tcPr>
          <w:p>
            <w:pPr>
              <w:spacing w:before="0" w:after="0"/>
              <w:jc w:val="left"/>
            </w:pPr>
            <w:r>
              <w:rPr>
                <w:b/>
                <w:sz w:val="18"/>
                <w:szCs w:val="18"/>
              </w:rPr>
              <w:t xml:space="preserve"/>
            </w:r>
          </w:p>
        </w:tc>
        <w:tc>
          <w:tcPr>
            <w:tcW w:w="1700" w:type="dxa"/>
            <w:vAlign w:val="center"/>
          </w:tcPr>
          <w:p>
            <w:pPr>
              <w:spacing w:before="0" w:after="0"/>
              <w:jc w:val="right"/>
            </w:pPr>
            <w:r>
              <w:rPr>
                <w:b/>
                <w:sz w:val="18"/>
                <w:szCs w:val="18"/>
              </w:rPr>
              <w:t xml:space="preserve"/>
            </w:r>
          </w:p>
        </w:tc>
        <w:tc>
          <w:tcPr>
            <w:tcW w:w="1700" w:type="dxa"/>
            <w:vAlign w:val="center"/>
          </w:tcPr>
          <w:p>
            <w:pPr>
              <w:spacing w:before="0" w:after="0"/>
              <w:jc w:val="right"/>
            </w:pPr>
            <w:r>
              <w:rPr>
                <w:b/>
                <w:sz w:val="18"/>
                <w:szCs w:val="18"/>
              </w:rPr>
              <w:t xml:space="preserve"/>
            </w:r>
          </w:p>
        </w:tc>
      </w:tr>
      <w:tr>
        <w:tc>
          <w:tcPr>
            <w:tcW w:w="4872" w:type="dxa"/>
            <w:vAlign w:val="center"/>
          </w:tcPr>
          <w:p>
            <w:pPr>
              <w:spacing w:before="0" w:after="0"/>
              <w:jc w:val="left"/>
            </w:pPr>
            <w:r>
              <w:rPr>
                <w:sz w:val="18"/>
                <w:szCs w:val="18"/>
              </w:rPr>
              <w:t xml:space="preserve">Product and distribution costs</w:t>
            </w:r>
          </w:p>
        </w:tc>
        <w:tc>
          <w:tcPr>
            <w:tcW w:w="800" w:type="dxa"/>
            <w:vAlign w:val="center"/>
          </w:tcPr>
          <w:p>
            <w:pPr>
              <w:spacing w:before="0" w:after="0"/>
              <w:jc w:val="left"/>
            </w:pPr>
            <w:r>
              <w:rPr>
                <w:sz w:val="18"/>
                <w:szCs w:val="18"/>
              </w:rPr>
              <w:t xml:space="preserve">16</w:t>
            </w:r>
          </w:p>
        </w:tc>
        <w:tc>
          <w:tcPr>
            <w:tcW w:w="1700" w:type="dxa"/>
            <w:vAlign w:val="center"/>
          </w:tcPr>
          <w:p>
            <w:pPr>
              <w:spacing w:before="0" w:after="0"/>
              <w:jc w:val="right"/>
            </w:pPr>
            <w:r>
              <w:rPr>
                <w:sz w:val="18"/>
                <w:szCs w:val="18"/>
              </w:rPr>
              <w:t xml:space="preserve">78,643</w:t>
            </w:r>
          </w:p>
        </w:tc>
        <w:tc>
          <w:tcPr>
            <w:tcW w:w="1700" w:type="dxa"/>
            <w:vAlign w:val="center"/>
          </w:tcPr>
          <w:p>
            <w:pPr>
              <w:spacing w:before="0" w:after="0"/>
              <w:jc w:val="right"/>
            </w:pPr>
            <w:r>
              <w:rPr>
                <w:sz w:val="18"/>
                <w:szCs w:val="18"/>
              </w:rPr>
              <w:t xml:space="preserve">91,883</w:t>
            </w:r>
          </w:p>
        </w:tc>
      </w:tr>
      <w:tr>
        <w:tc>
          <w:tcPr>
            <w:tcW w:w="4872" w:type="dxa"/>
            <w:vAlign w:val="center"/>
          </w:tcPr>
          <w:p>
            <w:pPr>
              <w:spacing w:before="0" w:after="0"/>
              <w:jc w:val="left"/>
            </w:pPr>
            <w:r>
              <w:rPr>
                <w:sz w:val="18"/>
                <w:szCs w:val="18"/>
              </w:rPr>
              <w:t xml:space="preserve">Store operating expenses</w:t>
            </w:r>
          </w:p>
        </w:tc>
        <w:tc>
          <w:tcPr>
            <w:tcW w:w="800" w:type="dxa"/>
            <w:vAlign w:val="center"/>
          </w:tcPr>
          <w:p>
            <w:pPr>
              <w:spacing w:before="0" w:after="0"/>
              <w:jc w:val="left"/>
            </w:pPr>
            <w:r>
              <w:rPr>
                <w:sz w:val="18"/>
                <w:szCs w:val="18"/>
              </w:rPr>
              <w:t xml:space="preserve"/>
            </w:r>
          </w:p>
        </w:tc>
        <w:tc>
          <w:tcPr>
            <w:tcW w:w="1700" w:type="dxa"/>
            <w:vAlign w:val="center"/>
          </w:tcPr>
          <w:p>
            <w:pPr>
              <w:spacing w:before="0" w:after="0"/>
              <w:jc w:val="right"/>
            </w:pPr>
            <w:r>
              <w:rPr>
                <w:sz w:val="18"/>
                <w:szCs w:val="18"/>
              </w:rPr>
              <w:t xml:space="preserve">93,023</w:t>
            </w:r>
          </w:p>
        </w:tc>
        <w:tc>
          <w:tcPr>
            <w:tcW w:w="1700" w:type="dxa"/>
            <w:vAlign w:val="center"/>
          </w:tcPr>
          <w:p>
            <w:pPr>
              <w:spacing w:before="0" w:after="0"/>
              <w:jc w:val="right"/>
            </w:pPr>
            <w:r>
              <w:rPr>
                <w:sz w:val="18"/>
                <w:szCs w:val="18"/>
              </w:rPr>
              <w:t xml:space="preserve">104,004</w:t>
            </w:r>
          </w:p>
        </w:tc>
      </w:tr>
      <w:tr>
        <w:tc>
          <w:tcPr>
            <w:tcW w:w="4872" w:type="dxa"/>
            <w:vAlign w:val="center"/>
          </w:tcPr>
          <w:p>
            <w:pPr>
              <w:spacing w:before="0" w:after="0"/>
              <w:jc w:val="left"/>
            </w:pPr>
            <w:r>
              <w:rPr>
                <w:sz w:val="18"/>
                <w:szCs w:val="18"/>
              </w:rPr>
              <w:t xml:space="preserve">Occupancy costs</w:t>
            </w:r>
          </w:p>
        </w:tc>
        <w:tc>
          <w:tcPr>
            <w:tcW w:w="800" w:type="dxa"/>
            <w:vAlign w:val="center"/>
          </w:tcPr>
          <w:p>
            <w:pPr>
              <w:spacing w:before="0" w:after="0"/>
              <w:jc w:val="left"/>
            </w:pPr>
            <w:r>
              <w:rPr>
                <w:sz w:val="18"/>
                <w:szCs w:val="18"/>
              </w:rPr>
              <w:t xml:space="preserve"/>
            </w:r>
          </w:p>
        </w:tc>
        <w:tc>
          <w:tcPr>
            <w:tcW w:w="1700" w:type="dxa"/>
            <w:vAlign w:val="center"/>
          </w:tcPr>
          <w:p>
            <w:pPr>
              <w:spacing w:before="0" w:after="0"/>
              <w:jc w:val="right"/>
            </w:pPr>
            <w:r>
              <w:rPr>
                <w:sz w:val="18"/>
                <w:szCs w:val="18"/>
              </w:rPr>
              <w:t xml:space="preserve">32,188</w:t>
            </w:r>
          </w:p>
        </w:tc>
        <w:tc>
          <w:tcPr>
            <w:tcW w:w="1700" w:type="dxa"/>
            <w:vAlign w:val="center"/>
          </w:tcPr>
          <w:p>
            <w:pPr>
              <w:spacing w:before="0" w:after="0"/>
              <w:jc w:val="right"/>
            </w:pPr>
            <w:r>
              <w:rPr>
                <w:sz w:val="18"/>
                <w:szCs w:val="18"/>
              </w:rPr>
              <w:t xml:space="preserve">37,040</w:t>
            </w:r>
          </w:p>
        </w:tc>
      </w:tr>
      <w:tr>
        <w:tc>
          <w:tcPr>
            <w:tcW w:w="4872" w:type="dxa"/>
            <w:vAlign w:val="center"/>
          </w:tcPr>
          <w:p>
            <w:pPr>
              <w:spacing w:before="0" w:after="0"/>
              <w:jc w:val="left"/>
            </w:pPr>
            <w:r>
              <w:rPr>
                <w:sz w:val="18"/>
                <w:szCs w:val="18"/>
              </w:rPr>
              <w:t xml:space="preserve">Depreciation and amortization</w:t>
            </w:r>
          </w:p>
        </w:tc>
        <w:tc>
          <w:tcPr>
            <w:tcW w:w="800" w:type="dxa"/>
            <w:vAlign w:val="center"/>
          </w:tcPr>
          <w:p>
            <w:pPr>
              <w:spacing w:before="0" w:after="0"/>
              <w:jc w:val="left"/>
            </w:pPr>
            <w:r>
              <w:rPr>
                <w:sz w:val="18"/>
                <w:szCs w:val="18"/>
              </w:rPr>
              <w:t xml:space="preserve">6</w:t>
            </w:r>
          </w:p>
        </w:tc>
        <w:tc>
          <w:tcPr>
            <w:tcW w:w="1700" w:type="dxa"/>
            <w:vAlign w:val="center"/>
          </w:tcPr>
          <w:p>
            <w:pPr>
              <w:spacing w:before="0" w:after="0"/>
              <w:jc w:val="right"/>
            </w:pPr>
            <w:r>
              <w:rPr>
                <w:sz w:val="18"/>
                <w:szCs w:val="18"/>
              </w:rPr>
              <w:t xml:space="preserve">13,740</w:t>
            </w:r>
          </w:p>
        </w:tc>
        <w:tc>
          <w:tcPr>
            <w:tcW w:w="1700" w:type="dxa"/>
            <w:vAlign w:val="center"/>
          </w:tcPr>
          <w:p>
            <w:pPr>
              <w:spacing w:before="0" w:after="0"/>
              <w:jc w:val="right"/>
            </w:pPr>
            <w:r>
              <w:rPr>
                <w:sz w:val="18"/>
                <w:szCs w:val="18"/>
              </w:rPr>
              <w:t xml:space="preserve">15,695</w:t>
            </w:r>
          </w:p>
        </w:tc>
      </w:tr>
      <w:tr>
        <w:tc>
          <w:tcPr>
            <w:tcW w:w="4872" w:type="dxa"/>
            <w:vAlign w:val="center"/>
          </w:tcPr>
          <w:p>
            <w:pPr>
              <w:spacing w:before="0" w:after="0"/>
              <w:jc w:val="left"/>
            </w:pPr>
            <w:r>
              <w:rPr>
                <w:sz w:val="18"/>
                <w:szCs w:val="18"/>
              </w:rPr>
              <w:t xml:space="preserve">General and administrative expenses</w:t>
            </w:r>
          </w:p>
        </w:tc>
        <w:tc>
          <w:tcPr>
            <w:tcW w:w="800" w:type="dxa"/>
            <w:vAlign w:val="center"/>
          </w:tcPr>
          <w:p>
            <w:pPr>
              <w:spacing w:before="0" w:after="0"/>
              <w:jc w:val="left"/>
            </w:pPr>
            <w:r>
              <w:rPr>
                <w:sz w:val="18"/>
                <w:szCs w:val="18"/>
              </w:rPr>
              <w:t xml:space="preserve"/>
            </w:r>
          </w:p>
        </w:tc>
        <w:tc>
          <w:tcPr>
            <w:tcW w:w="1700" w:type="dxa"/>
            <w:vAlign w:val="center"/>
          </w:tcPr>
          <w:p>
            <w:pPr>
              <w:spacing w:before="0" w:after="0"/>
              <w:jc w:val="right"/>
            </w:pPr>
            <w:r>
              <w:rPr>
                <w:sz w:val="18"/>
                <w:szCs w:val="18"/>
              </w:rPr>
              <w:t xml:space="preserve">18,306</w:t>
            </w:r>
          </w:p>
        </w:tc>
        <w:tc>
          <w:tcPr>
            <w:tcW w:w="1700" w:type="dxa"/>
            <w:vAlign w:val="center"/>
          </w:tcPr>
          <w:p>
            <w:pPr>
              <w:spacing w:before="0" w:after="0"/>
              <w:jc w:val="right"/>
            </w:pPr>
            <w:r>
              <w:rPr>
                <w:sz w:val="18"/>
                <w:szCs w:val="18"/>
              </w:rPr>
              <w:t xml:space="preserve">19,229</w:t>
            </w:r>
          </w:p>
        </w:tc>
      </w:tr>
      <w:tr>
        <w:tc>
          <w:tcPr>
            <w:tcW w:w="4872" w:type="dxa"/>
            <w:vAlign w:val="center"/>
          </w:tcPr>
          <w:p>
            <w:pPr>
              <w:spacing w:before="0" w:after="0"/>
              <w:jc w:val="left"/>
            </w:pPr>
            <w:r>
              <w:rPr>
                <w:sz w:val="18"/>
                <w:szCs w:val="18"/>
              </w:rPr>
              <w:t xml:space="preserve">Store opening expenses</w:t>
            </w:r>
          </w:p>
        </w:tc>
        <w:tc>
          <w:tcPr>
            <w:tcW w:w="800" w:type="dxa"/>
            <w:vAlign w:val="center"/>
          </w:tcPr>
          <w:p>
            <w:pPr>
              <w:spacing w:before="0" w:after="0"/>
              <w:jc w:val="left"/>
            </w:pPr>
            <w:r>
              <w:rPr>
                <w:sz w:val="18"/>
                <w:szCs w:val="18"/>
              </w:rPr>
              <w:t xml:space="preserve"/>
            </w:r>
          </w:p>
        </w:tc>
        <w:tc>
          <w:tcPr>
            <w:tcW w:w="1700" w:type="dxa"/>
            <w:vAlign w:val="center"/>
          </w:tcPr>
          <w:p>
            <w:pPr>
              <w:spacing w:before="0" w:after="0"/>
              <w:jc w:val="right"/>
            </w:pPr>
            <w:r>
              <w:rPr>
                <w:sz w:val="18"/>
                <w:szCs w:val="18"/>
              </w:rPr>
              <w:t xml:space="preserve">1,449</w:t>
            </w:r>
          </w:p>
        </w:tc>
        <w:tc>
          <w:tcPr>
            <w:tcW w:w="1700" w:type="dxa"/>
            <w:vAlign w:val="center"/>
          </w:tcPr>
          <w:p>
            <w:pPr>
              <w:spacing w:before="0" w:after="0"/>
              <w:jc w:val="right"/>
            </w:pPr>
            <w:r>
              <w:rPr>
                <w:sz w:val="18"/>
                <w:szCs w:val="18"/>
              </w:rPr>
              <w:t xml:space="preserve">2,017</w:t>
            </w:r>
          </w:p>
        </w:tc>
      </w:tr>
      <w:tr>
        <w:tc>
          <w:tcPr>
            <w:tcW w:w="4872" w:type="dxa"/>
            <w:vAlign w:val="center"/>
          </w:tcPr>
          <w:p>
            <w:pPr>
              <w:spacing w:before="0" w:after="0"/>
              <w:jc w:val="left"/>
            </w:pPr>
            <w:r>
              <w:rPr>
                <w:b/>
                <w:sz w:val="18"/>
                <w:szCs w:val="18"/>
              </w:rPr>
              <w:t xml:space="preserve">Total operating expenses</w:t>
            </w:r>
          </w:p>
        </w:tc>
        <w:tc>
          <w:tcPr>
            <w:tcW w:w="800" w:type="dxa"/>
            <w:vAlign w:val="center"/>
          </w:tcPr>
          <w:p>
            <w:pPr>
              <w:spacing w:before="0" w:after="0"/>
              <w:jc w:val="left"/>
            </w:pPr>
            <w:r>
              <w:rPr>
                <w:b/>
                <w:sz w:val="18"/>
                <w:szCs w:val="18"/>
              </w:rPr>
              <w:t xml:space="preserve"/>
            </w:r>
          </w:p>
        </w:tc>
        <w:tc>
          <w:tcPr>
            <w:tcW w:w="1700" w:type="dxa"/>
            <w:vAlign w:val="center"/>
          </w:tcPr>
          <w:p>
            <w:pPr>
              <w:spacing w:before="0" w:after="0"/>
              <w:jc w:val="right"/>
            </w:pPr>
            <w:r>
              <w:rPr>
                <w:b/>
                <w:sz w:val="18"/>
                <w:szCs w:val="18"/>
              </w:rPr>
              <w:t xml:space="preserve">237,350</w:t>
            </w:r>
          </w:p>
        </w:tc>
        <w:tc>
          <w:tcPr>
            <w:tcW w:w="1700" w:type="dxa"/>
            <w:vAlign w:val="center"/>
          </w:tcPr>
          <w:p>
            <w:pPr>
              <w:spacing w:before="0" w:after="0"/>
              <w:jc w:val="right"/>
            </w:pPr>
            <w:r>
              <w:rPr>
                <w:b/>
                <w:sz w:val="18"/>
                <w:szCs w:val="18"/>
              </w:rPr>
              <w:t xml:space="preserve">269,867</w:t>
            </w:r>
          </w:p>
        </w:tc>
      </w:tr>
      <w:tr>
        <w:tc>
          <w:tcPr>
            <w:tcW w:w="4872" w:type="dxa"/>
            <w:vAlign w:val="center"/>
          </w:tcPr>
          <w:p>
            <w:pPr>
              <w:spacing w:before="0" w:after="0"/>
              <w:jc w:val="left"/>
            </w:pPr>
            <w:r>
              <w:rPr>
                <w:b/>
                <w:sz w:val="18"/>
                <w:szCs w:val="18"/>
              </w:rPr>
              <w:t xml:space="preserve">Operating income</w:t>
            </w:r>
          </w:p>
        </w:tc>
        <w:tc>
          <w:tcPr>
            <w:tcW w:w="800" w:type="dxa"/>
            <w:vAlign w:val="center"/>
          </w:tcPr>
          <w:p>
            <w:pPr>
              <w:spacing w:before="0" w:after="0"/>
              <w:jc w:val="left"/>
            </w:pPr>
            <w:r>
              <w:rPr>
                <w:b/>
                <w:sz w:val="18"/>
                <w:szCs w:val="18"/>
              </w:rPr>
              <w:t xml:space="preserve"/>
            </w:r>
          </w:p>
        </w:tc>
        <w:tc>
          <w:tcPr>
            <w:tcW w:w="1700" w:type="dxa"/>
            <w:vAlign w:val="center"/>
          </w:tcPr>
          <w:p>
            <w:pPr>
              <w:spacing w:before="0" w:after="0"/>
              <w:jc w:val="right"/>
            </w:pPr>
            <w:r>
              <w:rPr>
                <w:b/>
                <w:sz w:val="18"/>
                <w:szCs w:val="18"/>
              </w:rPr>
              <w:t xml:space="preserve">32,987</w:t>
            </w:r>
          </w:p>
        </w:tc>
        <w:tc>
          <w:tcPr>
            <w:tcW w:w="1700" w:type="dxa"/>
            <w:vAlign w:val="center"/>
          </w:tcPr>
          <w:p>
            <w:pPr>
              <w:spacing w:before="0" w:after="0"/>
              <w:jc w:val="right"/>
            </w:pPr>
            <w:r>
              <w:rPr>
                <w:b/>
                <w:sz w:val="18"/>
                <w:szCs w:val="18"/>
              </w:rPr>
              <w:t xml:space="preserve">42,133</w:t>
            </w:r>
          </w:p>
        </w:tc>
      </w:tr>
      <w:tr>
        <w:tc>
          <w:tcPr>
            <w:tcW w:w="4872" w:type="dxa"/>
            <w:vAlign w:val="center"/>
          </w:tcPr>
          <w:p>
            <w:pPr>
              <w:spacing w:before="0" w:after="0"/>
              <w:jc w:val="left"/>
            </w:pPr>
            <w:r>
              <w:rPr>
                <w:sz w:val="18"/>
                <w:szCs w:val="18"/>
              </w:rPr>
              <w:t xml:space="preserve">Interest income</w:t>
            </w:r>
          </w:p>
        </w:tc>
        <w:tc>
          <w:tcPr>
            <w:tcW w:w="800" w:type="dxa"/>
            <w:vAlign w:val="center"/>
          </w:tcPr>
          <w:p>
            <w:pPr>
              <w:spacing w:before="0" w:after="0"/>
              <w:jc w:val="left"/>
            </w:pPr>
            <w:r>
              <w:rPr>
                <w:sz w:val="18"/>
                <w:szCs w:val="18"/>
              </w:rPr>
              <w:t xml:space="preserve"/>
            </w:r>
          </w:p>
        </w:tc>
        <w:tc>
          <w:tcPr>
            <w:tcW w:w="1700" w:type="dxa"/>
            <w:vAlign w:val="center"/>
          </w:tcPr>
          <w:p>
            <w:pPr>
              <w:spacing w:before="0" w:after="0"/>
              <w:jc w:val="right"/>
            </w:pPr>
            <w:r>
              <w:rPr>
                <w:sz w:val="18"/>
                <w:szCs w:val="18"/>
              </w:rPr>
              <w:t xml:space="preserve">270</w:t>
            </w:r>
          </w:p>
        </w:tc>
        <w:tc>
          <w:tcPr>
            <w:tcW w:w="1700" w:type="dxa"/>
            <w:vAlign w:val="center"/>
          </w:tcPr>
          <w:p>
            <w:pPr>
              <w:spacing w:before="0" w:after="0"/>
              <w:jc w:val="right"/>
            </w:pPr>
            <w:r>
              <w:rPr>
                <w:sz w:val="18"/>
                <w:szCs w:val="18"/>
              </w:rPr>
              <w:t xml:space="preserve">312</w:t>
            </w:r>
          </w:p>
        </w:tc>
      </w:tr>
      <w:tr>
        <w:tc>
          <w:tcPr>
            <w:tcW w:w="4872" w:type="dxa"/>
            <w:vAlign w:val="center"/>
          </w:tcPr>
          <w:p>
            <w:pPr>
              <w:spacing w:before="0" w:after="0"/>
              <w:jc w:val="left"/>
            </w:pPr>
            <w:r>
              <w:rPr>
                <w:sz w:val="18"/>
                <w:szCs w:val="18"/>
              </w:rPr>
              <w:t xml:space="preserve">Interest expense</w:t>
            </w:r>
          </w:p>
        </w:tc>
        <w:tc>
          <w:tcPr>
            <w:tcW w:w="800" w:type="dxa"/>
            <w:vAlign w:val="center"/>
          </w:tcPr>
          <w:p>
            <w:pPr>
              <w:spacing w:before="0" w:after="0"/>
              <w:jc w:val="left"/>
            </w:pPr>
            <w:r>
              <w:rPr>
                <w:sz w:val="18"/>
                <w:szCs w:val="18"/>
              </w:rPr>
              <w:t xml:space="preserve">13</w:t>
            </w:r>
          </w:p>
        </w:tc>
        <w:tc>
          <w:tcPr>
            <w:tcW w:w="1700" w:type="dxa"/>
            <w:vAlign w:val="center"/>
          </w:tcPr>
          <w:p>
            <w:pPr>
              <w:spacing w:before="0" w:after="0"/>
              <w:jc w:val="right"/>
            </w:pPr>
            <w:r>
              <w:rPr>
                <w:sz w:val="18"/>
                <w:szCs w:val="18"/>
              </w:rPr>
              <w:t xml:space="preserve">(857)</w:t>
            </w:r>
          </w:p>
        </w:tc>
        <w:tc>
          <w:tcPr>
            <w:tcW w:w="1700" w:type="dxa"/>
            <w:vAlign w:val="center"/>
          </w:tcPr>
          <w:p>
            <w:pPr>
              <w:spacing w:before="0" w:after="0"/>
              <w:jc w:val="right"/>
            </w:pPr>
            <w:r>
              <w:rPr>
                <w:sz w:val="18"/>
                <w:szCs w:val="18"/>
              </w:rPr>
              <w:t xml:space="preserve">(1,335)</w:t>
            </w:r>
          </w:p>
        </w:tc>
      </w:tr>
      <w:tr>
        <w:tc>
          <w:tcPr>
            <w:tcW w:w="4872" w:type="dxa"/>
            <w:vAlign w:val="center"/>
          </w:tcPr>
          <w:p>
            <w:pPr>
              <w:spacing w:before="0" w:after="0"/>
              <w:jc w:val="left"/>
            </w:pPr>
            <w:r>
              <w:rPr>
                <w:sz w:val="18"/>
                <w:szCs w:val="18"/>
              </w:rPr>
              <w:t xml:space="preserve">Other income (expense), net</w:t>
            </w:r>
          </w:p>
        </w:tc>
        <w:tc>
          <w:tcPr>
            <w:tcW w:w="800" w:type="dxa"/>
            <w:vAlign w:val="center"/>
          </w:tcPr>
          <w:p>
            <w:pPr>
              <w:spacing w:before="0" w:after="0"/>
              <w:jc w:val="left"/>
            </w:pPr>
            <w:r>
              <w:rPr>
                <w:sz w:val="18"/>
                <w:szCs w:val="18"/>
              </w:rPr>
              <w:t xml:space="preserve">6</w:t>
            </w:r>
          </w:p>
        </w:tc>
        <w:tc>
          <w:tcPr>
            <w:tcW w:w="1700" w:type="dxa"/>
            <w:vAlign w:val="center"/>
          </w:tcPr>
          <w:p>
            <w:pPr>
              <w:spacing w:before="0" w:after="0"/>
              <w:jc w:val="right"/>
            </w:pPr>
            <w:r>
              <w:rPr>
                <w:sz w:val="18"/>
                <w:szCs w:val="18"/>
              </w:rPr>
              <w:t xml:space="preserve">228</w:t>
            </w:r>
          </w:p>
        </w:tc>
        <w:tc>
          <w:tcPr>
            <w:tcW w:w="1700" w:type="dxa"/>
            <w:vAlign w:val="center"/>
          </w:tcPr>
          <w:p>
            <w:pPr>
              <w:spacing w:before="0" w:after="0"/>
              <w:jc w:val="right"/>
            </w:pPr>
            <w:r>
              <w:rPr>
                <w:sz w:val="18"/>
                <w:szCs w:val="18"/>
              </w:rPr>
              <w:t xml:space="preserve">58</w:t>
            </w:r>
          </w:p>
        </w:tc>
      </w:tr>
      <w:tr>
        <w:tc>
          <w:tcPr>
            <w:tcW w:w="4872" w:type="dxa"/>
            <w:vAlign w:val="center"/>
          </w:tcPr>
          <w:p>
            <w:pPr>
              <w:spacing w:before="0" w:after="0"/>
              <w:jc w:val="left"/>
            </w:pPr>
            <w:r>
              <w:rPr>
                <w:b/>
                <w:sz w:val="18"/>
                <w:szCs w:val="18"/>
              </w:rPr>
              <w:t xml:space="preserve">Income before income taxes</w:t>
            </w:r>
          </w:p>
        </w:tc>
        <w:tc>
          <w:tcPr>
            <w:tcW w:w="800" w:type="dxa"/>
            <w:vAlign w:val="center"/>
          </w:tcPr>
          <w:p>
            <w:pPr>
              <w:spacing w:before="0" w:after="0"/>
              <w:jc w:val="left"/>
            </w:pPr>
            <w:r>
              <w:rPr>
                <w:b/>
                <w:sz w:val="18"/>
                <w:szCs w:val="18"/>
              </w:rPr>
              <w:t xml:space="preserve"/>
            </w:r>
          </w:p>
        </w:tc>
        <w:tc>
          <w:tcPr>
            <w:tcW w:w="1700" w:type="dxa"/>
            <w:vAlign w:val="center"/>
          </w:tcPr>
          <w:p>
            <w:pPr>
              <w:spacing w:before="0" w:after="0"/>
              <w:jc w:val="right"/>
            </w:pPr>
            <w:r>
              <w:rPr>
                <w:b/>
                <w:sz w:val="18"/>
                <w:szCs w:val="18"/>
              </w:rPr>
              <w:t xml:space="preserve">32,628</w:t>
            </w:r>
          </w:p>
        </w:tc>
        <w:tc>
          <w:tcPr>
            <w:tcW w:w="1700" w:type="dxa"/>
            <w:vAlign w:val="center"/>
          </w:tcPr>
          <w:p>
            <w:pPr>
              <w:spacing w:before="0" w:after="0"/>
              <w:jc w:val="right"/>
            </w:pPr>
            <w:r>
              <w:rPr>
                <w:b/>
                <w:sz w:val="18"/>
                <w:szCs w:val="18"/>
              </w:rPr>
              <w:t xml:space="preserve">41,168</w:t>
            </w:r>
          </w:p>
        </w:tc>
      </w:tr>
      <w:tr>
        <w:tc>
          <w:tcPr>
            <w:tcW w:w="4872" w:type="dxa"/>
            <w:vAlign w:val="center"/>
          </w:tcPr>
          <w:p>
            <w:pPr>
              <w:spacing w:before="0" w:after="0"/>
              <w:jc w:val="left"/>
            </w:pPr>
            <w:r>
              <w:rPr>
                <w:sz w:val="18"/>
                <w:szCs w:val="18"/>
              </w:rPr>
              <w:t xml:space="preserve">Income tax expense</w:t>
            </w:r>
          </w:p>
        </w:tc>
        <w:tc>
          <w:tcPr>
            <w:tcW w:w="800" w:type="dxa"/>
            <w:vAlign w:val="center"/>
          </w:tcPr>
          <w:p>
            <w:pPr>
              <w:spacing w:before="0" w:after="0"/>
              <w:jc w:val="left"/>
            </w:pPr>
            <w:r>
              <w:rPr>
                <w:sz w:val="18"/>
                <w:szCs w:val="18"/>
              </w:rPr>
              <w:t xml:space="preserve"/>
            </w:r>
          </w:p>
        </w:tc>
        <w:tc>
          <w:tcPr>
            <w:tcW w:w="1700" w:type="dxa"/>
            <w:vAlign w:val="center"/>
          </w:tcPr>
          <w:p>
            <w:pPr>
              <w:spacing w:before="0" w:after="0"/>
              <w:jc w:val="right"/>
            </w:pPr>
            <w:r>
              <w:rPr>
                <w:sz w:val="18"/>
                <w:szCs w:val="18"/>
              </w:rPr>
              <w:t xml:space="preserve">(8,284)</w:t>
            </w:r>
          </w:p>
        </w:tc>
        <w:tc>
          <w:tcPr>
            <w:tcW w:w="1700" w:type="dxa"/>
            <w:vAlign w:val="center"/>
          </w:tcPr>
          <w:p>
            <w:pPr>
              <w:spacing w:before="0" w:after="0"/>
              <w:jc w:val="right"/>
            </w:pPr>
            <w:r>
              <w:rPr>
                <w:sz w:val="18"/>
                <w:szCs w:val="18"/>
              </w:rPr>
              <w:t xml:space="preserve">(9,941)</w:t>
            </w:r>
          </w:p>
        </w:tc>
      </w:tr>
      <w:tr>
        <w:tc>
          <w:tcPr>
            <w:tcW w:w="4872" w:type="dxa"/>
            <w:vAlign w:val="center"/>
          </w:tcPr>
          <w:p>
            <w:pPr>
              <w:spacing w:before="0" w:after="0"/>
              <w:jc w:val="left"/>
            </w:pPr>
            <w:r>
              <w:rPr>
                <w:b/>
                <w:sz w:val="18"/>
                <w:szCs w:val="18"/>
              </w:rPr>
              <w:t xml:space="preserve">Net income</w:t>
            </w:r>
          </w:p>
        </w:tc>
        <w:tc>
          <w:tcPr>
            <w:tcW w:w="800" w:type="dxa"/>
            <w:vAlign w:val="center"/>
          </w:tcPr>
          <w:p>
            <w:pPr>
              <w:spacing w:before="0" w:after="0"/>
              <w:jc w:val="left"/>
            </w:pPr>
            <w:r>
              <w:rPr>
                <w:b/>
                <w:sz w:val="18"/>
                <w:szCs w:val="18"/>
              </w:rPr>
              <w:t xml:space="preserve"/>
            </w:r>
          </w:p>
        </w:tc>
        <w:tc>
          <w:tcPr>
            <w:tcW w:w="1700" w:type="dxa"/>
            <w:vAlign w:val="center"/>
          </w:tcPr>
          <w:p>
            <w:pPr>
              <w:spacing w:before="0" w:after="0"/>
              <w:jc w:val="right"/>
            </w:pPr>
            <w:r>
              <w:rPr>
                <w:b/>
                <w:sz w:val="18"/>
                <w:szCs w:val="18"/>
              </w:rPr>
              <w:t xml:space="preserve">24,345</w:t>
            </w:r>
          </w:p>
        </w:tc>
        <w:tc>
          <w:tcPr>
            <w:tcW w:w="1700" w:type="dxa"/>
            <w:vAlign w:val="center"/>
          </w:tcPr>
          <w:p>
            <w:pPr>
              <w:spacing w:before="0" w:after="0"/>
              <w:jc w:val="right"/>
            </w:pPr>
            <w:r>
              <w:rPr>
                <w:b/>
                <w:sz w:val="18"/>
                <w:szCs w:val="18"/>
              </w:rPr>
              <w:t xml:space="preserve">31,226</w:t>
            </w:r>
          </w:p>
        </w:tc>
      </w:tr>
      <w:tr>
        <w:tc>
          <w:tcPr>
            <w:tcW w:w="4872" w:type="dxa"/>
            <w:vAlign w:val="center"/>
          </w:tcPr>
          <w:p>
            <w:pPr>
              <w:spacing w:before="0" w:after="0"/>
              <w:jc w:val="left"/>
            </w:pPr>
            <w:r>
              <w:rPr>
                <w:sz w:val="18"/>
                <w:szCs w:val="18"/>
              </w:rPr>
              <w:t xml:space="preserve">Earnings per share, basic (in dollars)</w:t>
            </w:r>
          </w:p>
        </w:tc>
        <w:tc>
          <w:tcPr>
            <w:tcW w:w="800" w:type="dxa"/>
            <w:vAlign w:val="center"/>
          </w:tcPr>
          <w:p>
            <w:pPr>
              <w:spacing w:before="0" w:after="0"/>
              <w:jc w:val="left"/>
            </w:pPr>
            <w:r>
              <w:rPr>
                <w:sz w:val="18"/>
                <w:szCs w:val="18"/>
              </w:rPr>
              <w:t xml:space="preserve"/>
            </w:r>
          </w:p>
        </w:tc>
        <w:tc>
          <w:tcPr>
            <w:tcW w:w="1700" w:type="dxa"/>
            <w:vAlign w:val="center"/>
          </w:tcPr>
          <w:p>
            <w:pPr>
              <w:spacing w:before="0" w:after="0"/>
              <w:jc w:val="right"/>
            </w:pPr>
            <w:r>
              <w:rPr>
                <w:sz w:val="18"/>
                <w:szCs w:val="18"/>
              </w:rPr>
              <w:t xml:space="preserve">0.59</w:t>
            </w:r>
          </w:p>
        </w:tc>
        <w:tc>
          <w:tcPr>
            <w:tcW w:w="1700" w:type="dxa"/>
            <w:vAlign w:val="center"/>
          </w:tcPr>
          <w:p>
            <w:pPr>
              <w:spacing w:before="0" w:after="0"/>
              <w:jc w:val="right"/>
            </w:pPr>
            <w:r>
              <w:rPr>
                <w:sz w:val="18"/>
                <w:szCs w:val="18"/>
              </w:rPr>
              <w:t xml:space="preserve">0.76</w:t>
            </w:r>
          </w:p>
        </w:tc>
      </w:tr>
      <w:tr>
        <w:tc>
          <w:tcPr>
            <w:tcW w:w="4872" w:type="dxa"/>
            <w:vAlign w:val="center"/>
          </w:tcPr>
          <w:p>
            <w:pPr>
              <w:spacing w:before="0" w:after="0"/>
              <w:jc w:val="left"/>
            </w:pPr>
            <w:r>
              <w:rPr>
                <w:sz w:val="18"/>
                <w:szCs w:val="18"/>
              </w:rPr>
              <w:t xml:space="preserve">Earnings per share, diluted (in dollars)</w:t>
            </w:r>
          </w:p>
        </w:tc>
        <w:tc>
          <w:tcPr>
            <w:tcW w:w="800" w:type="dxa"/>
            <w:vAlign w:val="center"/>
          </w:tcPr>
          <w:p>
            <w:pPr>
              <w:spacing w:before="0" w:after="0"/>
              <w:jc w:val="left"/>
            </w:pPr>
            <w:r>
              <w:rPr>
                <w:sz w:val="18"/>
                <w:szCs w:val="18"/>
              </w:rPr>
              <w:t xml:space="preserve"/>
            </w:r>
          </w:p>
        </w:tc>
        <w:tc>
          <w:tcPr>
            <w:tcW w:w="1700" w:type="dxa"/>
            <w:vAlign w:val="center"/>
          </w:tcPr>
          <w:p>
            <w:pPr>
              <w:spacing w:before="0" w:after="0"/>
              <w:jc w:val="right"/>
            </w:pPr>
            <w:r>
              <w:rPr>
                <w:sz w:val="18"/>
                <w:szCs w:val="18"/>
              </w:rPr>
              <w:t xml:space="preserve">0.57</w:t>
            </w:r>
          </w:p>
        </w:tc>
        <w:tc>
          <w:tcPr>
            <w:tcW w:w="1700" w:type="dxa"/>
            <w:vAlign w:val="center"/>
          </w:tcPr>
          <w:p>
            <w:pPr>
              <w:spacing w:before="0" w:after="0"/>
              <w:jc w:val="right"/>
            </w:pPr>
            <w:r>
              <w:rPr>
                <w:sz w:val="18"/>
                <w:szCs w:val="18"/>
              </w:rPr>
              <w:t xml:space="preserve">0.73</w:t>
            </w:r>
          </w:p>
        </w:tc>
      </w:tr>
    </w:tbl>
    <w:p>
      <w:pPr/>
    </w:p>
    <w:p>
      <w:r>
        <w:br w:type="page"/>
      </w:r>
    </w:p>
    <w:p>
      <w:pPr>
        <w:pStyle w:val="Heading3"/>
        <w:keepNext/>
      </w:pPr>
      <w:r>
        <w:t xml:space="preserve">Statements of Cash Flows</w:t>
      </w:r>
    </w:p>
    <w:p>
      <w:pPr>
        <w:jc w:val="right"/>
      </w:pPr>
      <w:r>
        <w:rPr>
          <w:sz w:val="18"/>
          <w:szCs w:val="18"/>
        </w:rPr>
        <w:t xml:space="preserve">(In thousands of U.S. dollars)</w:t>
      </w:r>
    </w:p>
    <w:tbl>
      <w:tblPr>
        <w:tblW w:w="907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72" w:type="dxa"/>
          <w:right w:w="72" w:type="dxa"/>
        </w:tblCellMar>
      </w:tblPr>
      <w:tblGrid>
        <w:gridCol w:w="4872"/>
        <w:gridCol w:w="800"/>
        <w:gridCol w:w="1700"/>
        <w:gridCol w:w="1700"/>
      </w:tblGrid>
      <w:tr>
        <w:trPr>
          <w:tblHeader/>
        </w:trPr>
        <w:tc>
          <w:tcPr>
            <w:tcW w:w="4872" w:type="dxa"/>
            <w:shd w:val="clear" w:color="auto" w:fill="DDEBF7"/>
            <w:vAlign w:val="center"/>
          </w:tcPr>
          <w:p>
            <w:pPr>
              <w:spacing w:before="0" w:after="0"/>
              <w:jc w:val="center"/>
            </w:pPr>
            <w:r>
              <w:rPr>
                <w:b/>
                <w:sz w:val="18"/>
                <w:szCs w:val="18"/>
              </w:rPr>
              <w:t xml:space="preserve"/>
            </w:r>
          </w:p>
        </w:tc>
        <w:tc>
          <w:tcPr>
            <w:tcW w:w="800" w:type="dxa"/>
            <w:shd w:val="clear" w:color="auto" w:fill="DDEBF7"/>
            <w:vAlign w:val="center"/>
          </w:tcPr>
          <w:p>
            <w:pPr>
              <w:spacing w:before="0" w:after="0"/>
              <w:jc w:val="center"/>
            </w:pPr>
            <w:r>
              <w:rPr>
                <w:b/>
                <w:sz w:val="18"/>
                <w:szCs w:val="18"/>
              </w:rPr>
              <w:t xml:space="preserve">Note</w:t>
            </w:r>
          </w:p>
        </w:tc>
        <w:tc>
          <w:tcPr>
            <w:tcW w:w="1700" w:type="dxa"/>
            <w:shd w:val="clear" w:color="auto" w:fill="DDEBF7"/>
            <w:vAlign w:val="center"/>
          </w:tcPr>
          <w:p>
            <w:pPr>
              <w:spacing w:before="0" w:after="0"/>
              <w:jc w:val="center"/>
            </w:pPr>
            <w:r>
              <w:rPr>
                <w:b/>
                <w:sz w:val="18"/>
                <w:szCs w:val="18"/>
              </w:rPr>
              <w:t xml:space="preserve">FY2024</w:t>
            </w:r>
          </w:p>
        </w:tc>
        <w:tc>
          <w:tcPr>
            <w:tcW w:w="1700" w:type="dxa"/>
            <w:shd w:val="clear" w:color="auto" w:fill="DDEBF7"/>
            <w:vAlign w:val="center"/>
          </w:tcPr>
          <w:p>
            <w:pPr>
              <w:spacing w:before="0" w:after="0"/>
              <w:jc w:val="center"/>
            </w:pPr>
            <w:r>
              <w:rPr>
                <w:b/>
                <w:sz w:val="18"/>
                <w:szCs w:val="18"/>
              </w:rPr>
              <w:t xml:space="preserve">FY2025</w:t>
            </w:r>
          </w:p>
        </w:tc>
      </w:tr>
      <w:tr>
        <w:tc>
          <w:tcPr>
            <w:tcW w:w="4872" w:type="dxa"/>
            <w:vAlign w:val="center"/>
          </w:tcPr>
          <w:p>
            <w:pPr>
              <w:spacing w:before="0" w:after="0"/>
              <w:jc w:val="left"/>
            </w:pPr>
            <w:r>
              <w:rPr>
                <w:b/>
                <w:sz w:val="18"/>
                <w:szCs w:val="18"/>
              </w:rPr>
              <w:t xml:space="preserve">Cash flows from operating activities</w:t>
            </w:r>
          </w:p>
        </w:tc>
        <w:tc>
          <w:tcPr>
            <w:tcW w:w="800" w:type="dxa"/>
            <w:vAlign w:val="center"/>
          </w:tcPr>
          <w:p>
            <w:pPr>
              <w:spacing w:before="0" w:after="0"/>
              <w:jc w:val="left"/>
            </w:pPr>
            <w:r>
              <w:rPr>
                <w:b/>
                <w:sz w:val="18"/>
                <w:szCs w:val="18"/>
              </w:rPr>
              <w:t xml:space="preserve"/>
            </w:r>
          </w:p>
        </w:tc>
        <w:tc>
          <w:tcPr>
            <w:tcW w:w="1700" w:type="dxa"/>
            <w:vAlign w:val="center"/>
          </w:tcPr>
          <w:p>
            <w:pPr>
              <w:spacing w:before="0" w:after="0"/>
              <w:jc w:val="right"/>
            </w:pPr>
            <w:r>
              <w:rPr>
                <w:b/>
                <w:sz w:val="18"/>
                <w:szCs w:val="18"/>
              </w:rPr>
              <w:t xml:space="preserve"/>
            </w:r>
          </w:p>
        </w:tc>
        <w:tc>
          <w:tcPr>
            <w:tcW w:w="1700" w:type="dxa"/>
            <w:vAlign w:val="center"/>
          </w:tcPr>
          <w:p>
            <w:pPr>
              <w:spacing w:before="0" w:after="0"/>
              <w:jc w:val="right"/>
            </w:pPr>
            <w:r>
              <w:rPr>
                <w:b/>
                <w:sz w:val="18"/>
                <w:szCs w:val="18"/>
              </w:rPr>
              <w:t xml:space="preserve"/>
            </w:r>
          </w:p>
        </w:tc>
      </w:tr>
      <w:tr>
        <w:tc>
          <w:tcPr>
            <w:tcW w:w="4872" w:type="dxa"/>
            <w:vAlign w:val="center"/>
          </w:tcPr>
          <w:p>
            <w:pPr>
              <w:spacing w:before="0" w:after="0"/>
              <w:jc w:val="left"/>
            </w:pPr>
            <w:r>
              <w:rPr>
                <w:sz w:val="18"/>
                <w:szCs w:val="18"/>
              </w:rPr>
              <w:t xml:space="preserve">Net income</w:t>
            </w:r>
          </w:p>
        </w:tc>
        <w:tc>
          <w:tcPr>
            <w:tcW w:w="800" w:type="dxa"/>
            <w:vAlign w:val="center"/>
          </w:tcPr>
          <w:p>
            <w:pPr>
              <w:spacing w:before="0" w:after="0"/>
              <w:jc w:val="left"/>
            </w:pPr>
            <w:r>
              <w:rPr>
                <w:sz w:val="18"/>
                <w:szCs w:val="18"/>
              </w:rPr>
              <w:t xml:space="preserve"/>
            </w:r>
          </w:p>
        </w:tc>
        <w:tc>
          <w:tcPr>
            <w:tcW w:w="1700" w:type="dxa"/>
            <w:vAlign w:val="center"/>
          </w:tcPr>
          <w:p>
            <w:pPr>
              <w:spacing w:before="0" w:after="0"/>
              <w:jc w:val="right"/>
            </w:pPr>
            <w:r>
              <w:rPr>
                <w:sz w:val="18"/>
                <w:szCs w:val="18"/>
              </w:rPr>
              <w:t xml:space="preserve">24,345</w:t>
            </w:r>
          </w:p>
        </w:tc>
        <w:tc>
          <w:tcPr>
            <w:tcW w:w="1700" w:type="dxa"/>
            <w:vAlign w:val="center"/>
          </w:tcPr>
          <w:p>
            <w:pPr>
              <w:spacing w:before="0" w:after="0"/>
              <w:jc w:val="right"/>
            </w:pPr>
            <w:r>
              <w:rPr>
                <w:sz w:val="18"/>
                <w:szCs w:val="18"/>
              </w:rPr>
              <w:t xml:space="preserve">31,226</w:t>
            </w:r>
          </w:p>
        </w:tc>
      </w:tr>
      <w:tr>
        <w:tc>
          <w:tcPr>
            <w:tcW w:w="4872" w:type="dxa"/>
            <w:vAlign w:val="center"/>
          </w:tcPr>
          <w:p>
            <w:pPr>
              <w:spacing w:before="0" w:after="0"/>
              <w:jc w:val="left"/>
            </w:pPr>
            <w:r>
              <w:rPr>
                <w:sz w:val="18"/>
                <w:szCs w:val="18"/>
              </w:rPr>
              <w:t xml:space="preserve">Depreciation and amortization</w:t>
            </w:r>
          </w:p>
        </w:tc>
        <w:tc>
          <w:tcPr>
            <w:tcW w:w="800" w:type="dxa"/>
            <w:vAlign w:val="center"/>
          </w:tcPr>
          <w:p>
            <w:pPr>
              <w:spacing w:before="0" w:after="0"/>
              <w:jc w:val="left"/>
            </w:pPr>
            <w:r>
              <w:rPr>
                <w:sz w:val="18"/>
                <w:szCs w:val="18"/>
              </w:rPr>
              <w:t xml:space="preserve"/>
            </w:r>
          </w:p>
        </w:tc>
        <w:tc>
          <w:tcPr>
            <w:tcW w:w="1700" w:type="dxa"/>
            <w:vAlign w:val="center"/>
          </w:tcPr>
          <w:p>
            <w:pPr>
              <w:spacing w:before="0" w:after="0"/>
              <w:jc w:val="right"/>
            </w:pPr>
            <w:r>
              <w:rPr>
                <w:sz w:val="18"/>
                <w:szCs w:val="18"/>
              </w:rPr>
              <w:t xml:space="preserve">13,740</w:t>
            </w:r>
          </w:p>
        </w:tc>
        <w:tc>
          <w:tcPr>
            <w:tcW w:w="1700" w:type="dxa"/>
            <w:vAlign w:val="center"/>
          </w:tcPr>
          <w:p>
            <w:pPr>
              <w:spacing w:before="0" w:after="0"/>
              <w:jc w:val="right"/>
            </w:pPr>
            <w:r>
              <w:rPr>
                <w:sz w:val="18"/>
                <w:szCs w:val="18"/>
              </w:rPr>
              <w:t xml:space="preserve">15,695</w:t>
            </w:r>
          </w:p>
        </w:tc>
      </w:tr>
      <w:tr>
        <w:tc>
          <w:tcPr>
            <w:tcW w:w="4872" w:type="dxa"/>
            <w:vAlign w:val="center"/>
          </w:tcPr>
          <w:p>
            <w:pPr>
              <w:spacing w:before="0" w:after="0"/>
              <w:jc w:val="left"/>
            </w:pPr>
            <w:r>
              <w:rPr>
                <w:sz w:val="18"/>
                <w:szCs w:val="18"/>
              </w:rPr>
              <w:t xml:space="preserve">Stock-based compensation</w:t>
            </w:r>
          </w:p>
        </w:tc>
        <w:tc>
          <w:tcPr>
            <w:tcW w:w="800" w:type="dxa"/>
            <w:vAlign w:val="center"/>
          </w:tcPr>
          <w:p>
            <w:pPr>
              <w:spacing w:before="0" w:after="0"/>
              <w:jc w:val="left"/>
            </w:pPr>
            <w:r>
              <w:rPr>
                <w:sz w:val="18"/>
                <w:szCs w:val="18"/>
              </w:rPr>
              <w:t xml:space="preserve"/>
            </w:r>
          </w:p>
        </w:tc>
        <w:tc>
          <w:tcPr>
            <w:tcW w:w="1700" w:type="dxa"/>
            <w:vAlign w:val="center"/>
          </w:tcPr>
          <w:p>
            <w:pPr>
              <w:spacing w:before="0" w:after="0"/>
              <w:jc w:val="right"/>
            </w:pPr>
            <w:r>
              <w:rPr>
                <w:sz w:val="18"/>
                <w:szCs w:val="18"/>
              </w:rPr>
              <w:t xml:space="preserve">1,622</w:t>
            </w:r>
          </w:p>
        </w:tc>
        <w:tc>
          <w:tcPr>
            <w:tcW w:w="1700" w:type="dxa"/>
            <w:vAlign w:val="center"/>
          </w:tcPr>
          <w:p>
            <w:pPr>
              <w:spacing w:before="0" w:after="0"/>
              <w:jc w:val="right"/>
            </w:pPr>
            <w:r>
              <w:rPr>
                <w:sz w:val="18"/>
                <w:szCs w:val="18"/>
              </w:rPr>
              <w:t xml:space="preserve">1,872</w:t>
            </w:r>
          </w:p>
        </w:tc>
      </w:tr>
      <w:tr>
        <w:tc>
          <w:tcPr>
            <w:tcW w:w="4872" w:type="dxa"/>
            <w:vAlign w:val="center"/>
          </w:tcPr>
          <w:p>
            <w:pPr>
              <w:spacing w:before="0" w:after="0"/>
              <w:jc w:val="left"/>
            </w:pPr>
            <w:r>
              <w:rPr>
                <w:sz w:val="18"/>
                <w:szCs w:val="18"/>
              </w:rPr>
              <w:t xml:space="preserve">Deferred income taxes</w:t>
            </w:r>
          </w:p>
        </w:tc>
        <w:tc>
          <w:tcPr>
            <w:tcW w:w="800" w:type="dxa"/>
            <w:vAlign w:val="center"/>
          </w:tcPr>
          <w:p>
            <w:pPr>
              <w:spacing w:before="0" w:after="0"/>
              <w:jc w:val="left"/>
            </w:pPr>
            <w:r>
              <w:rPr>
                <w:sz w:val="18"/>
                <w:szCs w:val="18"/>
              </w:rPr>
              <w:t xml:space="preserve"/>
            </w:r>
          </w:p>
        </w:tc>
        <w:tc>
          <w:tcPr>
            <w:tcW w:w="1700" w:type="dxa"/>
            <w:vAlign w:val="center"/>
          </w:tcPr>
          <w:p>
            <w:pPr>
              <w:spacing w:before="0" w:after="0"/>
              <w:jc w:val="right"/>
            </w:pPr>
            <w:r>
              <w:rPr>
                <w:sz w:val="18"/>
                <w:szCs w:val="18"/>
              </w:rPr>
              <w:t xml:space="preserve">773</w:t>
            </w:r>
          </w:p>
        </w:tc>
        <w:tc>
          <w:tcPr>
            <w:tcW w:w="1700" w:type="dxa"/>
            <w:vAlign w:val="center"/>
          </w:tcPr>
          <w:p>
            <w:pPr>
              <w:spacing w:before="0" w:after="0"/>
              <w:jc w:val="right"/>
            </w:pPr>
            <w:r>
              <w:rPr>
                <w:sz w:val="18"/>
                <w:szCs w:val="18"/>
              </w:rPr>
              <w:t xml:space="preserve">664</w:t>
            </w:r>
          </w:p>
        </w:tc>
      </w:tr>
      <w:tr>
        <w:tc>
          <w:tcPr>
            <w:tcW w:w="4872" w:type="dxa"/>
            <w:vAlign w:val="center"/>
          </w:tcPr>
          <w:p>
            <w:pPr>
              <w:spacing w:before="0" w:after="0"/>
              <w:jc w:val="left"/>
            </w:pPr>
            <w:r>
              <w:rPr>
                <w:sz w:val="18"/>
                <w:szCs w:val="18"/>
              </w:rPr>
              <w:t xml:space="preserve">Inventories</w:t>
            </w:r>
          </w:p>
        </w:tc>
        <w:tc>
          <w:tcPr>
            <w:tcW w:w="800" w:type="dxa"/>
            <w:vAlign w:val="center"/>
          </w:tcPr>
          <w:p>
            <w:pPr>
              <w:spacing w:before="0" w:after="0"/>
              <w:jc w:val="left"/>
            </w:pPr>
            <w:r>
              <w:rPr>
                <w:sz w:val="18"/>
                <w:szCs w:val="18"/>
              </w:rPr>
              <w:t xml:space="preserve"/>
            </w:r>
          </w:p>
        </w:tc>
        <w:tc>
          <w:tcPr>
            <w:tcW w:w="1700" w:type="dxa"/>
            <w:vAlign w:val="center"/>
          </w:tcPr>
          <w:p>
            <w:pPr>
              <w:spacing w:before="0" w:after="0"/>
              <w:jc w:val="right"/>
            </w:pPr>
            <w:r>
              <w:rPr>
                <w:sz w:val="18"/>
                <w:szCs w:val="18"/>
              </w:rPr>
              <w:t xml:space="preserve">(2,064)</w:t>
            </w:r>
          </w:p>
        </w:tc>
        <w:tc>
          <w:tcPr>
            <w:tcW w:w="1700" w:type="dxa"/>
            <w:vAlign w:val="center"/>
          </w:tcPr>
          <w:p>
            <w:pPr>
              <w:spacing w:before="0" w:after="0"/>
              <w:jc w:val="right"/>
            </w:pPr>
            <w:r>
              <w:rPr>
                <w:sz w:val="18"/>
                <w:szCs w:val="18"/>
              </w:rPr>
              <w:t xml:space="preserve">(2,018)</w:t>
            </w:r>
          </w:p>
        </w:tc>
      </w:tr>
      <w:tr>
        <w:tc>
          <w:tcPr>
            <w:tcW w:w="4872" w:type="dxa"/>
            <w:vAlign w:val="center"/>
          </w:tcPr>
          <w:p>
            <w:pPr>
              <w:spacing w:before="0" w:after="0"/>
              <w:jc w:val="left"/>
            </w:pPr>
            <w:r>
              <w:rPr>
                <w:sz w:val="18"/>
                <w:szCs w:val="18"/>
              </w:rPr>
              <w:t xml:space="preserve">Accounts receivable</w:t>
            </w:r>
          </w:p>
        </w:tc>
        <w:tc>
          <w:tcPr>
            <w:tcW w:w="800" w:type="dxa"/>
            <w:vAlign w:val="center"/>
          </w:tcPr>
          <w:p>
            <w:pPr>
              <w:spacing w:before="0" w:after="0"/>
              <w:jc w:val="left"/>
            </w:pPr>
            <w:r>
              <w:rPr>
                <w:sz w:val="18"/>
                <w:szCs w:val="18"/>
              </w:rPr>
              <w:t xml:space="preserve"/>
            </w:r>
          </w:p>
        </w:tc>
        <w:tc>
          <w:tcPr>
            <w:tcW w:w="1700" w:type="dxa"/>
            <w:vAlign w:val="center"/>
          </w:tcPr>
          <w:p>
            <w:pPr>
              <w:spacing w:before="0" w:after="0"/>
              <w:jc w:val="right"/>
            </w:pPr>
            <w:r>
              <w:rPr>
                <w:sz w:val="18"/>
                <w:szCs w:val="18"/>
              </w:rPr>
              <w:t xml:space="preserve">(1,019)</w:t>
            </w:r>
          </w:p>
        </w:tc>
        <w:tc>
          <w:tcPr>
            <w:tcW w:w="1700" w:type="dxa"/>
            <w:vAlign w:val="center"/>
          </w:tcPr>
          <w:p>
            <w:pPr>
              <w:spacing w:before="0" w:after="0"/>
              <w:jc w:val="right"/>
            </w:pPr>
            <w:r>
              <w:rPr>
                <w:sz w:val="18"/>
                <w:szCs w:val="18"/>
              </w:rPr>
              <w:t xml:space="preserve">(437)</w:t>
            </w:r>
          </w:p>
        </w:tc>
      </w:tr>
      <w:tr>
        <w:tc>
          <w:tcPr>
            <w:tcW w:w="4872" w:type="dxa"/>
            <w:vAlign w:val="center"/>
          </w:tcPr>
          <w:p>
            <w:pPr>
              <w:spacing w:before="0" w:after="0"/>
              <w:jc w:val="left"/>
            </w:pPr>
            <w:r>
              <w:rPr>
                <w:sz w:val="18"/>
                <w:szCs w:val="18"/>
              </w:rPr>
              <w:t xml:space="preserve">Accounts payable</w:t>
            </w:r>
          </w:p>
        </w:tc>
        <w:tc>
          <w:tcPr>
            <w:tcW w:w="800" w:type="dxa"/>
            <w:vAlign w:val="center"/>
          </w:tcPr>
          <w:p>
            <w:pPr>
              <w:spacing w:before="0" w:after="0"/>
              <w:jc w:val="left"/>
            </w:pPr>
            <w:r>
              <w:rPr>
                <w:sz w:val="18"/>
                <w:szCs w:val="18"/>
              </w:rPr>
              <w:t xml:space="preserve"/>
            </w:r>
          </w:p>
        </w:tc>
        <w:tc>
          <w:tcPr>
            <w:tcW w:w="1700" w:type="dxa"/>
            <w:vAlign w:val="center"/>
          </w:tcPr>
          <w:p>
            <w:pPr>
              <w:spacing w:before="0" w:after="0"/>
              <w:jc w:val="right"/>
            </w:pPr>
            <w:r>
              <w:rPr>
                <w:sz w:val="18"/>
                <w:szCs w:val="18"/>
              </w:rPr>
              <w:t xml:space="preserve">963</w:t>
            </w:r>
          </w:p>
        </w:tc>
        <w:tc>
          <w:tcPr>
            <w:tcW w:w="1700" w:type="dxa"/>
            <w:vAlign w:val="center"/>
          </w:tcPr>
          <w:p>
            <w:pPr>
              <w:spacing w:before="0" w:after="0"/>
              <w:jc w:val="right"/>
            </w:pPr>
            <w:r>
              <w:rPr>
                <w:sz w:val="18"/>
                <w:szCs w:val="18"/>
              </w:rPr>
              <w:t xml:space="preserve">1,234</w:t>
            </w:r>
          </w:p>
        </w:tc>
      </w:tr>
      <w:tr>
        <w:tc>
          <w:tcPr>
            <w:tcW w:w="4872" w:type="dxa"/>
            <w:vAlign w:val="center"/>
          </w:tcPr>
          <w:p>
            <w:pPr>
              <w:spacing w:before="0" w:after="0"/>
              <w:jc w:val="left"/>
            </w:pPr>
            <w:r>
              <w:rPr>
                <w:sz w:val="18"/>
                <w:szCs w:val="18"/>
              </w:rPr>
              <w:t xml:space="preserve">Deferred revenue</w:t>
            </w:r>
          </w:p>
        </w:tc>
        <w:tc>
          <w:tcPr>
            <w:tcW w:w="800" w:type="dxa"/>
            <w:vAlign w:val="center"/>
          </w:tcPr>
          <w:p>
            <w:pPr>
              <w:spacing w:before="0" w:after="0"/>
              <w:jc w:val="left"/>
            </w:pPr>
            <w:r>
              <w:rPr>
                <w:sz w:val="18"/>
                <w:szCs w:val="18"/>
              </w:rPr>
              <w:t xml:space="preserve"/>
            </w:r>
          </w:p>
        </w:tc>
        <w:tc>
          <w:tcPr>
            <w:tcW w:w="1700" w:type="dxa"/>
            <w:vAlign w:val="center"/>
          </w:tcPr>
          <w:p>
            <w:pPr>
              <w:spacing w:before="0" w:after="0"/>
              <w:jc w:val="right"/>
            </w:pPr>
            <w:r>
              <w:rPr>
                <w:sz w:val="18"/>
                <w:szCs w:val="18"/>
              </w:rPr>
              <w:t xml:space="preserve">831</w:t>
            </w:r>
          </w:p>
        </w:tc>
        <w:tc>
          <w:tcPr>
            <w:tcW w:w="1700" w:type="dxa"/>
            <w:vAlign w:val="center"/>
          </w:tcPr>
          <w:p>
            <w:pPr>
              <w:spacing w:before="0" w:after="0"/>
              <w:jc w:val="right"/>
            </w:pPr>
            <w:r>
              <w:rPr>
                <w:sz w:val="18"/>
                <w:szCs w:val="18"/>
              </w:rPr>
              <w:t xml:space="preserve">600</w:t>
            </w:r>
          </w:p>
        </w:tc>
      </w:tr>
      <w:tr>
        <w:tc>
          <w:tcPr>
            <w:tcW w:w="4872" w:type="dxa"/>
            <w:vAlign w:val="center"/>
          </w:tcPr>
          <w:p>
            <w:pPr>
              <w:spacing w:before="0" w:after="0"/>
              <w:jc w:val="left"/>
            </w:pPr>
            <w:r>
              <w:rPr>
                <w:sz w:val="18"/>
                <w:szCs w:val="18"/>
              </w:rPr>
              <w:t xml:space="preserve">Other accrued liabilities</w:t>
            </w:r>
          </w:p>
        </w:tc>
        <w:tc>
          <w:tcPr>
            <w:tcW w:w="800" w:type="dxa"/>
            <w:vAlign w:val="center"/>
          </w:tcPr>
          <w:p>
            <w:pPr>
              <w:spacing w:before="0" w:after="0"/>
              <w:jc w:val="left"/>
            </w:pPr>
            <w:r>
              <w:rPr>
                <w:sz w:val="18"/>
                <w:szCs w:val="18"/>
              </w:rPr>
              <w:t xml:space="preserve"/>
            </w:r>
          </w:p>
        </w:tc>
        <w:tc>
          <w:tcPr>
            <w:tcW w:w="1700" w:type="dxa"/>
            <w:vAlign w:val="center"/>
          </w:tcPr>
          <w:p>
            <w:pPr>
              <w:spacing w:before="0" w:after="0"/>
              <w:jc w:val="right"/>
            </w:pPr>
            <w:r>
              <w:rPr>
                <w:sz w:val="18"/>
                <w:szCs w:val="18"/>
              </w:rPr>
              <w:t xml:space="preserve">199</w:t>
            </w:r>
          </w:p>
        </w:tc>
        <w:tc>
          <w:tcPr>
            <w:tcW w:w="1700" w:type="dxa"/>
            <w:vAlign w:val="center"/>
          </w:tcPr>
          <w:p>
            <w:pPr>
              <w:spacing w:before="0" w:after="0"/>
              <w:jc w:val="right"/>
            </w:pPr>
            <w:r>
              <w:rPr>
                <w:sz w:val="18"/>
                <w:szCs w:val="18"/>
              </w:rPr>
              <w:t xml:space="preserve">777</w:t>
            </w:r>
          </w:p>
        </w:tc>
      </w:tr>
      <w:tr>
        <w:tc>
          <w:tcPr>
            <w:tcW w:w="4872" w:type="dxa"/>
            <w:vAlign w:val="center"/>
          </w:tcPr>
          <w:p>
            <w:pPr>
              <w:spacing w:before="0" w:after="0"/>
              <w:jc w:val="left"/>
            </w:pPr>
            <w:r>
              <w:rPr>
                <w:b/>
                <w:sz w:val="18"/>
                <w:szCs w:val="18"/>
              </w:rPr>
              <w:t xml:space="preserve">Net cash provided by operating activities</w:t>
            </w:r>
          </w:p>
        </w:tc>
        <w:tc>
          <w:tcPr>
            <w:tcW w:w="800" w:type="dxa"/>
            <w:vAlign w:val="center"/>
          </w:tcPr>
          <w:p>
            <w:pPr>
              <w:spacing w:before="0" w:after="0"/>
              <w:jc w:val="left"/>
            </w:pPr>
            <w:r>
              <w:rPr>
                <w:b/>
                <w:sz w:val="18"/>
                <w:szCs w:val="18"/>
              </w:rPr>
              <w:t xml:space="preserve"/>
            </w:r>
          </w:p>
        </w:tc>
        <w:tc>
          <w:tcPr>
            <w:tcW w:w="1700" w:type="dxa"/>
            <w:vAlign w:val="center"/>
          </w:tcPr>
          <w:p>
            <w:pPr>
              <w:spacing w:before="0" w:after="0"/>
              <w:jc w:val="right"/>
            </w:pPr>
            <w:r>
              <w:rPr>
                <w:b/>
                <w:sz w:val="18"/>
                <w:szCs w:val="18"/>
              </w:rPr>
              <w:t xml:space="preserve">39,390</w:t>
            </w:r>
          </w:p>
        </w:tc>
        <w:tc>
          <w:tcPr>
            <w:tcW w:w="1700" w:type="dxa"/>
            <w:vAlign w:val="center"/>
          </w:tcPr>
          <w:p>
            <w:pPr>
              <w:spacing w:before="0" w:after="0"/>
              <w:jc w:val="right"/>
            </w:pPr>
            <w:r>
              <w:rPr>
                <w:b/>
                <w:sz w:val="18"/>
                <w:szCs w:val="18"/>
              </w:rPr>
              <w:t xml:space="preserve">49,613</w:t>
            </w:r>
          </w:p>
        </w:tc>
      </w:tr>
      <w:tr>
        <w:tc>
          <w:tcPr>
            <w:tcW w:w="4872" w:type="dxa"/>
            <w:vAlign w:val="center"/>
          </w:tcPr>
          <w:p>
            <w:pPr>
              <w:spacing w:before="0" w:after="0"/>
              <w:jc w:val="left"/>
            </w:pPr>
            <w:r>
              <w:rPr>
                <w:b/>
                <w:sz w:val="18"/>
                <w:szCs w:val="18"/>
              </w:rPr>
              <w:t xml:space="preserve">Cash flows from investing activities</w:t>
            </w:r>
          </w:p>
        </w:tc>
        <w:tc>
          <w:tcPr>
            <w:tcW w:w="800" w:type="dxa"/>
            <w:vAlign w:val="center"/>
          </w:tcPr>
          <w:p>
            <w:pPr>
              <w:spacing w:before="0" w:after="0"/>
              <w:jc w:val="left"/>
            </w:pPr>
            <w:r>
              <w:rPr>
                <w:b/>
                <w:sz w:val="18"/>
                <w:szCs w:val="18"/>
              </w:rPr>
              <w:t xml:space="preserve"/>
            </w:r>
          </w:p>
        </w:tc>
        <w:tc>
          <w:tcPr>
            <w:tcW w:w="1700" w:type="dxa"/>
            <w:vAlign w:val="center"/>
          </w:tcPr>
          <w:p>
            <w:pPr>
              <w:spacing w:before="0" w:after="0"/>
              <w:jc w:val="right"/>
            </w:pPr>
            <w:r>
              <w:rPr>
                <w:b/>
                <w:sz w:val="18"/>
                <w:szCs w:val="18"/>
              </w:rPr>
              <w:t xml:space="preserve"/>
            </w:r>
          </w:p>
        </w:tc>
        <w:tc>
          <w:tcPr>
            <w:tcW w:w="1700" w:type="dxa"/>
            <w:vAlign w:val="center"/>
          </w:tcPr>
          <w:p>
            <w:pPr>
              <w:spacing w:before="0" w:after="0"/>
              <w:jc w:val="right"/>
            </w:pPr>
            <w:r>
              <w:rPr>
                <w:b/>
                <w:sz w:val="18"/>
                <w:szCs w:val="18"/>
              </w:rPr>
              <w:t xml:space="preserve"/>
            </w:r>
          </w:p>
        </w:tc>
      </w:tr>
      <w:tr>
        <w:tc>
          <w:tcPr>
            <w:tcW w:w="4872" w:type="dxa"/>
            <w:vAlign w:val="center"/>
          </w:tcPr>
          <w:p>
            <w:pPr>
              <w:spacing w:before="0" w:after="0"/>
              <w:jc w:val="left"/>
            </w:pPr>
            <w:r>
              <w:rPr>
                <w:sz w:val="18"/>
                <w:szCs w:val="18"/>
              </w:rPr>
              <w:t xml:space="preserve">Purchases of property and equipment</w:t>
            </w:r>
          </w:p>
        </w:tc>
        <w:tc>
          <w:tcPr>
            <w:tcW w:w="800" w:type="dxa"/>
            <w:vAlign w:val="center"/>
          </w:tcPr>
          <w:p>
            <w:pPr>
              <w:spacing w:before="0" w:after="0"/>
              <w:jc w:val="left"/>
            </w:pPr>
            <w:r>
              <w:rPr>
                <w:sz w:val="18"/>
                <w:szCs w:val="18"/>
              </w:rPr>
              <w:t xml:space="preserve"/>
            </w:r>
          </w:p>
        </w:tc>
        <w:tc>
          <w:tcPr>
            <w:tcW w:w="1700" w:type="dxa"/>
            <w:vAlign w:val="center"/>
          </w:tcPr>
          <w:p>
            <w:pPr>
              <w:spacing w:before="0" w:after="0"/>
              <w:jc w:val="right"/>
            </w:pPr>
            <w:r>
              <w:rPr>
                <w:sz w:val="18"/>
                <w:szCs w:val="18"/>
              </w:rPr>
              <w:t xml:space="preserve">(24,162)</w:t>
            </w:r>
          </w:p>
        </w:tc>
        <w:tc>
          <w:tcPr>
            <w:tcW w:w="1700" w:type="dxa"/>
            <w:vAlign w:val="center"/>
          </w:tcPr>
          <w:p>
            <w:pPr>
              <w:spacing w:before="0" w:after="0"/>
              <w:jc w:val="right"/>
            </w:pPr>
            <w:r>
              <w:rPr>
                <w:sz w:val="18"/>
                <w:szCs w:val="18"/>
              </w:rPr>
              <w:t xml:space="preserve">(29,070)</w:t>
            </w:r>
          </w:p>
        </w:tc>
      </w:tr>
      <w:tr>
        <w:tc>
          <w:tcPr>
            <w:tcW w:w="4872" w:type="dxa"/>
            <w:vAlign w:val="center"/>
          </w:tcPr>
          <w:p>
            <w:pPr>
              <w:spacing w:before="0" w:after="0"/>
              <w:jc w:val="left"/>
            </w:pPr>
            <w:r>
              <w:rPr>
                <w:sz w:val="18"/>
                <w:szCs w:val="18"/>
              </w:rPr>
              <w:t xml:space="preserve">Purchases of roasting equipment</w:t>
            </w:r>
          </w:p>
        </w:tc>
        <w:tc>
          <w:tcPr>
            <w:tcW w:w="800" w:type="dxa"/>
            <w:vAlign w:val="center"/>
          </w:tcPr>
          <w:p>
            <w:pPr>
              <w:spacing w:before="0" w:after="0"/>
              <w:jc w:val="left"/>
            </w:pPr>
            <w:r>
              <w:rPr>
                <w:sz w:val="18"/>
                <w:szCs w:val="18"/>
              </w:rPr>
              <w:t xml:space="preserve"/>
            </w:r>
          </w:p>
        </w:tc>
        <w:tc>
          <w:tcPr>
            <w:tcW w:w="1700" w:type="dxa"/>
            <w:vAlign w:val="center"/>
          </w:tcPr>
          <w:p>
            <w:pPr>
              <w:spacing w:before="0" w:after="0"/>
              <w:jc w:val="right"/>
            </w:pPr>
            <w:r>
              <w:rPr>
                <w:sz w:val="18"/>
                <w:szCs w:val="18"/>
              </w:rPr>
              <w:t xml:space="preserve">(3,291)</w:t>
            </w:r>
          </w:p>
        </w:tc>
        <w:tc>
          <w:tcPr>
            <w:tcW w:w="1700" w:type="dxa"/>
            <w:vAlign w:val="center"/>
          </w:tcPr>
          <w:p>
            <w:pPr>
              <w:spacing w:before="0" w:after="0"/>
              <w:jc w:val="right"/>
            </w:pPr>
            <w:r>
              <w:rPr>
                <w:sz w:val="18"/>
                <w:szCs w:val="18"/>
              </w:rPr>
              <w:t xml:space="preserve">(1,669)</w:t>
            </w:r>
          </w:p>
        </w:tc>
      </w:tr>
      <w:tr>
        <w:tc>
          <w:tcPr>
            <w:tcW w:w="4872" w:type="dxa"/>
            <w:vAlign w:val="center"/>
          </w:tcPr>
          <w:p>
            <w:pPr>
              <w:spacing w:before="0" w:after="0"/>
              <w:jc w:val="left"/>
            </w:pPr>
            <w:r>
              <w:rPr>
                <w:sz w:val="18"/>
                <w:szCs w:val="18"/>
              </w:rPr>
              <w:t xml:space="preserve">Purchases of short-term investments</w:t>
            </w:r>
          </w:p>
        </w:tc>
        <w:tc>
          <w:tcPr>
            <w:tcW w:w="800" w:type="dxa"/>
            <w:vAlign w:val="center"/>
          </w:tcPr>
          <w:p>
            <w:pPr>
              <w:spacing w:before="0" w:after="0"/>
              <w:jc w:val="left"/>
            </w:pPr>
            <w:r>
              <w:rPr>
                <w:sz w:val="18"/>
                <w:szCs w:val="18"/>
              </w:rPr>
              <w:t xml:space="preserve"/>
            </w:r>
          </w:p>
        </w:tc>
        <w:tc>
          <w:tcPr>
            <w:tcW w:w="1700" w:type="dxa"/>
            <w:vAlign w:val="center"/>
          </w:tcPr>
          <w:p>
            <w:pPr>
              <w:spacing w:before="0" w:after="0"/>
              <w:jc w:val="right"/>
            </w:pPr>
            <w:r>
              <w:rPr>
                <w:sz w:val="18"/>
                <w:szCs w:val="18"/>
              </w:rPr>
              <w:t xml:space="preserve">(5,000)</w:t>
            </w:r>
          </w:p>
        </w:tc>
        <w:tc>
          <w:tcPr>
            <w:tcW w:w="1700" w:type="dxa"/>
            <w:vAlign w:val="center"/>
          </w:tcPr>
          <w:p>
            <w:pPr>
              <w:spacing w:before="0" w:after="0"/>
              <w:jc w:val="right"/>
            </w:pPr>
            <w:r>
              <w:rPr>
                <w:sz w:val="18"/>
                <w:szCs w:val="18"/>
              </w:rPr>
              <w:t xml:space="preserve">(3,743)</w:t>
            </w:r>
          </w:p>
        </w:tc>
      </w:tr>
      <w:tr>
        <w:tc>
          <w:tcPr>
            <w:tcW w:w="4872" w:type="dxa"/>
            <w:vAlign w:val="center"/>
          </w:tcPr>
          <w:p>
            <w:pPr>
              <w:spacing w:before="0" w:after="0"/>
              <w:jc w:val="left"/>
            </w:pPr>
            <w:r>
              <w:rPr>
                <w:sz w:val="18"/>
                <w:szCs w:val="18"/>
              </w:rPr>
              <w:t xml:space="preserve">Maturities of short-term investments</w:t>
            </w:r>
          </w:p>
        </w:tc>
        <w:tc>
          <w:tcPr>
            <w:tcW w:w="800" w:type="dxa"/>
            <w:vAlign w:val="center"/>
          </w:tcPr>
          <w:p>
            <w:pPr>
              <w:spacing w:before="0" w:after="0"/>
              <w:jc w:val="left"/>
            </w:pPr>
            <w:r>
              <w:rPr>
                <w:sz w:val="18"/>
                <w:szCs w:val="18"/>
              </w:rPr>
              <w:t xml:space="preserve"/>
            </w:r>
          </w:p>
        </w:tc>
        <w:tc>
          <w:tcPr>
            <w:tcW w:w="1700" w:type="dxa"/>
            <w:vAlign w:val="center"/>
          </w:tcPr>
          <w:p>
            <w:pPr>
              <w:spacing w:before="0" w:after="0"/>
              <w:jc w:val="right"/>
            </w:pPr>
            <w:r>
              <w:rPr>
                <w:sz w:val="18"/>
                <w:szCs w:val="18"/>
              </w:rPr>
              <w:t xml:space="preserve">4,681</w:t>
            </w:r>
          </w:p>
        </w:tc>
        <w:tc>
          <w:tcPr>
            <w:tcW w:w="1700" w:type="dxa"/>
            <w:vAlign w:val="center"/>
          </w:tcPr>
          <w:p>
            <w:pPr>
              <w:spacing w:before="0" w:after="0"/>
              <w:jc w:val="right"/>
            </w:pPr>
            <w:r>
              <w:rPr>
                <w:sz w:val="18"/>
                <w:szCs w:val="18"/>
              </w:rPr>
              <w:t xml:space="preserve">5,809</w:t>
            </w:r>
          </w:p>
        </w:tc>
      </w:tr>
      <w:tr>
        <w:tc>
          <w:tcPr>
            <w:tcW w:w="4872" w:type="dxa"/>
            <w:vAlign w:val="center"/>
          </w:tcPr>
          <w:p>
            <w:pPr>
              <w:spacing w:before="0" w:after="0"/>
              <w:jc w:val="left"/>
            </w:pPr>
            <w:r>
              <w:rPr>
                <w:b/>
                <w:sz w:val="18"/>
                <w:szCs w:val="18"/>
              </w:rPr>
              <w:t xml:space="preserve">Net cash used in investing activities</w:t>
            </w:r>
          </w:p>
        </w:tc>
        <w:tc>
          <w:tcPr>
            <w:tcW w:w="800" w:type="dxa"/>
            <w:vAlign w:val="center"/>
          </w:tcPr>
          <w:p>
            <w:pPr>
              <w:spacing w:before="0" w:after="0"/>
              <w:jc w:val="left"/>
            </w:pPr>
            <w:r>
              <w:rPr>
                <w:b/>
                <w:sz w:val="18"/>
                <w:szCs w:val="18"/>
              </w:rPr>
              <w:t xml:space="preserve"/>
            </w:r>
          </w:p>
        </w:tc>
        <w:tc>
          <w:tcPr>
            <w:tcW w:w="1700" w:type="dxa"/>
            <w:vAlign w:val="center"/>
          </w:tcPr>
          <w:p>
            <w:pPr>
              <w:spacing w:before="0" w:after="0"/>
              <w:jc w:val="right"/>
            </w:pPr>
            <w:r>
              <w:rPr>
                <w:b/>
                <w:sz w:val="18"/>
                <w:szCs w:val="18"/>
              </w:rPr>
              <w:t xml:space="preserve">(27,773)</w:t>
            </w:r>
          </w:p>
        </w:tc>
        <w:tc>
          <w:tcPr>
            <w:tcW w:w="1700" w:type="dxa"/>
            <w:vAlign w:val="center"/>
          </w:tcPr>
          <w:p>
            <w:pPr>
              <w:spacing w:before="0" w:after="0"/>
              <w:jc w:val="right"/>
            </w:pPr>
            <w:r>
              <w:rPr>
                <w:b/>
                <w:sz w:val="18"/>
                <w:szCs w:val="18"/>
              </w:rPr>
              <w:t xml:space="preserve">(28,674)</w:t>
            </w:r>
          </w:p>
        </w:tc>
      </w:tr>
      <w:tr>
        <w:tc>
          <w:tcPr>
            <w:tcW w:w="4872" w:type="dxa"/>
            <w:vAlign w:val="center"/>
          </w:tcPr>
          <w:p>
            <w:pPr>
              <w:spacing w:before="0" w:after="0"/>
              <w:jc w:val="left"/>
            </w:pPr>
            <w:r>
              <w:rPr>
                <w:b/>
                <w:sz w:val="18"/>
                <w:szCs w:val="18"/>
              </w:rPr>
              <w:t xml:space="preserve">Cash flows from financing activities</w:t>
            </w:r>
          </w:p>
        </w:tc>
        <w:tc>
          <w:tcPr>
            <w:tcW w:w="800" w:type="dxa"/>
            <w:vAlign w:val="center"/>
          </w:tcPr>
          <w:p>
            <w:pPr>
              <w:spacing w:before="0" w:after="0"/>
              <w:jc w:val="left"/>
            </w:pPr>
            <w:r>
              <w:rPr>
                <w:b/>
                <w:sz w:val="18"/>
                <w:szCs w:val="18"/>
              </w:rPr>
              <w:t xml:space="preserve"/>
            </w:r>
          </w:p>
        </w:tc>
        <w:tc>
          <w:tcPr>
            <w:tcW w:w="1700" w:type="dxa"/>
            <w:vAlign w:val="center"/>
          </w:tcPr>
          <w:p>
            <w:pPr>
              <w:spacing w:before="0" w:after="0"/>
              <w:jc w:val="right"/>
            </w:pPr>
            <w:r>
              <w:rPr>
                <w:b/>
                <w:sz w:val="18"/>
                <w:szCs w:val="18"/>
              </w:rPr>
              <w:t xml:space="preserve"/>
            </w:r>
          </w:p>
        </w:tc>
        <w:tc>
          <w:tcPr>
            <w:tcW w:w="1700" w:type="dxa"/>
            <w:vAlign w:val="center"/>
          </w:tcPr>
          <w:p>
            <w:pPr>
              <w:spacing w:before="0" w:after="0"/>
              <w:jc w:val="right"/>
            </w:pPr>
            <w:r>
              <w:rPr>
                <w:b/>
                <w:sz w:val="18"/>
                <w:szCs w:val="18"/>
              </w:rPr>
              <w:t xml:space="preserve"/>
            </w:r>
          </w:p>
        </w:tc>
      </w:tr>
      <w:tr>
        <w:tc>
          <w:tcPr>
            <w:tcW w:w="4872" w:type="dxa"/>
            <w:vAlign w:val="center"/>
          </w:tcPr>
          <w:p>
            <w:pPr>
              <w:spacing w:before="0" w:after="0"/>
              <w:jc w:val="left"/>
            </w:pPr>
            <w:r>
              <w:rPr>
                <w:sz w:val="18"/>
                <w:szCs w:val="18"/>
              </w:rPr>
              <w:t xml:space="preserve">Proceeds from borrowings under the credit facility</w:t>
            </w:r>
          </w:p>
        </w:tc>
        <w:tc>
          <w:tcPr>
            <w:tcW w:w="800" w:type="dxa"/>
            <w:vAlign w:val="center"/>
          </w:tcPr>
          <w:p>
            <w:pPr>
              <w:spacing w:before="0" w:after="0"/>
              <w:jc w:val="left"/>
            </w:pPr>
            <w:r>
              <w:rPr>
                <w:sz w:val="18"/>
                <w:szCs w:val="18"/>
              </w:rPr>
              <w:t xml:space="preserve"/>
            </w:r>
          </w:p>
        </w:tc>
        <w:tc>
          <w:tcPr>
            <w:tcW w:w="1700" w:type="dxa"/>
            <w:vAlign w:val="center"/>
          </w:tcPr>
          <w:p>
            <w:pPr>
              <w:spacing w:before="0" w:after="0"/>
              <w:jc w:val="right"/>
            </w:pPr>
            <w:r>
              <w:rPr>
                <w:sz w:val="18"/>
                <w:szCs w:val="18"/>
              </w:rPr>
              <w:t xml:space="preserve">4,735</w:t>
            </w:r>
          </w:p>
        </w:tc>
        <w:tc>
          <w:tcPr>
            <w:tcW w:w="1700" w:type="dxa"/>
            <w:vAlign w:val="center"/>
          </w:tcPr>
          <w:p>
            <w:pPr>
              <w:spacing w:before="0" w:after="0"/>
              <w:jc w:val="right"/>
            </w:pPr>
            <w:r>
              <w:rPr>
                <w:sz w:val="18"/>
                <w:szCs w:val="18"/>
              </w:rPr>
              <w:t xml:space="preserve">1,185</w:t>
            </w:r>
          </w:p>
        </w:tc>
      </w:tr>
      <w:tr>
        <w:tc>
          <w:tcPr>
            <w:tcW w:w="4872" w:type="dxa"/>
            <w:vAlign w:val="center"/>
          </w:tcPr>
          <w:p>
            <w:pPr>
              <w:spacing w:before="0" w:after="0"/>
              <w:jc w:val="left"/>
            </w:pPr>
            <w:r>
              <w:rPr>
                <w:sz w:val="18"/>
                <w:szCs w:val="18"/>
              </w:rPr>
              <w:t xml:space="preserve">Repayments of long-term debt</w:t>
            </w:r>
          </w:p>
        </w:tc>
        <w:tc>
          <w:tcPr>
            <w:tcW w:w="800" w:type="dxa"/>
            <w:vAlign w:val="center"/>
          </w:tcPr>
          <w:p>
            <w:pPr>
              <w:spacing w:before="0" w:after="0"/>
              <w:jc w:val="left"/>
            </w:pPr>
            <w:r>
              <w:rPr>
                <w:sz w:val="18"/>
                <w:szCs w:val="18"/>
              </w:rPr>
              <w:t xml:space="preserve"/>
            </w:r>
          </w:p>
        </w:tc>
        <w:tc>
          <w:tcPr>
            <w:tcW w:w="1700" w:type="dxa"/>
            <w:vAlign w:val="center"/>
          </w:tcPr>
          <w:p>
            <w:pPr>
              <w:spacing w:before="0" w:after="0"/>
              <w:jc w:val="right"/>
            </w:pPr>
            <w:r>
              <w:rPr>
                <w:sz w:val="18"/>
                <w:szCs w:val="18"/>
              </w:rPr>
              <w:t xml:space="preserve">(3,796)</w:t>
            </w:r>
          </w:p>
        </w:tc>
        <w:tc>
          <w:tcPr>
            <w:tcW w:w="1700" w:type="dxa"/>
            <w:vAlign w:val="center"/>
          </w:tcPr>
          <w:p>
            <w:pPr>
              <w:spacing w:before="0" w:after="0"/>
              <w:jc w:val="right"/>
            </w:pPr>
            <w:r>
              <w:rPr>
                <w:sz w:val="18"/>
                <w:szCs w:val="18"/>
              </w:rPr>
              <w:t xml:space="preserve">(4,532)</w:t>
            </w:r>
          </w:p>
        </w:tc>
      </w:tr>
      <w:tr>
        <w:tc>
          <w:tcPr>
            <w:tcW w:w="4872" w:type="dxa"/>
            <w:vAlign w:val="center"/>
          </w:tcPr>
          <w:p>
            <w:pPr>
              <w:spacing w:before="0" w:after="0"/>
              <w:jc w:val="left"/>
            </w:pPr>
            <w:r>
              <w:rPr>
                <w:sz w:val="18"/>
                <w:szCs w:val="18"/>
              </w:rPr>
              <w:t xml:space="preserve">Dividends paid</w:t>
            </w:r>
          </w:p>
        </w:tc>
        <w:tc>
          <w:tcPr>
            <w:tcW w:w="800" w:type="dxa"/>
            <w:vAlign w:val="center"/>
          </w:tcPr>
          <w:p>
            <w:pPr>
              <w:spacing w:before="0" w:after="0"/>
              <w:jc w:val="left"/>
            </w:pPr>
            <w:r>
              <w:rPr>
                <w:sz w:val="18"/>
                <w:szCs w:val="18"/>
              </w:rPr>
              <w:t xml:space="preserve"/>
            </w:r>
          </w:p>
        </w:tc>
        <w:tc>
          <w:tcPr>
            <w:tcW w:w="1700" w:type="dxa"/>
            <w:vAlign w:val="center"/>
          </w:tcPr>
          <w:p>
            <w:pPr>
              <w:spacing w:before="0" w:after="0"/>
              <w:jc w:val="right"/>
            </w:pPr>
            <w:r>
              <w:rPr>
                <w:sz w:val="18"/>
                <w:szCs w:val="18"/>
              </w:rPr>
              <w:t xml:space="preserve">(3,244)</w:t>
            </w:r>
          </w:p>
        </w:tc>
        <w:tc>
          <w:tcPr>
            <w:tcW w:w="1700" w:type="dxa"/>
            <w:vAlign w:val="center"/>
          </w:tcPr>
          <w:p>
            <w:pPr>
              <w:spacing w:before="0" w:after="0"/>
              <w:jc w:val="right"/>
            </w:pPr>
            <w:r>
              <w:rPr>
                <w:sz w:val="18"/>
                <w:szCs w:val="18"/>
              </w:rPr>
              <w:t xml:space="preserve">(3,744)</w:t>
            </w:r>
          </w:p>
        </w:tc>
      </w:tr>
      <w:tr>
        <w:tc>
          <w:tcPr>
            <w:tcW w:w="4872" w:type="dxa"/>
            <w:vAlign w:val="center"/>
          </w:tcPr>
          <w:p>
            <w:pPr>
              <w:spacing w:before="0" w:after="0"/>
              <w:jc w:val="left"/>
            </w:pPr>
            <w:r>
              <w:rPr>
                <w:sz w:val="18"/>
                <w:szCs w:val="18"/>
              </w:rPr>
              <w:t xml:space="preserve">Proceeds from exercise of stock options</w:t>
            </w:r>
          </w:p>
        </w:tc>
        <w:tc>
          <w:tcPr>
            <w:tcW w:w="800" w:type="dxa"/>
            <w:vAlign w:val="center"/>
          </w:tcPr>
          <w:p>
            <w:pPr>
              <w:spacing w:before="0" w:after="0"/>
              <w:jc w:val="left"/>
            </w:pPr>
            <w:r>
              <w:rPr>
                <w:sz w:val="18"/>
                <w:szCs w:val="18"/>
              </w:rPr>
              <w:t xml:space="preserve"/>
            </w:r>
          </w:p>
        </w:tc>
        <w:tc>
          <w:tcPr>
            <w:tcW w:w="1700" w:type="dxa"/>
            <w:vAlign w:val="center"/>
          </w:tcPr>
          <w:p>
            <w:pPr>
              <w:spacing w:before="0" w:after="0"/>
              <w:jc w:val="right"/>
            </w:pPr>
            <w:r>
              <w:rPr>
                <w:sz w:val="18"/>
                <w:szCs w:val="18"/>
              </w:rPr>
              <w:t xml:space="preserve">372</w:t>
            </w:r>
          </w:p>
        </w:tc>
        <w:tc>
          <w:tcPr>
            <w:tcW w:w="1700" w:type="dxa"/>
            <w:vAlign w:val="center"/>
          </w:tcPr>
          <w:p>
            <w:pPr>
              <w:spacing w:before="0" w:after="0"/>
              <w:jc w:val="right"/>
            </w:pPr>
            <w:r>
              <w:rPr>
                <w:sz w:val="18"/>
                <w:szCs w:val="18"/>
              </w:rPr>
              <w:t xml:space="preserve">364</w:t>
            </w:r>
          </w:p>
        </w:tc>
      </w:tr>
      <w:tr>
        <w:tc>
          <w:tcPr>
            <w:tcW w:w="4872" w:type="dxa"/>
            <w:vAlign w:val="center"/>
          </w:tcPr>
          <w:p>
            <w:pPr>
              <w:spacing w:before="0" w:after="0"/>
              <w:jc w:val="left"/>
            </w:pPr>
            <w:r>
              <w:rPr>
                <w:b/>
                <w:sz w:val="18"/>
                <w:szCs w:val="18"/>
              </w:rPr>
              <w:t xml:space="preserve">Net cash used in financing activities</w:t>
            </w:r>
          </w:p>
        </w:tc>
        <w:tc>
          <w:tcPr>
            <w:tcW w:w="800" w:type="dxa"/>
            <w:vAlign w:val="center"/>
          </w:tcPr>
          <w:p>
            <w:pPr>
              <w:spacing w:before="0" w:after="0"/>
              <w:jc w:val="left"/>
            </w:pPr>
            <w:r>
              <w:rPr>
                <w:b/>
                <w:sz w:val="18"/>
                <w:szCs w:val="18"/>
              </w:rPr>
              <w:t xml:space="preserve"/>
            </w:r>
          </w:p>
        </w:tc>
        <w:tc>
          <w:tcPr>
            <w:tcW w:w="1700" w:type="dxa"/>
            <w:vAlign w:val="center"/>
          </w:tcPr>
          <w:p>
            <w:pPr>
              <w:spacing w:before="0" w:after="0"/>
              <w:jc w:val="right"/>
            </w:pPr>
            <w:r>
              <w:rPr>
                <w:b/>
                <w:sz w:val="18"/>
                <w:szCs w:val="18"/>
              </w:rPr>
              <w:t xml:space="preserve">(1,932)</w:t>
            </w:r>
          </w:p>
        </w:tc>
        <w:tc>
          <w:tcPr>
            <w:tcW w:w="1700" w:type="dxa"/>
            <w:vAlign w:val="center"/>
          </w:tcPr>
          <w:p>
            <w:pPr>
              <w:spacing w:before="0" w:after="0"/>
              <w:jc w:val="right"/>
            </w:pPr>
            <w:r>
              <w:rPr>
                <w:b/>
                <w:sz w:val="18"/>
                <w:szCs w:val="18"/>
              </w:rPr>
              <w:t xml:space="preserve">(6,727)</w:t>
            </w:r>
          </w:p>
        </w:tc>
      </w:tr>
      <w:tr>
        <w:tc>
          <w:tcPr>
            <w:tcW w:w="4872" w:type="dxa"/>
            <w:vAlign w:val="center"/>
          </w:tcPr>
          <w:p>
            <w:pPr>
              <w:spacing w:before="0" w:after="0"/>
              <w:jc w:val="left"/>
            </w:pPr>
            <w:r>
              <w:rPr>
                <w:b/>
                <w:sz w:val="18"/>
                <w:szCs w:val="18"/>
              </w:rPr>
              <w:t xml:space="preserve">Net increase (decrease) in cash and cash equivalents</w:t>
            </w:r>
          </w:p>
        </w:tc>
        <w:tc>
          <w:tcPr>
            <w:tcW w:w="800" w:type="dxa"/>
            <w:vAlign w:val="center"/>
          </w:tcPr>
          <w:p>
            <w:pPr>
              <w:spacing w:before="0" w:after="0"/>
              <w:jc w:val="left"/>
            </w:pPr>
            <w:r>
              <w:rPr>
                <w:b/>
                <w:sz w:val="18"/>
                <w:szCs w:val="18"/>
              </w:rPr>
              <w:t xml:space="preserve"/>
            </w:r>
          </w:p>
        </w:tc>
        <w:tc>
          <w:tcPr>
            <w:tcW w:w="1700" w:type="dxa"/>
            <w:vAlign w:val="center"/>
          </w:tcPr>
          <w:p>
            <w:pPr>
              <w:spacing w:before="0" w:after="0"/>
              <w:jc w:val="right"/>
            </w:pPr>
            <w:r>
              <w:rPr>
                <w:b/>
                <w:sz w:val="18"/>
                <w:szCs w:val="18"/>
              </w:rPr>
              <w:t xml:space="preserve">9,686</w:t>
            </w:r>
          </w:p>
        </w:tc>
        <w:tc>
          <w:tcPr>
            <w:tcW w:w="1700" w:type="dxa"/>
            <w:vAlign w:val="center"/>
          </w:tcPr>
          <w:p>
            <w:pPr>
              <w:spacing w:before="0" w:after="0"/>
              <w:jc w:val="right"/>
            </w:pPr>
            <w:r>
              <w:rPr>
                <w:b/>
                <w:sz w:val="18"/>
                <w:szCs w:val="18"/>
              </w:rPr>
              <w:t xml:space="preserve">14,212</w:t>
            </w:r>
          </w:p>
        </w:tc>
      </w:tr>
      <w:tr>
        <w:tc>
          <w:tcPr>
            <w:tcW w:w="4872" w:type="dxa"/>
            <w:vAlign w:val="center"/>
          </w:tcPr>
          <w:p>
            <w:pPr>
              <w:spacing w:before="0" w:after="0"/>
              <w:jc w:val="left"/>
            </w:pPr>
            <w:r>
              <w:rPr>
                <w:sz w:val="18"/>
                <w:szCs w:val="18"/>
              </w:rPr>
              <w:t xml:space="preserve">Cash and cash equivalents at beginning of period</w:t>
            </w:r>
          </w:p>
        </w:tc>
        <w:tc>
          <w:tcPr>
            <w:tcW w:w="800" w:type="dxa"/>
            <w:vAlign w:val="center"/>
          </w:tcPr>
          <w:p>
            <w:pPr>
              <w:spacing w:before="0" w:after="0"/>
              <w:jc w:val="left"/>
            </w:pPr>
            <w:r>
              <w:rPr>
                <w:sz w:val="18"/>
                <w:szCs w:val="18"/>
              </w:rPr>
              <w:t xml:space="preserve"/>
            </w:r>
          </w:p>
        </w:tc>
        <w:tc>
          <w:tcPr>
            <w:tcW w:w="1700" w:type="dxa"/>
            <w:vAlign w:val="center"/>
          </w:tcPr>
          <w:p>
            <w:pPr>
              <w:spacing w:before="0" w:after="0"/>
              <w:jc w:val="right"/>
            </w:pPr>
            <w:r>
              <w:rPr>
                <w:sz w:val="18"/>
                <w:szCs w:val="18"/>
              </w:rPr>
              <w:t xml:space="preserve">24,680</w:t>
            </w:r>
          </w:p>
        </w:tc>
        <w:tc>
          <w:tcPr>
            <w:tcW w:w="1700" w:type="dxa"/>
            <w:vAlign w:val="center"/>
          </w:tcPr>
          <w:p>
            <w:pPr>
              <w:spacing w:before="0" w:after="0"/>
              <w:jc w:val="right"/>
            </w:pPr>
            <w:r>
              <w:rPr>
                <w:sz w:val="18"/>
                <w:szCs w:val="18"/>
              </w:rPr>
              <w:t xml:space="preserve">33,951</w:t>
            </w:r>
          </w:p>
        </w:tc>
      </w:tr>
      <w:tr>
        <w:tc>
          <w:tcPr>
            <w:tcW w:w="4872" w:type="dxa"/>
            <w:vAlign w:val="center"/>
          </w:tcPr>
          <w:p>
            <w:pPr>
              <w:spacing w:before="0" w:after="0"/>
              <w:jc w:val="left"/>
            </w:pPr>
            <w:r>
              <w:rPr>
                <w:b/>
                <w:sz w:val="18"/>
                <w:szCs w:val="18"/>
              </w:rPr>
              <w:t xml:space="preserve">Cash and cash equivalents at end of period</w:t>
            </w:r>
          </w:p>
        </w:tc>
        <w:tc>
          <w:tcPr>
            <w:tcW w:w="800" w:type="dxa"/>
            <w:vAlign w:val="center"/>
          </w:tcPr>
          <w:p>
            <w:pPr>
              <w:spacing w:before="0" w:after="0"/>
              <w:jc w:val="left"/>
            </w:pPr>
            <w:r>
              <w:rPr>
                <w:b/>
                <w:sz w:val="18"/>
                <w:szCs w:val="18"/>
              </w:rPr>
              <w:t xml:space="preserve"/>
            </w:r>
          </w:p>
        </w:tc>
        <w:tc>
          <w:tcPr>
            <w:tcW w:w="1700" w:type="dxa"/>
            <w:vAlign w:val="center"/>
          </w:tcPr>
          <w:p>
            <w:pPr>
              <w:spacing w:before="0" w:after="0"/>
              <w:jc w:val="right"/>
            </w:pPr>
            <w:r>
              <w:rPr>
                <w:b/>
                <w:sz w:val="18"/>
                <w:szCs w:val="18"/>
              </w:rPr>
              <w:t xml:space="preserve">34,365</w:t>
            </w:r>
          </w:p>
        </w:tc>
        <w:tc>
          <w:tcPr>
            <w:tcW w:w="1700" w:type="dxa"/>
            <w:vAlign w:val="center"/>
          </w:tcPr>
          <w:p>
            <w:pPr>
              <w:spacing w:before="0" w:after="0"/>
              <w:jc w:val="right"/>
            </w:pPr>
            <w:r>
              <w:rPr>
                <w:b/>
                <w:sz w:val="18"/>
                <w:szCs w:val="18"/>
              </w:rPr>
              <w:t xml:space="preserve">48,163</w:t>
            </w:r>
          </w:p>
        </w:tc>
      </w:tr>
    </w:tbl>
    <w:p>
      <w:pPr/>
    </w:p>
    <w:p>
      <w:pPr>
        <w:pStyle w:val="Heading3"/>
        <w:keepNext/>
      </w:pPr>
      <w:r>
        <w:t xml:space="preserve">Notes to the Financial Statements</w:t>
      </w:r>
    </w:p>
    <w:p>
      <w:pPr>
        <w:keepNext/>
      </w:pPr>
      <w:r>
        <w:rPr>
          <w:b/>
        </w:rPr>
        <w:t xml:space="preserve">1. Summary of significant accounting policies</w:t>
      </w:r>
    </w:p>
    <w:p>
      <w:pPr>
        <w:ind w:left="0" w:firstLine="360"/>
      </w:pPr>
      <w:r>
        <w:t xml:space="preserve">Revenue from stores in the Lakeside region was $39,511 thousand, or 8.5% of total revenue. Revenue from loyalty rewards is deferred until the reward is redeemed or expires. Net cash used in investing activities was $12,727 thousand, primarily for purchases of property and equipment. Net cash used in financing activities was $9,726 thousand, reflecting repayments of the term loan and dividends paid. Baristas complete a four-week training course before working on the floor, and store managers complete a further course at the Northfield training center.</w:t>
      </w:r>
    </w:p>
    <w:p>
      <w:pPr>
        <w:ind w:left="0" w:firstLine="360"/>
      </w:pPr>
      <w:r>
        <w:t xml:space="preserve">Total revenue for the fiscal year was $25,614 thousand, an increase of 17.2% over the prior year, and operating income was $33,789 thousand, an increase of 20.9%. Revenue from loyalty rewards is deferred until the reward is redeemed or expires. Store operating expenses, which consist mainly of wages, benefits and supplies, were 34.0% of revenue, compared with 29.7% in the prior year. Net cash used in financing activities was $21,901 thousand, reflecting repayments of the term loan and dividends paid.</w:t>
      </w:r>
    </w:p>
    <w:p>
      <w:pPr>
        <w:ind w:left="0" w:firstLine="360"/>
      </w:pPr>
      <w:r>
        <w:t xml:space="preserve">Net cash used in financing activities was $10,453 thousand, reflecting repayments of the term loan and dividends paid. Capital expenditures totaled $24,651 thousand and consisted mainly of the build-out of new stores, the remodeling of existing stores and a second roasting line at the Northfield roastery. Energy use per store decreased 15.0% compared with the prior year, as older espresso machines and refrigerators were replaced with more efficient models. Occupancy costs increased to $26,451 thousand, reflecting rent for new stores and scheduled rent increases at existing locations.</w:t>
      </w:r>
    </w:p>
    <w:tbl>
      <w:tblPr>
        <w:tblW w:w="907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72" w:type="dxa"/>
          <w:right w:w="72" w:type="dxa"/>
        </w:tblCellMar>
      </w:tblPr>
      <w:tblGrid>
        <w:gridCol w:w="4072"/>
        <w:gridCol w:w="2500"/>
        <w:gridCol w:w="2500"/>
      </w:tblGrid>
      <w:tr>
        <w:trPr>
          <w:tblHeader/>
        </w:trPr>
        <w:tc>
          <w:tcPr>
            <w:tcW w:w="4072" w:type="dxa"/>
            <w:shd w:val="clear" w:color="auto" w:fill="DDEBF7"/>
            <w:vAlign w:val="center"/>
          </w:tcPr>
          <w:p>
            <w:pPr>
              <w:spacing w:before="0" w:after="0"/>
              <w:jc w:val="center"/>
            </w:pPr>
            <w:r>
              <w:rPr>
                <w:b/>
                <w:sz w:val="18"/>
                <w:szCs w:val="18"/>
              </w:rPr>
              <w:t xml:space="preserve">Item</w:t>
            </w:r>
          </w:p>
        </w:tc>
        <w:tc>
          <w:tcPr>
            <w:tcW w:w="2500" w:type="dxa"/>
            <w:shd w:val="clear" w:color="auto" w:fill="DDEBF7"/>
            <w:vAlign w:val="center"/>
          </w:tcPr>
          <w:p>
            <w:pPr>
              <w:spacing w:before="0" w:after="0"/>
              <w:jc w:val="center"/>
            </w:pPr>
            <w:r>
              <w:rPr>
                <w:b/>
                <w:sz w:val="18"/>
                <w:szCs w:val="18"/>
              </w:rPr>
              <w:t xml:space="preserve">FY2024</w:t>
            </w:r>
          </w:p>
        </w:tc>
        <w:tc>
          <w:tcPr>
            <w:tcW w:w="2500" w:type="dxa"/>
            <w:shd w:val="clear" w:color="auto" w:fill="DDEBF7"/>
            <w:vAlign w:val="center"/>
          </w:tcPr>
          <w:p>
            <w:pPr>
              <w:spacing w:before="0" w:after="0"/>
              <w:jc w:val="center"/>
            </w:pPr>
            <w:r>
              <w:rPr>
                <w:b/>
                <w:sz w:val="18"/>
                <w:szCs w:val="18"/>
              </w:rPr>
              <w:t xml:space="preserve">FY2025</w:t>
            </w:r>
          </w:p>
        </w:tc>
      </w:tr>
      <w:tr>
        <w:tc>
          <w:tcPr>
            <w:tcW w:w="4072" w:type="dxa"/>
            <w:vAlign w:val="center"/>
          </w:tcPr>
          <w:p>
            <w:pPr>
              <w:spacing w:before="0" w:after="0"/>
              <w:jc w:val="left"/>
            </w:pPr>
            <w:r>
              <w:rPr>
                <w:sz w:val="18"/>
                <w:szCs w:val="18"/>
              </w:rPr>
              <w:t xml:space="preserve">Current portion of operating lease liabilities</w:t>
            </w:r>
          </w:p>
        </w:tc>
        <w:tc>
          <w:tcPr>
            <w:tcW w:w="2500" w:type="dxa"/>
            <w:vAlign w:val="center"/>
          </w:tcPr>
          <w:p>
            <w:pPr>
              <w:spacing w:before="0" w:after="0"/>
              <w:jc w:val="right"/>
            </w:pPr>
            <w:r>
              <w:rPr>
                <w:sz w:val="18"/>
                <w:szCs w:val="18"/>
              </w:rPr>
              <w:t xml:space="preserve">8,921</w:t>
            </w:r>
          </w:p>
        </w:tc>
        <w:tc>
          <w:tcPr>
            <w:tcW w:w="2500" w:type="dxa"/>
            <w:vAlign w:val="center"/>
          </w:tcPr>
          <w:p>
            <w:pPr>
              <w:spacing w:before="0" w:after="0"/>
              <w:jc w:val="right"/>
            </w:pPr>
            <w:r>
              <w:rPr>
                <w:sz w:val="18"/>
                <w:szCs w:val="18"/>
              </w:rPr>
              <w:t xml:space="preserve">10,594</w:t>
            </w:r>
          </w:p>
        </w:tc>
      </w:tr>
      <w:tr>
        <w:tc>
          <w:tcPr>
            <w:tcW w:w="4072" w:type="dxa"/>
            <w:vAlign w:val="center"/>
          </w:tcPr>
          <w:p>
            <w:pPr>
              <w:spacing w:before="0" w:after="0"/>
              <w:jc w:val="left"/>
            </w:pPr>
            <w:r>
              <w:rPr>
                <w:sz w:val="18"/>
                <w:szCs w:val="18"/>
              </w:rPr>
              <w:t xml:space="preserve">Deferred revenue (gift cards and loyalty)</w:t>
            </w:r>
          </w:p>
        </w:tc>
        <w:tc>
          <w:tcPr>
            <w:tcW w:w="2500" w:type="dxa"/>
            <w:vAlign w:val="center"/>
          </w:tcPr>
          <w:p>
            <w:pPr>
              <w:spacing w:before="0" w:after="0"/>
              <w:jc w:val="right"/>
            </w:pPr>
            <w:r>
              <w:rPr>
                <w:sz w:val="18"/>
                <w:szCs w:val="18"/>
              </w:rPr>
              <w:t xml:space="preserve">11,615</w:t>
            </w:r>
          </w:p>
        </w:tc>
        <w:tc>
          <w:tcPr>
            <w:tcW w:w="2500" w:type="dxa"/>
            <w:vAlign w:val="center"/>
          </w:tcPr>
          <w:p>
            <w:pPr>
              <w:spacing w:before="0" w:after="0"/>
              <w:jc w:val="right"/>
            </w:pPr>
            <w:r>
              <w:rPr>
                <w:sz w:val="18"/>
                <w:szCs w:val="18"/>
              </w:rPr>
              <w:t xml:space="preserve">13,255</w:t>
            </w:r>
          </w:p>
        </w:tc>
      </w:tr>
      <w:tr>
        <w:tc>
          <w:tcPr>
            <w:tcW w:w="4072" w:type="dxa"/>
            <w:vAlign w:val="center"/>
          </w:tcPr>
          <w:p>
            <w:pPr>
              <w:spacing w:before="0" w:after="0"/>
              <w:jc w:val="left"/>
            </w:pPr>
            <w:r>
              <w:rPr>
                <w:sz w:val="18"/>
                <w:szCs w:val="18"/>
              </w:rPr>
              <w:t xml:space="preserve">Prepaid expenses and other current assets</w:t>
            </w:r>
          </w:p>
        </w:tc>
        <w:tc>
          <w:tcPr>
            <w:tcW w:w="2500" w:type="dxa"/>
            <w:vAlign w:val="center"/>
          </w:tcPr>
          <w:p>
            <w:pPr>
              <w:spacing w:before="0" w:after="0"/>
              <w:jc w:val="right"/>
            </w:pPr>
            <w:r>
              <w:rPr>
                <w:sz w:val="18"/>
                <w:szCs w:val="18"/>
              </w:rPr>
              <w:t xml:space="preserve">11,910</w:t>
            </w:r>
          </w:p>
        </w:tc>
        <w:tc>
          <w:tcPr>
            <w:tcW w:w="2500" w:type="dxa"/>
            <w:vAlign w:val="center"/>
          </w:tcPr>
          <w:p>
            <w:pPr>
              <w:spacing w:before="0" w:after="0"/>
              <w:jc w:val="right"/>
            </w:pPr>
            <w:r>
              <w:rPr>
                <w:sz w:val="18"/>
                <w:szCs w:val="18"/>
              </w:rPr>
              <w:t xml:space="preserve">12,124</w:t>
            </w:r>
          </w:p>
        </w:tc>
      </w:tr>
      <w:tr>
        <w:tc>
          <w:tcPr>
            <w:tcW w:w="4072" w:type="dxa"/>
            <w:vAlign w:val="center"/>
          </w:tcPr>
          <w:p>
            <w:pPr>
              <w:spacing w:before="0" w:after="0"/>
              <w:jc w:val="left"/>
            </w:pPr>
            <w:r>
              <w:rPr>
                <w:sz w:val="18"/>
                <w:szCs w:val="18"/>
              </w:rPr>
              <w:t xml:space="preserve">Deferred income taxes</w:t>
            </w:r>
          </w:p>
        </w:tc>
        <w:tc>
          <w:tcPr>
            <w:tcW w:w="2500" w:type="dxa"/>
            <w:vAlign w:val="center"/>
          </w:tcPr>
          <w:p>
            <w:pPr>
              <w:spacing w:before="0" w:after="0"/>
              <w:jc w:val="right"/>
            </w:pPr>
            <w:r>
              <w:rPr>
                <w:sz w:val="18"/>
                <w:szCs w:val="18"/>
              </w:rPr>
              <w:t xml:space="preserve">8,190</w:t>
            </w:r>
          </w:p>
        </w:tc>
        <w:tc>
          <w:tcPr>
            <w:tcW w:w="2500" w:type="dxa"/>
            <w:vAlign w:val="center"/>
          </w:tcPr>
          <w:p>
            <w:pPr>
              <w:spacing w:before="0" w:after="0"/>
              <w:jc w:val="right"/>
            </w:pPr>
            <w:r>
              <w:rPr>
                <w:sz w:val="18"/>
                <w:szCs w:val="18"/>
              </w:rPr>
              <w:t xml:space="preserve">8,322</w:t>
            </w:r>
          </w:p>
        </w:tc>
      </w:tr>
      <w:tr>
        <w:tc>
          <w:tcPr>
            <w:tcW w:w="4072" w:type="dxa"/>
            <w:vAlign w:val="center"/>
          </w:tcPr>
          <w:p>
            <w:pPr>
              <w:spacing w:before="0" w:after="0"/>
              <w:jc w:val="left"/>
            </w:pPr>
            <w:r>
              <w:rPr>
                <w:sz w:val="18"/>
                <w:szCs w:val="18"/>
              </w:rPr>
              <w:t xml:space="preserve">Deferred revenue (gift cards and loyalty)</w:t>
            </w:r>
          </w:p>
        </w:tc>
        <w:tc>
          <w:tcPr>
            <w:tcW w:w="2500" w:type="dxa"/>
            <w:vAlign w:val="center"/>
          </w:tcPr>
          <w:p>
            <w:pPr>
              <w:spacing w:before="0" w:after="0"/>
              <w:jc w:val="right"/>
            </w:pPr>
            <w:r>
              <w:rPr>
                <w:sz w:val="18"/>
                <w:szCs w:val="18"/>
              </w:rPr>
              <w:t xml:space="preserve">27,381</w:t>
            </w:r>
          </w:p>
        </w:tc>
        <w:tc>
          <w:tcPr>
            <w:tcW w:w="2500" w:type="dxa"/>
            <w:vAlign w:val="center"/>
          </w:tcPr>
          <w:p>
            <w:pPr>
              <w:spacing w:before="0" w:after="0"/>
              <w:jc w:val="right"/>
            </w:pPr>
            <w:r>
              <w:rPr>
                <w:sz w:val="18"/>
                <w:szCs w:val="18"/>
              </w:rPr>
              <w:t xml:space="preserve">31,975</w:t>
            </w:r>
          </w:p>
        </w:tc>
      </w:tr>
      <w:tr>
        <w:tc>
          <w:tcPr>
            <w:tcW w:w="4072" w:type="dxa"/>
            <w:vAlign w:val="center"/>
          </w:tcPr>
          <w:p>
            <w:pPr>
              <w:spacing w:before="0" w:after="0"/>
              <w:jc w:val="left"/>
            </w:pPr>
            <w:r>
              <w:rPr>
                <w:sz w:val="18"/>
                <w:szCs w:val="18"/>
              </w:rPr>
              <w:t xml:space="preserve">Accrued payroll and benefits</w:t>
            </w:r>
          </w:p>
        </w:tc>
        <w:tc>
          <w:tcPr>
            <w:tcW w:w="2500" w:type="dxa"/>
            <w:vAlign w:val="center"/>
          </w:tcPr>
          <w:p>
            <w:pPr>
              <w:spacing w:before="0" w:after="0"/>
              <w:jc w:val="right"/>
            </w:pPr>
            <w:r>
              <w:rPr>
                <w:sz w:val="18"/>
                <w:szCs w:val="18"/>
              </w:rPr>
              <w:t xml:space="preserve">6,674</w:t>
            </w:r>
          </w:p>
        </w:tc>
        <w:tc>
          <w:tcPr>
            <w:tcW w:w="2500" w:type="dxa"/>
            <w:vAlign w:val="center"/>
          </w:tcPr>
          <w:p>
            <w:pPr>
              <w:spacing w:before="0" w:after="0"/>
              <w:jc w:val="right"/>
            </w:pPr>
            <w:r>
              <w:rPr>
                <w:sz w:val="18"/>
                <w:szCs w:val="18"/>
              </w:rPr>
              <w:t xml:space="preserve">7,827</w:t>
            </w:r>
          </w:p>
        </w:tc>
      </w:tr>
    </w:tbl>
    <w:p>
      <w:pPr/>
    </w:p>
    <w:p>
      <w:pPr>
        <w:keepNext/>
      </w:pPr>
      <w:r>
        <w:rPr>
          <w:b/>
        </w:rPr>
        <w:t xml:space="preserve">2. Revenue recognition</w:t>
      </w:r>
    </w:p>
    <w:p>
      <w:pPr>
        <w:ind w:left="0" w:firstLine="360"/>
      </w:pPr>
      <w:r>
        <w:t xml:space="preserve">Total assets at the end of the fiscal year were $146,866 thousand, an increase of $34,083 thousand from the end of the prior fiscal year. Store operating expenses, which consist mainly of wages, benefits and supplies, were 29.5% of revenue, compared with 35.7% in the prior year. Net cash provided by operating activities was $282,273 thousand, mainly reflecting net income and depreciation and amortization. The loyalty program had 236 thousand active members at the end of the fiscal year, and purchases by members accounted for 56.2% of store revenue. Inventories consist of green coffee, roasted coffee, packaging, food and merchandise, and are stated at the lower of cost and net realizable value.</w:t>
      </w:r>
    </w:p>
    <w:p>
      <w:pPr>
        <w:ind w:left="0" w:firstLine="360"/>
      </w:pPr>
      <w:r>
        <w:t xml:space="preserve">Comparable store sales increased 2.0%, driven by a 2.8% increase in average ticket and a 1.4% increase in transactions. During the fiscal year, Nimbus Coffee opened 14 new stores and closed 5 stores whose leases expired. Net cash used in investing activities was $3,668 thousand, primarily for purchases of property and equipment. The Company depends on a small number of dairy and bakery suppliers in each region, and an interruption in their deliveries could affect sales at the stores they serve. Net cash used in investing activities was $6,737 thousand, primarily for purchases of property and equipment.</w:t>
      </w:r>
    </w:p>
    <w:p>
      <w:pPr>
        <w:keepNext/>
      </w:pPr>
      <w:r>
        <w:rPr>
          <w:b/>
        </w:rPr>
        <w:t xml:space="preserve">3. Leases</w:t>
      </w:r>
    </w:p>
    <w:p>
      <w:pPr>
        <w:ind w:left="0" w:firstLine="360"/>
      </w:pPr>
      <w:r>
        <w:t xml:space="preserve">Net cash provided by operating activities was $165,048 thousand, mainly reflecting net income and depreciation and amortization. The roastery produced 172 thousand pounds of roasted coffee during the fiscal year, of which 7.7% was sold through company-operated stores. Energy use per store decreased 3.0% compared with the prior year, as older espresso machines and refrigerators were replaced with more efficient models. Baristas complete a four-week training course before working on the floor, and store managers complete a further course at the Northfield training center. Occupancy costs increased to $15,344 thousand, reflecting rent for new stores and scheduled rent increases at existing locations. Revenue from stores in the Northfield region increased 1.7% compared with the prior year, while its share of total revenue was little changed.</w:t>
      </w:r>
    </w:p>
    <w:p>
      <w:pPr>
        <w:ind w:left="0" w:firstLine="360"/>
      </w:pPr>
      <w:r>
        <w:t xml:space="preserve">Labor costs are affected by minimum wage laws in the regions where the stores are located, and further increases could reduce store margins. Baristas complete a four-week training course before working on the floor, and store managers complete a further course at the Northfield training center. The price of green coffee is volatile, and a sustained increase could reduce gross margin if Nimbus Coffee is unable to pass the cost on to customers through menu prices. Energy use per store decreased 11.3% compared with the prior year, as older espresso machines and refrigerators were replaced with more efficient models. Revenue from stores in the Harborview region increased 17.9% compared with the prior year, while its share of total revenue was little changed.</w:t>
      </w:r>
    </w:p>
    <w:tbl>
      <w:tblPr>
        <w:tblW w:w="907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72" w:type="dxa"/>
          <w:right w:w="72" w:type="dxa"/>
        </w:tblCellMar>
      </w:tblPr>
      <w:tblGrid>
        <w:gridCol w:w="4072"/>
        <w:gridCol w:w="2500"/>
        <w:gridCol w:w="2500"/>
      </w:tblGrid>
      <w:tr>
        <w:trPr>
          <w:tblHeader/>
        </w:trPr>
        <w:tc>
          <w:tcPr>
            <w:tcW w:w="4072" w:type="dxa"/>
            <w:shd w:val="clear" w:color="auto" w:fill="DDEBF7"/>
            <w:vAlign w:val="center"/>
          </w:tcPr>
          <w:p>
            <w:pPr>
              <w:spacing w:before="0" w:after="0"/>
              <w:jc w:val="center"/>
            </w:pPr>
            <w:r>
              <w:rPr>
                <w:b/>
                <w:sz w:val="18"/>
                <w:szCs w:val="18"/>
              </w:rPr>
              <w:t xml:space="preserve">Item</w:t>
            </w:r>
          </w:p>
        </w:tc>
        <w:tc>
          <w:tcPr>
            <w:tcW w:w="2500" w:type="dxa"/>
            <w:shd w:val="clear" w:color="auto" w:fill="DDEBF7"/>
            <w:vAlign w:val="center"/>
          </w:tcPr>
          <w:p>
            <w:pPr>
              <w:spacing w:before="0" w:after="0"/>
              <w:jc w:val="center"/>
            </w:pPr>
            <w:r>
              <w:rPr>
                <w:b/>
                <w:sz w:val="18"/>
                <w:szCs w:val="18"/>
              </w:rPr>
              <w:t xml:space="preserve">FY2024</w:t>
            </w:r>
          </w:p>
        </w:tc>
        <w:tc>
          <w:tcPr>
            <w:tcW w:w="2500" w:type="dxa"/>
            <w:shd w:val="clear" w:color="auto" w:fill="DDEBF7"/>
            <w:vAlign w:val="center"/>
          </w:tcPr>
          <w:p>
            <w:pPr>
              <w:spacing w:before="0" w:after="0"/>
              <w:jc w:val="center"/>
            </w:pPr>
            <w:r>
              <w:rPr>
                <w:b/>
                <w:sz w:val="18"/>
                <w:szCs w:val="18"/>
              </w:rPr>
              <w:t xml:space="preserve">FY2025</w:t>
            </w:r>
          </w:p>
        </w:tc>
      </w:tr>
      <w:tr>
        <w:tc>
          <w:tcPr>
            <w:tcW w:w="4072" w:type="dxa"/>
            <w:vAlign w:val="center"/>
          </w:tcPr>
          <w:p>
            <w:pPr>
              <w:spacing w:before="0" w:after="0"/>
              <w:jc w:val="left"/>
            </w:pPr>
            <w:r>
              <w:rPr>
                <w:sz w:val="18"/>
                <w:szCs w:val="18"/>
              </w:rPr>
              <w:t xml:space="preserve">Other accrued liabilities</w:t>
            </w:r>
          </w:p>
        </w:tc>
        <w:tc>
          <w:tcPr>
            <w:tcW w:w="2500" w:type="dxa"/>
            <w:vAlign w:val="center"/>
          </w:tcPr>
          <w:p>
            <w:pPr>
              <w:spacing w:before="0" w:after="0"/>
              <w:jc w:val="right"/>
            </w:pPr>
            <w:r>
              <w:rPr>
                <w:sz w:val="18"/>
                <w:szCs w:val="18"/>
              </w:rPr>
              <w:t xml:space="preserve">9,543</w:t>
            </w:r>
          </w:p>
        </w:tc>
        <w:tc>
          <w:tcPr>
            <w:tcW w:w="2500" w:type="dxa"/>
            <w:vAlign w:val="center"/>
          </w:tcPr>
          <w:p>
            <w:pPr>
              <w:spacing w:before="0" w:after="0"/>
              <w:jc w:val="right"/>
            </w:pPr>
            <w:r>
              <w:rPr>
                <w:sz w:val="18"/>
                <w:szCs w:val="18"/>
              </w:rPr>
              <w:t xml:space="preserve">10,406</w:t>
            </w:r>
          </w:p>
        </w:tc>
      </w:tr>
      <w:tr>
        <w:tc>
          <w:tcPr>
            <w:tcW w:w="4072" w:type="dxa"/>
            <w:vAlign w:val="center"/>
          </w:tcPr>
          <w:p>
            <w:pPr>
              <w:spacing w:before="0" w:after="0"/>
              <w:jc w:val="left"/>
            </w:pPr>
            <w:r>
              <w:rPr>
                <w:sz w:val="18"/>
                <w:szCs w:val="18"/>
              </w:rPr>
              <w:t xml:space="preserve">Deferred revenue (gift cards and loyalty)</w:t>
            </w:r>
          </w:p>
        </w:tc>
        <w:tc>
          <w:tcPr>
            <w:tcW w:w="2500" w:type="dxa"/>
            <w:vAlign w:val="center"/>
          </w:tcPr>
          <w:p>
            <w:pPr>
              <w:spacing w:before="0" w:after="0"/>
              <w:jc w:val="right"/>
            </w:pPr>
            <w:r>
              <w:rPr>
                <w:sz w:val="18"/>
                <w:szCs w:val="18"/>
              </w:rPr>
              <w:t xml:space="preserve">25,501</w:t>
            </w:r>
          </w:p>
        </w:tc>
        <w:tc>
          <w:tcPr>
            <w:tcW w:w="2500" w:type="dxa"/>
            <w:vAlign w:val="center"/>
          </w:tcPr>
          <w:p>
            <w:pPr>
              <w:spacing w:before="0" w:after="0"/>
              <w:jc w:val="right"/>
            </w:pPr>
            <w:r>
              <w:rPr>
                <w:sz w:val="18"/>
                <w:szCs w:val="18"/>
              </w:rPr>
              <w:t xml:space="preserve">27,803</w:t>
            </w:r>
          </w:p>
        </w:tc>
      </w:tr>
      <w:tr>
        <w:tc>
          <w:tcPr>
            <w:tcW w:w="4072" w:type="dxa"/>
            <w:vAlign w:val="center"/>
          </w:tcPr>
          <w:p>
            <w:pPr>
              <w:spacing w:before="0" w:after="0"/>
              <w:jc w:val="left"/>
            </w:pPr>
            <w:r>
              <w:rPr>
                <w:sz w:val="18"/>
                <w:szCs w:val="18"/>
              </w:rPr>
              <w:t xml:space="preserve">Long-term debt, net of current portion</w:t>
            </w:r>
          </w:p>
        </w:tc>
        <w:tc>
          <w:tcPr>
            <w:tcW w:w="2500" w:type="dxa"/>
            <w:vAlign w:val="center"/>
          </w:tcPr>
          <w:p>
            <w:pPr>
              <w:spacing w:before="0" w:after="0"/>
              <w:jc w:val="right"/>
            </w:pPr>
            <w:r>
              <w:rPr>
                <w:sz w:val="18"/>
                <w:szCs w:val="18"/>
              </w:rPr>
              <w:t xml:space="preserve">12,103</w:t>
            </w:r>
          </w:p>
        </w:tc>
        <w:tc>
          <w:tcPr>
            <w:tcW w:w="2500" w:type="dxa"/>
            <w:vAlign w:val="center"/>
          </w:tcPr>
          <w:p>
            <w:pPr>
              <w:spacing w:before="0" w:after="0"/>
              <w:jc w:val="right"/>
            </w:pPr>
            <w:r>
              <w:rPr>
                <w:sz w:val="18"/>
                <w:szCs w:val="18"/>
              </w:rPr>
              <w:t xml:space="preserve">12,269</w:t>
            </w:r>
          </w:p>
        </w:tc>
      </w:tr>
      <w:tr>
        <w:tc>
          <w:tcPr>
            <w:tcW w:w="4072" w:type="dxa"/>
            <w:vAlign w:val="center"/>
          </w:tcPr>
          <w:p>
            <w:pPr>
              <w:spacing w:before="0" w:after="0"/>
              <w:jc w:val="left"/>
            </w:pPr>
            <w:r>
              <w:rPr>
                <w:sz w:val="18"/>
                <w:szCs w:val="18"/>
              </w:rPr>
              <w:t xml:space="preserve">Income taxes payable</w:t>
            </w:r>
          </w:p>
        </w:tc>
        <w:tc>
          <w:tcPr>
            <w:tcW w:w="2500" w:type="dxa"/>
            <w:vAlign w:val="center"/>
          </w:tcPr>
          <w:p>
            <w:pPr>
              <w:spacing w:before="0" w:after="0"/>
              <w:jc w:val="right"/>
            </w:pPr>
            <w:r>
              <w:rPr>
                <w:sz w:val="18"/>
                <w:szCs w:val="18"/>
              </w:rPr>
              <w:t xml:space="preserve">12,699</w:t>
            </w:r>
          </w:p>
        </w:tc>
        <w:tc>
          <w:tcPr>
            <w:tcW w:w="2500" w:type="dxa"/>
            <w:vAlign w:val="center"/>
          </w:tcPr>
          <w:p>
            <w:pPr>
              <w:spacing w:before="0" w:after="0"/>
              <w:jc w:val="right"/>
            </w:pPr>
            <w:r>
              <w:rPr>
                <w:sz w:val="18"/>
                <w:szCs w:val="18"/>
              </w:rPr>
              <w:t xml:space="preserve">13,324</w:t>
            </w:r>
          </w:p>
        </w:tc>
      </w:tr>
      <w:tr>
        <w:tc>
          <w:tcPr>
            <w:tcW w:w="4072" w:type="dxa"/>
            <w:vAlign w:val="center"/>
          </w:tcPr>
          <w:p>
            <w:pPr>
              <w:spacing w:before="0" w:after="0"/>
              <w:jc w:val="left"/>
            </w:pPr>
            <w:r>
              <w:rPr>
                <w:sz w:val="18"/>
                <w:szCs w:val="18"/>
              </w:rPr>
              <w:t xml:space="preserve">Inventories</w:t>
            </w:r>
          </w:p>
        </w:tc>
        <w:tc>
          <w:tcPr>
            <w:tcW w:w="2500" w:type="dxa"/>
            <w:vAlign w:val="center"/>
          </w:tcPr>
          <w:p>
            <w:pPr>
              <w:spacing w:before="0" w:after="0"/>
              <w:jc w:val="right"/>
            </w:pPr>
            <w:r>
              <w:rPr>
                <w:sz w:val="18"/>
                <w:szCs w:val="18"/>
              </w:rPr>
              <w:t xml:space="preserve">31,526</w:t>
            </w:r>
          </w:p>
        </w:tc>
        <w:tc>
          <w:tcPr>
            <w:tcW w:w="2500" w:type="dxa"/>
            <w:vAlign w:val="center"/>
          </w:tcPr>
          <w:p>
            <w:pPr>
              <w:spacing w:before="0" w:after="0"/>
              <w:jc w:val="right"/>
            </w:pPr>
            <w:r>
              <w:rPr>
                <w:sz w:val="18"/>
                <w:szCs w:val="18"/>
              </w:rPr>
              <w:t xml:space="preserve">32,285</w:t>
            </w:r>
          </w:p>
        </w:tc>
      </w:tr>
      <w:tr>
        <w:tc>
          <w:tcPr>
            <w:tcW w:w="4072" w:type="dxa"/>
            <w:vAlign w:val="center"/>
          </w:tcPr>
          <w:p>
            <w:pPr>
              <w:spacing w:before="0" w:after="0"/>
              <w:jc w:val="left"/>
            </w:pPr>
            <w:r>
              <w:rPr>
                <w:sz w:val="18"/>
                <w:szCs w:val="18"/>
              </w:rPr>
              <w:t xml:space="preserve">Deferred rent and asset retirement obligations</w:t>
            </w:r>
          </w:p>
        </w:tc>
        <w:tc>
          <w:tcPr>
            <w:tcW w:w="2500" w:type="dxa"/>
            <w:vAlign w:val="center"/>
          </w:tcPr>
          <w:p>
            <w:pPr>
              <w:spacing w:before="0" w:after="0"/>
              <w:jc w:val="right"/>
            </w:pPr>
            <w:r>
              <w:rPr>
                <w:sz w:val="18"/>
                <w:szCs w:val="18"/>
              </w:rPr>
              <w:t xml:space="preserve">21,707</w:t>
            </w:r>
          </w:p>
        </w:tc>
        <w:tc>
          <w:tcPr>
            <w:tcW w:w="2500" w:type="dxa"/>
            <w:vAlign w:val="center"/>
          </w:tcPr>
          <w:p>
            <w:pPr>
              <w:spacing w:before="0" w:after="0"/>
              <w:jc w:val="right"/>
            </w:pPr>
            <w:r>
              <w:rPr>
                <w:sz w:val="18"/>
                <w:szCs w:val="18"/>
              </w:rPr>
              <w:t xml:space="preserve">24,049</w:t>
            </w:r>
          </w:p>
        </w:tc>
      </w:tr>
    </w:tbl>
    <w:p>
      <w:pPr/>
    </w:p>
    <w:p>
      <w:pPr>
        <w:keepNext/>
      </w:pPr>
      <w:r>
        <w:rPr>
          <w:b/>
        </w:rPr>
        <w:t xml:space="preserve">4. Fair value measurements</w:t>
      </w:r>
    </w:p>
    <w:p>
      <w:pPr>
        <w:ind w:left="0" w:firstLine="360"/>
      </w:pPr>
      <w:r>
        <w:t xml:space="preserve">During the fiscal year, the Group opened 7 new stores and closed 4 stores whose leases expired. The Group depends on a small number of dairy and bakery suppliers in each region, and an interruption in their deliveries could affect sales at the stores they serve. Revenue from loyalty rewards is deferred until the reward is redeemed or expires.</w:t>
      </w:r>
    </w:p>
    <w:p>
      <w:pPr>
        <w:ind w:left="0" w:firstLine="360"/>
      </w:pPr>
      <w:r>
        <w:t xml:space="preserve">Weather affects customer traffic: cold drinks sell best in summer, while hot beverages and whole beans sell best from October through February. Total assets at the end of the fiscal year were $189,516 thousand, an increase of $23,801 thousand from the end of the prior fiscal year. Merchandise sales, consisting of mugs, brewing equipment and seasonal gift sets, are highest in the fourth quarter of each year. Weather affects customer traffic: cold drinks sell best in summer, while hot beverages and whole beans sell best from October through February. Total revenue for the fiscal year was $33,347 thousand, an increase of 1.3% over the prior year, and operating income was $26,948 thousand, an increase of 14.1%.</w:t>
      </w:r>
    </w:p>
    <w:p>
      <w:pPr>
        <w:keepNext/>
      </w:pPr>
      <w:r>
        <w:rPr>
          <w:b/>
        </w:rPr>
        <w:t xml:space="preserve">5. Inventories</w:t>
      </w:r>
    </w:p>
    <w:p>
      <w:pPr>
        <w:ind w:left="0" w:firstLine="360"/>
      </w:pPr>
      <w:r>
        <w:t xml:space="preserve">The price of green coffee is volatile, and a sustained increase could reduce gross margin if the Group is unable to pass the cost on to customers through menu prices. New stores generally reach the sales level of a mature store within eighteen to twenty-four months of opening. The Company holds no derivatives other than coffee futures contracts used to fix the price of part of its future green coffee purchases. Revenue from the Merchandise category was $52,535 thousand, or 27.0% of total revenue. Comparable store sales increased 4.5%, driven by a 0.7% increase in average ticket and a 3.2% increase in transactions.</w:t>
      </w:r>
    </w:p>
    <w:p>
      <w:pPr>
        <w:ind w:left="0" w:firstLine="360"/>
      </w:pPr>
      <w:r>
        <w:t xml:space="preserve">Each store is managed by a store manager who reports to a district manager, and district managers report to the director for their region. The Company depends on a small number of dairy and bakery suppliers in each region, and an interruption in their deliveries could affect sales at the stores they serve. Nimbus Coffee depends on a small number of dairy and bakery suppliers in each region, and an interruption in their deliveries could affect sales at the stores they serve. The Group operates specialty coffee shops under the Nimbus Coffee name and roasts all of the coffee it serves at its own roastery in Northfield. Total assets at the end of the fiscal year were $157,169 thousand, an increase of $22,892 thousand from the end of the prior fiscal year.</w:t>
      </w:r>
    </w:p>
    <w:p>
      <w:pPr>
        <w:ind w:left="0" w:firstLine="360"/>
      </w:pPr>
      <w:r>
        <w:t xml:space="preserve">The loyalty program had 612 thousand active members at the end of the fiscal year, and purchases by members accounted for 58.8% of store revenue. At the end of the fiscal year, the Group operated 196 company-operated stores in eight regions: Northfield, Eastbay, Southport, Westridge, Lakeside, Hillcrest, Riverside and Harborview. Food safety incidents, whether or not they occur at our stores, could harm the reputation of the Nimbus Coffee brand and reduce customer traffic.</w:t>
      </w:r>
    </w:p>
    <w:tbl>
      <w:tblPr>
        <w:tblW w:w="907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72" w:type="dxa"/>
          <w:right w:w="72" w:type="dxa"/>
        </w:tblCellMar>
      </w:tblPr>
      <w:tblGrid>
        <w:gridCol w:w="4072"/>
        <w:gridCol w:w="2500"/>
        <w:gridCol w:w="2500"/>
      </w:tblGrid>
      <w:tr>
        <w:trPr>
          <w:tblHeader/>
        </w:trPr>
        <w:tc>
          <w:tcPr>
            <w:tcW w:w="4072" w:type="dxa"/>
            <w:shd w:val="clear" w:color="auto" w:fill="DDEBF7"/>
            <w:vAlign w:val="center"/>
          </w:tcPr>
          <w:p>
            <w:pPr>
              <w:spacing w:before="0" w:after="0"/>
              <w:jc w:val="center"/>
            </w:pPr>
            <w:r>
              <w:rPr>
                <w:b/>
                <w:sz w:val="18"/>
                <w:szCs w:val="18"/>
              </w:rPr>
              <w:t xml:space="preserve">Item</w:t>
            </w:r>
          </w:p>
        </w:tc>
        <w:tc>
          <w:tcPr>
            <w:tcW w:w="2500" w:type="dxa"/>
            <w:shd w:val="clear" w:color="auto" w:fill="DDEBF7"/>
            <w:vAlign w:val="center"/>
          </w:tcPr>
          <w:p>
            <w:pPr>
              <w:spacing w:before="0" w:after="0"/>
              <w:jc w:val="center"/>
            </w:pPr>
            <w:r>
              <w:rPr>
                <w:b/>
                <w:sz w:val="18"/>
                <w:szCs w:val="18"/>
              </w:rPr>
              <w:t xml:space="preserve">FY2024</w:t>
            </w:r>
          </w:p>
        </w:tc>
        <w:tc>
          <w:tcPr>
            <w:tcW w:w="2500" w:type="dxa"/>
            <w:shd w:val="clear" w:color="auto" w:fill="DDEBF7"/>
            <w:vAlign w:val="center"/>
          </w:tcPr>
          <w:p>
            <w:pPr>
              <w:spacing w:before="0" w:after="0"/>
              <w:jc w:val="center"/>
            </w:pPr>
            <w:r>
              <w:rPr>
                <w:b/>
                <w:sz w:val="18"/>
                <w:szCs w:val="18"/>
              </w:rPr>
              <w:t xml:space="preserve">FY2025</w:t>
            </w:r>
          </w:p>
        </w:tc>
      </w:tr>
      <w:tr>
        <w:tc>
          <w:tcPr>
            <w:tcW w:w="4072" w:type="dxa"/>
            <w:vAlign w:val="center"/>
          </w:tcPr>
          <w:p>
            <w:pPr>
              <w:spacing w:before="0" w:after="0"/>
              <w:jc w:val="left"/>
            </w:pPr>
            <w:r>
              <w:rPr>
                <w:sz w:val="18"/>
                <w:szCs w:val="18"/>
              </w:rPr>
              <w:t xml:space="preserve">Current portion of operating lease liabilities</w:t>
            </w:r>
          </w:p>
        </w:tc>
        <w:tc>
          <w:tcPr>
            <w:tcW w:w="2500" w:type="dxa"/>
            <w:vAlign w:val="center"/>
          </w:tcPr>
          <w:p>
            <w:pPr>
              <w:spacing w:before="0" w:after="0"/>
              <w:jc w:val="right"/>
            </w:pPr>
            <w:r>
              <w:rPr>
                <w:sz w:val="18"/>
                <w:szCs w:val="18"/>
              </w:rPr>
              <w:t xml:space="preserve">4,467</w:t>
            </w:r>
          </w:p>
        </w:tc>
        <w:tc>
          <w:tcPr>
            <w:tcW w:w="2500" w:type="dxa"/>
            <w:vAlign w:val="center"/>
          </w:tcPr>
          <w:p>
            <w:pPr>
              <w:spacing w:before="0" w:after="0"/>
              <w:jc w:val="right"/>
            </w:pPr>
            <w:r>
              <w:rPr>
                <w:sz w:val="18"/>
                <w:szCs w:val="18"/>
              </w:rPr>
              <w:t xml:space="preserve">5,020</w:t>
            </w:r>
          </w:p>
        </w:tc>
      </w:tr>
      <w:tr>
        <w:tc>
          <w:tcPr>
            <w:tcW w:w="4072" w:type="dxa"/>
            <w:vAlign w:val="center"/>
          </w:tcPr>
          <w:p>
            <w:pPr>
              <w:spacing w:before="0" w:after="0"/>
              <w:jc w:val="left"/>
            </w:pPr>
            <w:r>
              <w:rPr>
                <w:sz w:val="18"/>
                <w:szCs w:val="18"/>
              </w:rPr>
              <w:t xml:space="preserve">Deferred revenue (gift cards and loyalty)</w:t>
            </w:r>
          </w:p>
        </w:tc>
        <w:tc>
          <w:tcPr>
            <w:tcW w:w="2500" w:type="dxa"/>
            <w:vAlign w:val="center"/>
          </w:tcPr>
          <w:p>
            <w:pPr>
              <w:spacing w:before="0" w:after="0"/>
              <w:jc w:val="right"/>
            </w:pPr>
            <w:r>
              <w:rPr>
                <w:sz w:val="18"/>
                <w:szCs w:val="18"/>
              </w:rPr>
              <w:t xml:space="preserve">25,370</w:t>
            </w:r>
          </w:p>
        </w:tc>
        <w:tc>
          <w:tcPr>
            <w:tcW w:w="2500" w:type="dxa"/>
            <w:vAlign w:val="center"/>
          </w:tcPr>
          <w:p>
            <w:pPr>
              <w:spacing w:before="0" w:after="0"/>
              <w:jc w:val="right"/>
            </w:pPr>
            <w:r>
              <w:rPr>
                <w:sz w:val="18"/>
                <w:szCs w:val="18"/>
              </w:rPr>
              <w:t xml:space="preserve">29,902</w:t>
            </w:r>
          </w:p>
        </w:tc>
      </w:tr>
      <w:tr>
        <w:tc>
          <w:tcPr>
            <w:tcW w:w="4072" w:type="dxa"/>
            <w:vAlign w:val="center"/>
          </w:tcPr>
          <w:p>
            <w:pPr>
              <w:spacing w:before="0" w:after="0"/>
              <w:jc w:val="left"/>
            </w:pPr>
            <w:r>
              <w:rPr>
                <w:sz w:val="18"/>
                <w:szCs w:val="18"/>
              </w:rPr>
              <w:t xml:space="preserve">Income taxes payable</w:t>
            </w:r>
          </w:p>
        </w:tc>
        <w:tc>
          <w:tcPr>
            <w:tcW w:w="2500" w:type="dxa"/>
            <w:vAlign w:val="center"/>
          </w:tcPr>
          <w:p>
            <w:pPr>
              <w:spacing w:before="0" w:after="0"/>
              <w:jc w:val="right"/>
            </w:pPr>
            <w:r>
              <w:rPr>
                <w:sz w:val="18"/>
                <w:szCs w:val="18"/>
              </w:rPr>
              <w:t xml:space="preserve">9,820</w:t>
            </w:r>
          </w:p>
        </w:tc>
        <w:tc>
          <w:tcPr>
            <w:tcW w:w="2500" w:type="dxa"/>
            <w:vAlign w:val="center"/>
          </w:tcPr>
          <w:p>
            <w:pPr>
              <w:spacing w:before="0" w:after="0"/>
              <w:jc w:val="right"/>
            </w:pPr>
            <w:r>
              <w:rPr>
                <w:sz w:val="18"/>
                <w:szCs w:val="18"/>
              </w:rPr>
              <w:t xml:space="preserve">10,053</w:t>
            </w:r>
          </w:p>
        </w:tc>
      </w:tr>
      <w:tr>
        <w:tc>
          <w:tcPr>
            <w:tcW w:w="4072" w:type="dxa"/>
            <w:vAlign w:val="center"/>
          </w:tcPr>
          <w:p>
            <w:pPr>
              <w:spacing w:before="0" w:after="0"/>
              <w:jc w:val="left"/>
            </w:pPr>
            <w:r>
              <w:rPr>
                <w:sz w:val="18"/>
                <w:szCs w:val="18"/>
              </w:rPr>
              <w:t xml:space="preserve">Operating lease right-of-use assets</w:t>
            </w:r>
          </w:p>
        </w:tc>
        <w:tc>
          <w:tcPr>
            <w:tcW w:w="2500" w:type="dxa"/>
            <w:vAlign w:val="center"/>
          </w:tcPr>
          <w:p>
            <w:pPr>
              <w:spacing w:before="0" w:after="0"/>
              <w:jc w:val="right"/>
            </w:pPr>
            <w:r>
              <w:rPr>
                <w:sz w:val="18"/>
                <w:szCs w:val="18"/>
              </w:rPr>
              <w:t xml:space="preserve">6,543</w:t>
            </w:r>
          </w:p>
        </w:tc>
        <w:tc>
          <w:tcPr>
            <w:tcW w:w="2500" w:type="dxa"/>
            <w:vAlign w:val="center"/>
          </w:tcPr>
          <w:p>
            <w:pPr>
              <w:spacing w:before="0" w:after="0"/>
              <w:jc w:val="right"/>
            </w:pPr>
            <w:r>
              <w:rPr>
                <w:sz w:val="18"/>
                <w:szCs w:val="18"/>
              </w:rPr>
              <w:t xml:space="preserve">6,870</w:t>
            </w:r>
          </w:p>
        </w:tc>
      </w:tr>
      <w:tr>
        <w:tc>
          <w:tcPr>
            <w:tcW w:w="4072" w:type="dxa"/>
            <w:vAlign w:val="center"/>
          </w:tcPr>
          <w:p>
            <w:pPr>
              <w:spacing w:before="0" w:after="0"/>
              <w:jc w:val="left"/>
            </w:pPr>
            <w:r>
              <w:rPr>
                <w:sz w:val="18"/>
                <w:szCs w:val="18"/>
              </w:rPr>
              <w:t xml:space="preserve">Deferred revenue (gift cards and loyalty)</w:t>
            </w:r>
          </w:p>
        </w:tc>
        <w:tc>
          <w:tcPr>
            <w:tcW w:w="2500" w:type="dxa"/>
            <w:vAlign w:val="center"/>
          </w:tcPr>
          <w:p>
            <w:pPr>
              <w:spacing w:before="0" w:after="0"/>
              <w:jc w:val="right"/>
            </w:pPr>
            <w:r>
              <w:rPr>
                <w:sz w:val="18"/>
                <w:szCs w:val="18"/>
              </w:rPr>
              <w:t xml:space="preserve">4,177</w:t>
            </w:r>
          </w:p>
        </w:tc>
        <w:tc>
          <w:tcPr>
            <w:tcW w:w="2500" w:type="dxa"/>
            <w:vAlign w:val="center"/>
          </w:tcPr>
          <w:p>
            <w:pPr>
              <w:spacing w:before="0" w:after="0"/>
              <w:jc w:val="right"/>
            </w:pPr>
            <w:r>
              <w:rPr>
                <w:sz w:val="18"/>
                <w:szCs w:val="18"/>
              </w:rPr>
              <w:t xml:space="preserve">4,611</w:t>
            </w:r>
          </w:p>
        </w:tc>
      </w:tr>
      <w:tr>
        <w:tc>
          <w:tcPr>
            <w:tcW w:w="4072" w:type="dxa"/>
            <w:vAlign w:val="center"/>
          </w:tcPr>
          <w:p>
            <w:pPr>
              <w:spacing w:before="0" w:after="0"/>
              <w:jc w:val="left"/>
            </w:pPr>
            <w:r>
              <w:rPr>
                <w:sz w:val="18"/>
                <w:szCs w:val="18"/>
              </w:rPr>
              <w:t xml:space="preserve">Other long-term liabilities</w:t>
            </w:r>
          </w:p>
        </w:tc>
        <w:tc>
          <w:tcPr>
            <w:tcW w:w="2500" w:type="dxa"/>
            <w:vAlign w:val="center"/>
          </w:tcPr>
          <w:p>
            <w:pPr>
              <w:spacing w:before="0" w:after="0"/>
              <w:jc w:val="right"/>
            </w:pPr>
            <w:r>
              <w:rPr>
                <w:sz w:val="18"/>
                <w:szCs w:val="18"/>
              </w:rPr>
              <w:t xml:space="preserve">12,429</w:t>
            </w:r>
          </w:p>
        </w:tc>
        <w:tc>
          <w:tcPr>
            <w:tcW w:w="2500" w:type="dxa"/>
            <w:vAlign w:val="center"/>
          </w:tcPr>
          <w:p>
            <w:pPr>
              <w:spacing w:before="0" w:after="0"/>
              <w:jc w:val="right"/>
            </w:pPr>
            <w:r>
              <w:rPr>
                <w:sz w:val="18"/>
                <w:szCs w:val="18"/>
              </w:rPr>
              <w:t xml:space="preserve">14,683</w:t>
            </w:r>
          </w:p>
        </w:tc>
      </w:tr>
    </w:tbl>
    <w:p>
      <w:pPr/>
    </w:p>
    <w:p>
      <w:pPr>
        <w:keepNext/>
      </w:pPr>
      <w:r>
        <w:rPr>
          <w:b/>
        </w:rPr>
        <w:t xml:space="preserve">6. Property and equipment</w:t>
      </w:r>
    </w:p>
    <w:p>
      <w:pPr>
        <w:ind w:left="0" w:firstLine="360"/>
      </w:pPr>
      <w:r>
        <w:t xml:space="preserve">The Company operates specialty coffee shops under the Nimbus Coffee name and roasts all of the coffee it serves at its own roastery in Northfield. Each store is managed by a store manager who reports to a district manager, and district managers report to the director for their region. Capital expenditures totaled $24,692 thousand and consisted mainly of the build-out of new stores, the remodeling of existing stores and a second roasting line at the Northfield roastery.</w:t>
      </w:r>
    </w:p>
    <w:p>
      <w:pPr>
        <w:ind w:left="0" w:firstLine="360"/>
      </w:pPr>
      <w:r>
        <w:t xml:space="preserve">At the end of the fiscal year, Nimbus Coffee operated 194 company-operated stores in eight regions: Northfield, Eastbay, Southport, Westridge, Lakeside, Hillcrest, Riverside and Harborview. These forward-looking statements are based on information available as of the date of this statement, and actual results may differ materially because of many factors. Inventories consist of green coffee, roasted coffee, packaging, food and merchandise, and are stated at the lower of cost and net realizable value. Net cash provided by operating activities was $130,883 thousand, mainly reflecting net income and depreciation and amortization.</w:t>
      </w:r>
    </w:p>
    <w:p>
      <w:pPr>
        <w:keepNext/>
      </w:pPr>
      <w:r>
        <w:rPr>
          <w:b/>
        </w:rPr>
        <w:t xml:space="preserve">7. Goodwill and other intangible assets</w:t>
      </w:r>
    </w:p>
    <w:p>
      <w:pPr>
        <w:ind w:left="0" w:firstLine="360"/>
      </w:pPr>
      <w:r>
        <w:t xml:space="preserve">These forward-looking statements are based on information available as of the date of this statement, and actual results may differ materially because of many factors. Net cash provided by operating activities was $295,028 thousand, mainly reflecting net income and depreciation and amortization. At the end of the fiscal year, the Group operated 190 company-operated stores in eight regions: Northfield, Eastbay, Southport, Westridge, Lakeside, Hillcrest, Riverside and Harborview. Labor costs are affected by minimum wage laws in the regions where the stores are located, and further increases could reduce store margins. The ability of the Group to open new stores depends on finding suitable sites on acceptable lease terms and on hiring and training store managers.</w:t>
      </w:r>
    </w:p>
    <w:p>
      <w:pPr>
        <w:ind w:left="0" w:firstLine="360"/>
      </w:pPr>
      <w:r>
        <w:t xml:space="preserve">Orders placed through the online store, including orders for pickup in store and home delivery of whole beans, accounted for 38.9% of revenue in the Beverages and Beans categories. Capital expenditures totaled $17,814 thousand and consisted mainly of the build-out of new stores, the remodeling of existing stores and a second roasting line at the Northfield roastery. New stores generally reach the sales level of a mature store within eighteen to twenty-four months of opening. Revenue from the Beverages category was $36,005 thousand, or 61.9% of total revenue.</w:t>
      </w:r>
    </w:p>
    <w:tbl>
      <w:tblPr>
        <w:tblW w:w="907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72" w:type="dxa"/>
          <w:right w:w="72" w:type="dxa"/>
        </w:tblCellMar>
      </w:tblPr>
      <w:tblGrid>
        <w:gridCol w:w="4072"/>
        <w:gridCol w:w="2500"/>
        <w:gridCol w:w="2500"/>
      </w:tblGrid>
      <w:tr>
        <w:trPr>
          <w:tblHeader/>
        </w:trPr>
        <w:tc>
          <w:tcPr>
            <w:tcW w:w="4072" w:type="dxa"/>
            <w:shd w:val="clear" w:color="auto" w:fill="DDEBF7"/>
            <w:vAlign w:val="center"/>
          </w:tcPr>
          <w:p>
            <w:pPr>
              <w:spacing w:before="0" w:after="0"/>
              <w:jc w:val="center"/>
            </w:pPr>
            <w:r>
              <w:rPr>
                <w:b/>
                <w:sz w:val="18"/>
                <w:szCs w:val="18"/>
              </w:rPr>
              <w:t xml:space="preserve">Item</w:t>
            </w:r>
          </w:p>
        </w:tc>
        <w:tc>
          <w:tcPr>
            <w:tcW w:w="2500" w:type="dxa"/>
            <w:shd w:val="clear" w:color="auto" w:fill="DDEBF7"/>
            <w:vAlign w:val="center"/>
          </w:tcPr>
          <w:p>
            <w:pPr>
              <w:spacing w:before="0" w:after="0"/>
              <w:jc w:val="center"/>
            </w:pPr>
            <w:r>
              <w:rPr>
                <w:b/>
                <w:sz w:val="18"/>
                <w:szCs w:val="18"/>
              </w:rPr>
              <w:t xml:space="preserve">FY2024</w:t>
            </w:r>
          </w:p>
        </w:tc>
        <w:tc>
          <w:tcPr>
            <w:tcW w:w="2500" w:type="dxa"/>
            <w:shd w:val="clear" w:color="auto" w:fill="DDEBF7"/>
            <w:vAlign w:val="center"/>
          </w:tcPr>
          <w:p>
            <w:pPr>
              <w:spacing w:before="0" w:after="0"/>
              <w:jc w:val="center"/>
            </w:pPr>
            <w:r>
              <w:rPr>
                <w:b/>
                <w:sz w:val="18"/>
                <w:szCs w:val="18"/>
              </w:rPr>
              <w:t xml:space="preserve">FY2025</w:t>
            </w:r>
          </w:p>
        </w:tc>
      </w:tr>
      <w:tr>
        <w:tc>
          <w:tcPr>
            <w:tcW w:w="4072" w:type="dxa"/>
            <w:vAlign w:val="center"/>
          </w:tcPr>
          <w:p>
            <w:pPr>
              <w:spacing w:before="0" w:after="0"/>
              <w:jc w:val="left"/>
            </w:pPr>
            <w:r>
              <w:rPr>
                <w:sz w:val="18"/>
                <w:szCs w:val="18"/>
              </w:rPr>
              <w:t xml:space="preserve">Inventories</w:t>
            </w:r>
          </w:p>
        </w:tc>
        <w:tc>
          <w:tcPr>
            <w:tcW w:w="2500" w:type="dxa"/>
            <w:vAlign w:val="center"/>
          </w:tcPr>
          <w:p>
            <w:pPr>
              <w:spacing w:before="0" w:after="0"/>
              <w:jc w:val="right"/>
            </w:pPr>
            <w:r>
              <w:rPr>
                <w:sz w:val="18"/>
                <w:szCs w:val="18"/>
              </w:rPr>
              <w:t xml:space="preserve">13,665</w:t>
            </w:r>
          </w:p>
        </w:tc>
        <w:tc>
          <w:tcPr>
            <w:tcW w:w="2500" w:type="dxa"/>
            <w:vAlign w:val="center"/>
          </w:tcPr>
          <w:p>
            <w:pPr>
              <w:spacing w:before="0" w:after="0"/>
              <w:jc w:val="right"/>
            </w:pPr>
            <w:r>
              <w:rPr>
                <w:sz w:val="18"/>
                <w:szCs w:val="18"/>
              </w:rPr>
              <w:t xml:space="preserve">15,191</w:t>
            </w:r>
          </w:p>
        </w:tc>
      </w:tr>
      <w:tr>
        <w:tc>
          <w:tcPr>
            <w:tcW w:w="4072" w:type="dxa"/>
            <w:vAlign w:val="center"/>
          </w:tcPr>
          <w:p>
            <w:pPr>
              <w:spacing w:before="0" w:after="0"/>
              <w:jc w:val="left"/>
            </w:pPr>
            <w:r>
              <w:rPr>
                <w:sz w:val="18"/>
                <w:szCs w:val="18"/>
              </w:rPr>
              <w:t xml:space="preserve">Prepaid expenses and other current assets</w:t>
            </w:r>
          </w:p>
        </w:tc>
        <w:tc>
          <w:tcPr>
            <w:tcW w:w="2500" w:type="dxa"/>
            <w:vAlign w:val="center"/>
          </w:tcPr>
          <w:p>
            <w:pPr>
              <w:spacing w:before="0" w:after="0"/>
              <w:jc w:val="right"/>
            </w:pPr>
            <w:r>
              <w:rPr>
                <w:sz w:val="18"/>
                <w:szCs w:val="18"/>
              </w:rPr>
              <w:t xml:space="preserve">19,827</w:t>
            </w:r>
          </w:p>
        </w:tc>
        <w:tc>
          <w:tcPr>
            <w:tcW w:w="2500" w:type="dxa"/>
            <w:vAlign w:val="center"/>
          </w:tcPr>
          <w:p>
            <w:pPr>
              <w:spacing w:before="0" w:after="0"/>
              <w:jc w:val="right"/>
            </w:pPr>
            <w:r>
              <w:rPr>
                <w:sz w:val="18"/>
                <w:szCs w:val="18"/>
              </w:rPr>
              <w:t xml:space="preserve">21,705</w:t>
            </w:r>
          </w:p>
        </w:tc>
      </w:tr>
      <w:tr>
        <w:tc>
          <w:tcPr>
            <w:tcW w:w="4072" w:type="dxa"/>
            <w:vAlign w:val="center"/>
          </w:tcPr>
          <w:p>
            <w:pPr>
              <w:spacing w:before="0" w:after="0"/>
              <w:jc w:val="left"/>
            </w:pPr>
            <w:r>
              <w:rPr>
                <w:sz w:val="18"/>
                <w:szCs w:val="18"/>
              </w:rPr>
              <w:t xml:space="preserve">Income taxes payable</w:t>
            </w:r>
          </w:p>
        </w:tc>
        <w:tc>
          <w:tcPr>
            <w:tcW w:w="2500" w:type="dxa"/>
            <w:vAlign w:val="center"/>
          </w:tcPr>
          <w:p>
            <w:pPr>
              <w:spacing w:before="0" w:after="0"/>
              <w:jc w:val="right"/>
            </w:pPr>
            <w:r>
              <w:rPr>
                <w:sz w:val="18"/>
                <w:szCs w:val="18"/>
              </w:rPr>
              <w:t xml:space="preserve">33,040</w:t>
            </w:r>
          </w:p>
        </w:tc>
        <w:tc>
          <w:tcPr>
            <w:tcW w:w="2500" w:type="dxa"/>
            <w:vAlign w:val="center"/>
          </w:tcPr>
          <w:p>
            <w:pPr>
              <w:spacing w:before="0" w:after="0"/>
              <w:jc w:val="right"/>
            </w:pPr>
            <w:r>
              <w:rPr>
                <w:sz w:val="18"/>
                <w:szCs w:val="18"/>
              </w:rPr>
              <w:t xml:space="preserve">35,576</w:t>
            </w:r>
          </w:p>
        </w:tc>
      </w:tr>
      <w:tr>
        <w:tc>
          <w:tcPr>
            <w:tcW w:w="4072" w:type="dxa"/>
            <w:vAlign w:val="center"/>
          </w:tcPr>
          <w:p>
            <w:pPr>
              <w:spacing w:before="0" w:after="0"/>
              <w:jc w:val="left"/>
            </w:pPr>
            <w:r>
              <w:rPr>
                <w:sz w:val="18"/>
                <w:szCs w:val="18"/>
              </w:rPr>
              <w:t xml:space="preserve">Other long-term assets</w:t>
            </w:r>
          </w:p>
        </w:tc>
        <w:tc>
          <w:tcPr>
            <w:tcW w:w="2500" w:type="dxa"/>
            <w:vAlign w:val="center"/>
          </w:tcPr>
          <w:p>
            <w:pPr>
              <w:spacing w:before="0" w:after="0"/>
              <w:jc w:val="right"/>
            </w:pPr>
            <w:r>
              <w:rPr>
                <w:sz w:val="18"/>
                <w:szCs w:val="18"/>
              </w:rPr>
              <w:t xml:space="preserve">28,766</w:t>
            </w:r>
          </w:p>
        </w:tc>
        <w:tc>
          <w:tcPr>
            <w:tcW w:w="2500" w:type="dxa"/>
            <w:vAlign w:val="center"/>
          </w:tcPr>
          <w:p>
            <w:pPr>
              <w:spacing w:before="0" w:after="0"/>
              <w:jc w:val="right"/>
            </w:pPr>
            <w:r>
              <w:rPr>
                <w:sz w:val="18"/>
                <w:szCs w:val="18"/>
              </w:rPr>
              <w:t xml:space="preserve">31,377</w:t>
            </w:r>
          </w:p>
        </w:tc>
      </w:tr>
      <w:tr>
        <w:tc>
          <w:tcPr>
            <w:tcW w:w="4072" w:type="dxa"/>
            <w:vAlign w:val="center"/>
          </w:tcPr>
          <w:p>
            <w:pPr>
              <w:spacing w:before="0" w:after="0"/>
              <w:jc w:val="left"/>
            </w:pPr>
            <w:r>
              <w:rPr>
                <w:sz w:val="18"/>
                <w:szCs w:val="18"/>
              </w:rPr>
              <w:t xml:space="preserve">Cash and cash equivalents</w:t>
            </w:r>
          </w:p>
        </w:tc>
        <w:tc>
          <w:tcPr>
            <w:tcW w:w="2500" w:type="dxa"/>
            <w:vAlign w:val="center"/>
          </w:tcPr>
          <w:p>
            <w:pPr>
              <w:spacing w:before="0" w:after="0"/>
              <w:jc w:val="right"/>
            </w:pPr>
            <w:r>
              <w:rPr>
                <w:sz w:val="18"/>
                <w:szCs w:val="18"/>
              </w:rPr>
              <w:t xml:space="preserve">4,665</w:t>
            </w:r>
          </w:p>
        </w:tc>
        <w:tc>
          <w:tcPr>
            <w:tcW w:w="2500" w:type="dxa"/>
            <w:vAlign w:val="center"/>
          </w:tcPr>
          <w:p>
            <w:pPr>
              <w:spacing w:before="0" w:after="0"/>
              <w:jc w:val="right"/>
            </w:pPr>
            <w:r>
              <w:rPr>
                <w:sz w:val="18"/>
                <w:szCs w:val="18"/>
              </w:rPr>
              <w:t xml:space="preserve">4,817</w:t>
            </w:r>
          </w:p>
        </w:tc>
      </w:tr>
      <w:tr>
        <w:tc>
          <w:tcPr>
            <w:tcW w:w="4072" w:type="dxa"/>
            <w:vAlign w:val="center"/>
          </w:tcPr>
          <w:p>
            <w:pPr>
              <w:spacing w:before="0" w:after="0"/>
              <w:jc w:val="left"/>
            </w:pPr>
            <w:r>
              <w:rPr>
                <w:sz w:val="18"/>
                <w:szCs w:val="18"/>
              </w:rPr>
              <w:t xml:space="preserve">Other accrued liabilities</w:t>
            </w:r>
          </w:p>
        </w:tc>
        <w:tc>
          <w:tcPr>
            <w:tcW w:w="2500" w:type="dxa"/>
            <w:vAlign w:val="center"/>
          </w:tcPr>
          <w:p>
            <w:pPr>
              <w:spacing w:before="0" w:after="0"/>
              <w:jc w:val="right"/>
            </w:pPr>
            <w:r>
              <w:rPr>
                <w:sz w:val="18"/>
                <w:szCs w:val="18"/>
              </w:rPr>
              <w:t xml:space="preserve">23,181</w:t>
            </w:r>
          </w:p>
        </w:tc>
        <w:tc>
          <w:tcPr>
            <w:tcW w:w="2500" w:type="dxa"/>
            <w:vAlign w:val="center"/>
          </w:tcPr>
          <w:p>
            <w:pPr>
              <w:spacing w:before="0" w:after="0"/>
              <w:jc w:val="right"/>
            </w:pPr>
            <w:r>
              <w:rPr>
                <w:sz w:val="18"/>
                <w:szCs w:val="18"/>
              </w:rPr>
              <w:t xml:space="preserve">25,305</w:t>
            </w:r>
          </w:p>
        </w:tc>
      </w:tr>
    </w:tbl>
    <w:p>
      <w:pPr/>
    </w:p>
    <w:p>
      <w:pPr>
        <w:keepNext/>
      </w:pPr>
      <w:r>
        <w:rPr>
          <w:b/>
        </w:rPr>
        <w:t xml:space="preserve">8. Debt</w:t>
      </w:r>
    </w:p>
    <w:p>
      <w:pPr>
        <w:ind w:left="0" w:firstLine="360"/>
      </w:pPr>
      <w:r>
        <w:t xml:space="preserve">Energy use per store decreased 16.9% compared with the prior year, as older espresso machines and refrigerators were replaced with more efficient models. The ability of the Group to open new stores depends on finding suitable sites on acceptable lease terms and on hiring and training store managers. Revenue from loyalty rewards is deferred until the reward is redeemed or expires.</w:t>
      </w:r>
    </w:p>
    <w:p>
      <w:pPr>
        <w:ind w:left="0" w:firstLine="360"/>
      </w:pPr>
      <w:r>
        <w:t xml:space="preserve">Net cash provided by operating activities was $219,695 thousand, mainly reflecting net income and depreciation and amortization. These forward-looking statements are based on information available as of the date of this statement, and actual results may differ materially because of many factors. The ability of the Group to open new stores depends on finding suitable sites on acceptable lease terms and on hiring and training store managers. Revenue from loyalty rewards is deferred until the reward is redeemed or expires. The price of green coffee is volatile, and a sustained increase could reduce gross margin if the Group is unable to pass the cost on to customers through menu prices.</w:t>
      </w:r>
    </w:p>
    <w:p>
      <w:pPr>
        <w:keepNext/>
      </w:pPr>
      <w:r>
        <w:rPr>
          <w:b/>
        </w:rPr>
        <w:t xml:space="preserve">9. Stock-based compensation</w:t>
      </w:r>
    </w:p>
    <w:p>
      <w:pPr>
        <w:ind w:left="0" w:firstLine="360"/>
      </w:pPr>
      <w:r>
        <w:t xml:space="preserve">Net cash provided by operating activities was $243,310 thousand, mainly reflecting net income and depreciation and amortization. Net cash used in financing activities was $11,360 thousand, reflecting repayments of the term loan and dividends paid. Comparable store sales increased 0.9%, driven by a 0.7% increase in average ticket and a 2.8% increase in transactions.</w:t>
      </w:r>
    </w:p>
    <w:p>
      <w:pPr>
        <w:ind w:left="0" w:firstLine="360"/>
      </w:pPr>
      <w:r>
        <w:t xml:space="preserve">Total assets at the end of the fiscal year were $129,970 thousand, an increase of $35,618 thousand from the end of the prior fiscal year. Weather affects customer traffic: cold drinks sell best in summer, while hot beverages and whole beans sell best from October through February. Revenue from loyalty rewards is deferred until the reward is redeemed or expires. Orders placed through the online store, including orders for pickup in store and home delivery of whole beans, accounted for 33.3% of revenue in the Beverages and Beans categories.</w:t>
      </w:r>
    </w:p>
    <w:p>
      <w:pPr>
        <w:ind w:left="0" w:firstLine="360"/>
      </w:pPr>
      <w:r>
        <w:t xml:space="preserve">Weather affects customer traffic: cold drinks sell best in summer, while hot beverages and whole beans sell best from October through February. Net cash used in financing activities was $17,878 thousand, reflecting repayments of the term loan and dividends paid. Store operating expenses, which consist mainly of wages, benefits and supplies, were 30.3% of revenue, compared with 29.3% in the prior year.</w:t>
      </w:r>
    </w:p>
    <w:tbl>
      <w:tblPr>
        <w:tblW w:w="907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72" w:type="dxa"/>
          <w:right w:w="72" w:type="dxa"/>
        </w:tblCellMar>
      </w:tblPr>
      <w:tblGrid>
        <w:gridCol w:w="4072"/>
        <w:gridCol w:w="2500"/>
        <w:gridCol w:w="2500"/>
      </w:tblGrid>
      <w:tr>
        <w:trPr>
          <w:tblHeader/>
        </w:trPr>
        <w:tc>
          <w:tcPr>
            <w:tcW w:w="4072" w:type="dxa"/>
            <w:shd w:val="clear" w:color="auto" w:fill="DDEBF7"/>
            <w:vAlign w:val="center"/>
          </w:tcPr>
          <w:p>
            <w:pPr>
              <w:spacing w:before="0" w:after="0"/>
              <w:jc w:val="center"/>
            </w:pPr>
            <w:r>
              <w:rPr>
                <w:b/>
                <w:sz w:val="18"/>
                <w:szCs w:val="18"/>
              </w:rPr>
              <w:t xml:space="preserve">Item</w:t>
            </w:r>
          </w:p>
        </w:tc>
        <w:tc>
          <w:tcPr>
            <w:tcW w:w="2500" w:type="dxa"/>
            <w:shd w:val="clear" w:color="auto" w:fill="DDEBF7"/>
            <w:vAlign w:val="center"/>
          </w:tcPr>
          <w:p>
            <w:pPr>
              <w:spacing w:before="0" w:after="0"/>
              <w:jc w:val="center"/>
            </w:pPr>
            <w:r>
              <w:rPr>
                <w:b/>
                <w:sz w:val="18"/>
                <w:szCs w:val="18"/>
              </w:rPr>
              <w:t xml:space="preserve">FY2024</w:t>
            </w:r>
          </w:p>
        </w:tc>
        <w:tc>
          <w:tcPr>
            <w:tcW w:w="2500" w:type="dxa"/>
            <w:shd w:val="clear" w:color="auto" w:fill="DDEBF7"/>
            <w:vAlign w:val="center"/>
          </w:tcPr>
          <w:p>
            <w:pPr>
              <w:spacing w:before="0" w:after="0"/>
              <w:jc w:val="center"/>
            </w:pPr>
            <w:r>
              <w:rPr>
                <w:b/>
                <w:sz w:val="18"/>
                <w:szCs w:val="18"/>
              </w:rPr>
              <w:t xml:space="preserve">FY2025</w:t>
            </w:r>
          </w:p>
        </w:tc>
      </w:tr>
      <w:tr>
        <w:tc>
          <w:tcPr>
            <w:tcW w:w="4072" w:type="dxa"/>
            <w:vAlign w:val="center"/>
          </w:tcPr>
          <w:p>
            <w:pPr>
              <w:spacing w:before="0" w:after="0"/>
              <w:jc w:val="left"/>
            </w:pPr>
            <w:r>
              <w:rPr>
                <w:sz w:val="18"/>
                <w:szCs w:val="18"/>
              </w:rPr>
              <w:t xml:space="preserve">Deferred rent and asset retirement obligations</w:t>
            </w:r>
          </w:p>
        </w:tc>
        <w:tc>
          <w:tcPr>
            <w:tcW w:w="2500" w:type="dxa"/>
            <w:vAlign w:val="center"/>
          </w:tcPr>
          <w:p>
            <w:pPr>
              <w:spacing w:before="0" w:after="0"/>
              <w:jc w:val="right"/>
            </w:pPr>
            <w:r>
              <w:rPr>
                <w:sz w:val="18"/>
                <w:szCs w:val="18"/>
              </w:rPr>
              <w:t xml:space="preserve">14,262</w:t>
            </w:r>
          </w:p>
        </w:tc>
        <w:tc>
          <w:tcPr>
            <w:tcW w:w="2500" w:type="dxa"/>
            <w:vAlign w:val="center"/>
          </w:tcPr>
          <w:p>
            <w:pPr>
              <w:spacing w:before="0" w:after="0"/>
              <w:jc w:val="right"/>
            </w:pPr>
            <w:r>
              <w:rPr>
                <w:sz w:val="18"/>
                <w:szCs w:val="18"/>
              </w:rPr>
              <w:t xml:space="preserve">16,173</w:t>
            </w:r>
          </w:p>
        </w:tc>
      </w:tr>
      <w:tr>
        <w:tc>
          <w:tcPr>
            <w:tcW w:w="4072" w:type="dxa"/>
            <w:vAlign w:val="center"/>
          </w:tcPr>
          <w:p>
            <w:pPr>
              <w:spacing w:before="0" w:after="0"/>
              <w:jc w:val="left"/>
            </w:pPr>
            <w:r>
              <w:rPr>
                <w:sz w:val="18"/>
                <w:szCs w:val="18"/>
              </w:rPr>
              <w:t xml:space="preserve">Income taxes payable</w:t>
            </w:r>
          </w:p>
        </w:tc>
        <w:tc>
          <w:tcPr>
            <w:tcW w:w="2500" w:type="dxa"/>
            <w:vAlign w:val="center"/>
          </w:tcPr>
          <w:p>
            <w:pPr>
              <w:spacing w:before="0" w:after="0"/>
              <w:jc w:val="right"/>
            </w:pPr>
            <w:r>
              <w:rPr>
                <w:sz w:val="18"/>
                <w:szCs w:val="18"/>
              </w:rPr>
              <w:t xml:space="preserve">20,475</w:t>
            </w:r>
          </w:p>
        </w:tc>
        <w:tc>
          <w:tcPr>
            <w:tcW w:w="2500" w:type="dxa"/>
            <w:vAlign w:val="center"/>
          </w:tcPr>
          <w:p>
            <w:pPr>
              <w:spacing w:before="0" w:after="0"/>
              <w:jc w:val="right"/>
            </w:pPr>
            <w:r>
              <w:rPr>
                <w:sz w:val="18"/>
                <w:szCs w:val="18"/>
              </w:rPr>
              <w:t xml:space="preserve">23,344</w:t>
            </w:r>
          </w:p>
        </w:tc>
      </w:tr>
      <w:tr>
        <w:tc>
          <w:tcPr>
            <w:tcW w:w="4072" w:type="dxa"/>
            <w:vAlign w:val="center"/>
          </w:tcPr>
          <w:p>
            <w:pPr>
              <w:spacing w:before="0" w:after="0"/>
              <w:jc w:val="left"/>
            </w:pPr>
            <w:r>
              <w:rPr>
                <w:sz w:val="18"/>
                <w:szCs w:val="18"/>
              </w:rPr>
              <w:t xml:space="preserve">Deferred rent and asset retirement obligations</w:t>
            </w:r>
          </w:p>
        </w:tc>
        <w:tc>
          <w:tcPr>
            <w:tcW w:w="2500" w:type="dxa"/>
            <w:vAlign w:val="center"/>
          </w:tcPr>
          <w:p>
            <w:pPr>
              <w:spacing w:before="0" w:after="0"/>
              <w:jc w:val="right"/>
            </w:pPr>
            <w:r>
              <w:rPr>
                <w:sz w:val="18"/>
                <w:szCs w:val="18"/>
              </w:rPr>
              <w:t xml:space="preserve">8,140</w:t>
            </w:r>
          </w:p>
        </w:tc>
        <w:tc>
          <w:tcPr>
            <w:tcW w:w="2500" w:type="dxa"/>
            <w:vAlign w:val="center"/>
          </w:tcPr>
          <w:p>
            <w:pPr>
              <w:spacing w:before="0" w:after="0"/>
              <w:jc w:val="right"/>
            </w:pPr>
            <w:r>
              <w:rPr>
                <w:sz w:val="18"/>
                <w:szCs w:val="18"/>
              </w:rPr>
              <w:t xml:space="preserve">9,422</w:t>
            </w:r>
          </w:p>
        </w:tc>
      </w:tr>
      <w:tr>
        <w:tc>
          <w:tcPr>
            <w:tcW w:w="4072" w:type="dxa"/>
            <w:vAlign w:val="center"/>
          </w:tcPr>
          <w:p>
            <w:pPr>
              <w:spacing w:before="0" w:after="0"/>
              <w:jc w:val="left"/>
            </w:pPr>
            <w:r>
              <w:rPr>
                <w:sz w:val="18"/>
                <w:szCs w:val="18"/>
              </w:rPr>
              <w:t xml:space="preserve">Income taxes payable</w:t>
            </w:r>
          </w:p>
        </w:tc>
        <w:tc>
          <w:tcPr>
            <w:tcW w:w="2500" w:type="dxa"/>
            <w:vAlign w:val="center"/>
          </w:tcPr>
          <w:p>
            <w:pPr>
              <w:spacing w:before="0" w:after="0"/>
              <w:jc w:val="right"/>
            </w:pPr>
            <w:r>
              <w:rPr>
                <w:sz w:val="18"/>
                <w:szCs w:val="18"/>
              </w:rPr>
              <w:t xml:space="preserve">28,451</w:t>
            </w:r>
          </w:p>
        </w:tc>
        <w:tc>
          <w:tcPr>
            <w:tcW w:w="2500" w:type="dxa"/>
            <w:vAlign w:val="center"/>
          </w:tcPr>
          <w:p>
            <w:pPr>
              <w:spacing w:before="0" w:after="0"/>
              <w:jc w:val="right"/>
            </w:pPr>
            <w:r>
              <w:rPr>
                <w:sz w:val="18"/>
                <w:szCs w:val="18"/>
              </w:rPr>
              <w:t xml:space="preserve">30,758</w:t>
            </w:r>
          </w:p>
        </w:tc>
      </w:tr>
      <w:tr>
        <w:tc>
          <w:tcPr>
            <w:tcW w:w="4072" w:type="dxa"/>
            <w:vAlign w:val="center"/>
          </w:tcPr>
          <w:p>
            <w:pPr>
              <w:spacing w:before="0" w:after="0"/>
              <w:jc w:val="left"/>
            </w:pPr>
            <w:r>
              <w:rPr>
                <w:sz w:val="18"/>
                <w:szCs w:val="18"/>
              </w:rPr>
              <w:t xml:space="preserve">Current portion of operating lease liabilities</w:t>
            </w:r>
          </w:p>
        </w:tc>
        <w:tc>
          <w:tcPr>
            <w:tcW w:w="2500" w:type="dxa"/>
            <w:vAlign w:val="center"/>
          </w:tcPr>
          <w:p>
            <w:pPr>
              <w:spacing w:before="0" w:after="0"/>
              <w:jc w:val="right"/>
            </w:pPr>
            <w:r>
              <w:rPr>
                <w:sz w:val="18"/>
                <w:szCs w:val="18"/>
              </w:rPr>
              <w:t xml:space="preserve">27,186</w:t>
            </w:r>
          </w:p>
        </w:tc>
        <w:tc>
          <w:tcPr>
            <w:tcW w:w="2500" w:type="dxa"/>
            <w:vAlign w:val="center"/>
          </w:tcPr>
          <w:p>
            <w:pPr>
              <w:spacing w:before="0" w:after="0"/>
              <w:jc w:val="right"/>
            </w:pPr>
            <w:r>
              <w:rPr>
                <w:sz w:val="18"/>
                <w:szCs w:val="18"/>
              </w:rPr>
              <w:t xml:space="preserve">28,896</w:t>
            </w:r>
          </w:p>
        </w:tc>
      </w:tr>
      <w:tr>
        <w:tc>
          <w:tcPr>
            <w:tcW w:w="4072" w:type="dxa"/>
            <w:vAlign w:val="center"/>
          </w:tcPr>
          <w:p>
            <w:pPr>
              <w:spacing w:before="0" w:after="0"/>
              <w:jc w:val="left"/>
            </w:pPr>
            <w:r>
              <w:rPr>
                <w:sz w:val="18"/>
                <w:szCs w:val="18"/>
              </w:rPr>
              <w:t xml:space="preserve">Prepaid expenses and other current assets</w:t>
            </w:r>
          </w:p>
        </w:tc>
        <w:tc>
          <w:tcPr>
            <w:tcW w:w="2500" w:type="dxa"/>
            <w:vAlign w:val="center"/>
          </w:tcPr>
          <w:p>
            <w:pPr>
              <w:spacing w:before="0" w:after="0"/>
              <w:jc w:val="right"/>
            </w:pPr>
            <w:r>
              <w:rPr>
                <w:sz w:val="18"/>
                <w:szCs w:val="18"/>
              </w:rPr>
              <w:t xml:space="preserve">15,863</w:t>
            </w:r>
          </w:p>
        </w:tc>
        <w:tc>
          <w:tcPr>
            <w:tcW w:w="2500" w:type="dxa"/>
            <w:vAlign w:val="center"/>
          </w:tcPr>
          <w:p>
            <w:pPr>
              <w:spacing w:before="0" w:after="0"/>
              <w:jc w:val="right"/>
            </w:pPr>
            <w:r>
              <w:rPr>
                <w:sz w:val="18"/>
                <w:szCs w:val="18"/>
              </w:rPr>
              <w:t xml:space="preserve">17,498</w:t>
            </w:r>
          </w:p>
        </w:tc>
      </w:tr>
    </w:tbl>
    <w:p>
      <w:pPr/>
    </w:p>
    <w:p>
      <w:pPr>
        <w:keepNext/>
      </w:pPr>
      <w:r>
        <w:rPr>
          <w:b/>
        </w:rPr>
        <w:t xml:space="preserve">10. Income taxes</w:t>
      </w:r>
    </w:p>
    <w:p>
      <w:pPr>
        <w:ind w:left="0" w:firstLine="360"/>
      </w:pPr>
      <w:r>
        <w:t xml:space="preserve">Baristas complete a four-week training course before working on the floor, and store managers complete a further course at the Northfield training center. Nimbus Coffee depends on a small number of dairy and bakery suppliers in each region, and an interruption in their deliveries could affect sales at the stores they serve. Comparable store sales increased 1.8%, driven by a 4.1% increase in average ticket and a 2.1% increase in transactions. Capital expenditures totaled $3,164 thousand and consisted mainly of the build-out of new stores, the remodeling of existing stores and a second roasting line at the Northfield roastery. The Group intends to pay dividends out of retained earnings while keeping sufficient funds to finance the opening of new stores. Energy use per store decreased 16.9% compared with the prior year, as older espresso machines and refrigerators were replaced with more efficient models.</w:t>
      </w:r>
    </w:p>
    <w:p>
      <w:pPr>
        <w:ind w:left="0" w:firstLine="360"/>
      </w:pPr>
      <w:r>
        <w:t xml:space="preserve">The price of green coffee is volatile, and a sustained increase could reduce gross margin if the Group is unable to pass the cost on to customers through menu prices. These forward-looking statements are based on information available as of the date of this statement, and actual results may differ materially because of many factors. Nimbus Coffee holds no derivatives other than coffee futures contracts used to fix the price of part of its future green coffee purchases. Inventories consist of green coffee, roasted coffee, packaging, food and merchandise, and are stated at the lower of cost and net realizable value. Labor costs are affected by minimum wage laws in the regions where the stores are located, and further increases could reduce store margins.</w:t>
      </w:r>
    </w:p>
    <w:p>
      <w:pPr>
        <w:keepNext/>
      </w:pPr>
      <w:r>
        <w:rPr>
          <w:b/>
        </w:rPr>
        <w:t xml:space="preserve">11. Segment reporting</w:t>
      </w:r>
    </w:p>
    <w:p>
      <w:pPr>
        <w:ind w:left="0" w:firstLine="360"/>
      </w:pPr>
      <w:r>
        <w:t xml:space="preserve">Green coffee is purchased from exporters and cooperatives in Central America, South America and East Africa under fixed-price contracts that generally cover the next nine to twelve months of expected needs. Green coffee is purchased from exporters and cooperatives in Central America, South America and East Africa under fixed-price contracts that generally cover the next nine to twelve months of expected needs. The Company leases all of its store premises under operating leases with initial terms of ten years, most of which include options to renew. Energy use per store decreased 13.5% compared with the prior year, as older espresso machines and refrigerators were replaced with more efficient models. Total assets at the end of the fiscal year were $220,299 thousand, an increase of $14,396 thousand from the end of the prior fiscal year.</w:t>
      </w:r>
    </w:p>
    <w:p>
      <w:pPr>
        <w:ind w:left="0" w:firstLine="360"/>
      </w:pPr>
      <w:r>
        <w:t xml:space="preserve">The Group holds no derivatives other than coffee futures contracts used to fix the price of part of its future green coffee purchases. Comparable store sales increased 6.7%, driven by a 2.2% increase in average ticket and a 1.2% increase in transactions. Revenue from stores in the Eastbay region increased 13.6% compared with the prior year, while its share of total revenue was little changed. Labor costs are affected by minimum wage laws in the regions where the stores are located, and further increases could reduce store margins.</w:t>
      </w:r>
    </w:p>
    <w:tbl>
      <w:tblPr>
        <w:tblW w:w="907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72" w:type="dxa"/>
          <w:right w:w="72" w:type="dxa"/>
        </w:tblCellMar>
      </w:tblPr>
      <w:tblGrid>
        <w:gridCol w:w="4072"/>
        <w:gridCol w:w="2500"/>
        <w:gridCol w:w="2500"/>
      </w:tblGrid>
      <w:tr>
        <w:trPr>
          <w:tblHeader/>
        </w:trPr>
        <w:tc>
          <w:tcPr>
            <w:tcW w:w="4072" w:type="dxa"/>
            <w:shd w:val="clear" w:color="auto" w:fill="DDEBF7"/>
            <w:vAlign w:val="center"/>
          </w:tcPr>
          <w:p>
            <w:pPr>
              <w:spacing w:before="0" w:after="0"/>
              <w:jc w:val="center"/>
            </w:pPr>
            <w:r>
              <w:rPr>
                <w:b/>
                <w:sz w:val="18"/>
                <w:szCs w:val="18"/>
              </w:rPr>
              <w:t xml:space="preserve">Item</w:t>
            </w:r>
          </w:p>
        </w:tc>
        <w:tc>
          <w:tcPr>
            <w:tcW w:w="2500" w:type="dxa"/>
            <w:shd w:val="clear" w:color="auto" w:fill="DDEBF7"/>
            <w:vAlign w:val="center"/>
          </w:tcPr>
          <w:p>
            <w:pPr>
              <w:spacing w:before="0" w:after="0"/>
              <w:jc w:val="center"/>
            </w:pPr>
            <w:r>
              <w:rPr>
                <w:b/>
                <w:sz w:val="18"/>
                <w:szCs w:val="18"/>
              </w:rPr>
              <w:t xml:space="preserve">FY2024</w:t>
            </w:r>
          </w:p>
        </w:tc>
        <w:tc>
          <w:tcPr>
            <w:tcW w:w="2500" w:type="dxa"/>
            <w:shd w:val="clear" w:color="auto" w:fill="DDEBF7"/>
            <w:vAlign w:val="center"/>
          </w:tcPr>
          <w:p>
            <w:pPr>
              <w:spacing w:before="0" w:after="0"/>
              <w:jc w:val="center"/>
            </w:pPr>
            <w:r>
              <w:rPr>
                <w:b/>
                <w:sz w:val="18"/>
                <w:szCs w:val="18"/>
              </w:rPr>
              <w:t xml:space="preserve">FY2025</w:t>
            </w:r>
          </w:p>
        </w:tc>
      </w:tr>
      <w:tr>
        <w:tc>
          <w:tcPr>
            <w:tcW w:w="4072" w:type="dxa"/>
            <w:vAlign w:val="center"/>
          </w:tcPr>
          <w:p>
            <w:pPr>
              <w:spacing w:before="0" w:after="0"/>
              <w:jc w:val="left"/>
            </w:pPr>
            <w:r>
              <w:rPr>
                <w:sz w:val="18"/>
                <w:szCs w:val="18"/>
              </w:rPr>
              <w:t xml:space="preserve">Other accrued liabilities</w:t>
            </w:r>
          </w:p>
        </w:tc>
        <w:tc>
          <w:tcPr>
            <w:tcW w:w="2500" w:type="dxa"/>
            <w:vAlign w:val="center"/>
          </w:tcPr>
          <w:p>
            <w:pPr>
              <w:spacing w:before="0" w:after="0"/>
              <w:jc w:val="right"/>
            </w:pPr>
            <w:r>
              <w:rPr>
                <w:sz w:val="18"/>
                <w:szCs w:val="18"/>
              </w:rPr>
              <w:t xml:space="preserve">18,390</w:t>
            </w:r>
          </w:p>
        </w:tc>
        <w:tc>
          <w:tcPr>
            <w:tcW w:w="2500" w:type="dxa"/>
            <w:vAlign w:val="center"/>
          </w:tcPr>
          <w:p>
            <w:pPr>
              <w:spacing w:before="0" w:after="0"/>
              <w:jc w:val="right"/>
            </w:pPr>
            <w:r>
              <w:rPr>
                <w:sz w:val="18"/>
                <w:szCs w:val="18"/>
              </w:rPr>
              <w:t xml:space="preserve">18,757</w:t>
            </w:r>
          </w:p>
        </w:tc>
      </w:tr>
      <w:tr>
        <w:tc>
          <w:tcPr>
            <w:tcW w:w="4072" w:type="dxa"/>
            <w:vAlign w:val="center"/>
          </w:tcPr>
          <w:p>
            <w:pPr>
              <w:spacing w:before="0" w:after="0"/>
              <w:jc w:val="left"/>
            </w:pPr>
            <w:r>
              <w:rPr>
                <w:sz w:val="18"/>
                <w:szCs w:val="18"/>
              </w:rPr>
              <w:t xml:space="preserve">Other long-term assets</w:t>
            </w:r>
          </w:p>
        </w:tc>
        <w:tc>
          <w:tcPr>
            <w:tcW w:w="2500" w:type="dxa"/>
            <w:vAlign w:val="center"/>
          </w:tcPr>
          <w:p>
            <w:pPr>
              <w:spacing w:before="0" w:after="0"/>
              <w:jc w:val="right"/>
            </w:pPr>
            <w:r>
              <w:rPr>
                <w:sz w:val="18"/>
                <w:szCs w:val="18"/>
              </w:rPr>
              <w:t xml:space="preserve">13,622</w:t>
            </w:r>
          </w:p>
        </w:tc>
        <w:tc>
          <w:tcPr>
            <w:tcW w:w="2500" w:type="dxa"/>
            <w:vAlign w:val="center"/>
          </w:tcPr>
          <w:p>
            <w:pPr>
              <w:spacing w:before="0" w:after="0"/>
              <w:jc w:val="right"/>
            </w:pPr>
            <w:r>
              <w:rPr>
                <w:sz w:val="18"/>
                <w:szCs w:val="18"/>
              </w:rPr>
              <w:t xml:space="preserve">16,025</w:t>
            </w:r>
          </w:p>
        </w:tc>
      </w:tr>
      <w:tr>
        <w:tc>
          <w:tcPr>
            <w:tcW w:w="4072" w:type="dxa"/>
            <w:vAlign w:val="center"/>
          </w:tcPr>
          <w:p>
            <w:pPr>
              <w:spacing w:before="0" w:after="0"/>
              <w:jc w:val="left"/>
            </w:pPr>
            <w:r>
              <w:rPr>
                <w:sz w:val="18"/>
                <w:szCs w:val="18"/>
              </w:rPr>
              <w:t xml:space="preserve">Current portion of operating lease liabilities</w:t>
            </w:r>
          </w:p>
        </w:tc>
        <w:tc>
          <w:tcPr>
            <w:tcW w:w="2500" w:type="dxa"/>
            <w:vAlign w:val="center"/>
          </w:tcPr>
          <w:p>
            <w:pPr>
              <w:spacing w:before="0" w:after="0"/>
              <w:jc w:val="right"/>
            </w:pPr>
            <w:r>
              <w:rPr>
                <w:sz w:val="18"/>
                <w:szCs w:val="18"/>
              </w:rPr>
              <w:t xml:space="preserve">9,782</w:t>
            </w:r>
          </w:p>
        </w:tc>
        <w:tc>
          <w:tcPr>
            <w:tcW w:w="2500" w:type="dxa"/>
            <w:vAlign w:val="center"/>
          </w:tcPr>
          <w:p>
            <w:pPr>
              <w:spacing w:before="0" w:after="0"/>
              <w:jc w:val="right"/>
            </w:pPr>
            <w:r>
              <w:rPr>
                <w:sz w:val="18"/>
                <w:szCs w:val="18"/>
              </w:rPr>
              <w:t xml:space="preserve">10,933</w:t>
            </w:r>
          </w:p>
        </w:tc>
      </w:tr>
      <w:tr>
        <w:tc>
          <w:tcPr>
            <w:tcW w:w="4072" w:type="dxa"/>
            <w:vAlign w:val="center"/>
          </w:tcPr>
          <w:p>
            <w:pPr>
              <w:spacing w:before="0" w:after="0"/>
              <w:jc w:val="left"/>
            </w:pPr>
            <w:r>
              <w:rPr>
                <w:sz w:val="18"/>
                <w:szCs w:val="18"/>
              </w:rPr>
              <w:t xml:space="preserve">Prepaid expenses and other current assets</w:t>
            </w:r>
          </w:p>
        </w:tc>
        <w:tc>
          <w:tcPr>
            <w:tcW w:w="2500" w:type="dxa"/>
            <w:vAlign w:val="center"/>
          </w:tcPr>
          <w:p>
            <w:pPr>
              <w:spacing w:before="0" w:after="0"/>
              <w:jc w:val="right"/>
            </w:pPr>
            <w:r>
              <w:rPr>
                <w:sz w:val="18"/>
                <w:szCs w:val="18"/>
              </w:rPr>
              <w:t xml:space="preserve">15,342</w:t>
            </w:r>
          </w:p>
        </w:tc>
        <w:tc>
          <w:tcPr>
            <w:tcW w:w="2500" w:type="dxa"/>
            <w:vAlign w:val="center"/>
          </w:tcPr>
          <w:p>
            <w:pPr>
              <w:spacing w:before="0" w:after="0"/>
              <w:jc w:val="right"/>
            </w:pPr>
            <w:r>
              <w:rPr>
                <w:sz w:val="18"/>
                <w:szCs w:val="18"/>
              </w:rPr>
              <w:t xml:space="preserve">16,095</w:t>
            </w:r>
          </w:p>
        </w:tc>
      </w:tr>
      <w:tr>
        <w:tc>
          <w:tcPr>
            <w:tcW w:w="4072" w:type="dxa"/>
            <w:vAlign w:val="center"/>
          </w:tcPr>
          <w:p>
            <w:pPr>
              <w:spacing w:before="0" w:after="0"/>
              <w:jc w:val="left"/>
            </w:pPr>
            <w:r>
              <w:rPr>
                <w:sz w:val="18"/>
                <w:szCs w:val="18"/>
              </w:rPr>
              <w:t xml:space="preserve">Current portion of long-term debt</w:t>
            </w:r>
          </w:p>
        </w:tc>
        <w:tc>
          <w:tcPr>
            <w:tcW w:w="2500" w:type="dxa"/>
            <w:vAlign w:val="center"/>
          </w:tcPr>
          <w:p>
            <w:pPr>
              <w:spacing w:before="0" w:after="0"/>
              <w:jc w:val="right"/>
            </w:pPr>
            <w:r>
              <w:rPr>
                <w:sz w:val="18"/>
                <w:szCs w:val="18"/>
              </w:rPr>
              <w:t xml:space="preserve">10,416</w:t>
            </w:r>
          </w:p>
        </w:tc>
        <w:tc>
          <w:tcPr>
            <w:tcW w:w="2500" w:type="dxa"/>
            <w:vAlign w:val="center"/>
          </w:tcPr>
          <w:p>
            <w:pPr>
              <w:spacing w:before="0" w:after="0"/>
              <w:jc w:val="right"/>
            </w:pPr>
            <w:r>
              <w:rPr>
                <w:sz w:val="18"/>
                <w:szCs w:val="18"/>
              </w:rPr>
              <w:t xml:space="preserve">12,051</w:t>
            </w:r>
          </w:p>
        </w:tc>
      </w:tr>
      <w:tr>
        <w:tc>
          <w:tcPr>
            <w:tcW w:w="4072" w:type="dxa"/>
            <w:vAlign w:val="center"/>
          </w:tcPr>
          <w:p>
            <w:pPr>
              <w:spacing w:before="0" w:after="0"/>
              <w:jc w:val="left"/>
            </w:pPr>
            <w:r>
              <w:rPr>
                <w:sz w:val="18"/>
                <w:szCs w:val="18"/>
              </w:rPr>
              <w:t xml:space="preserve">Accounts receivable, net</w:t>
            </w:r>
          </w:p>
        </w:tc>
        <w:tc>
          <w:tcPr>
            <w:tcW w:w="2500" w:type="dxa"/>
            <w:vAlign w:val="center"/>
          </w:tcPr>
          <w:p>
            <w:pPr>
              <w:spacing w:before="0" w:after="0"/>
              <w:jc w:val="right"/>
            </w:pPr>
            <w:r>
              <w:rPr>
                <w:sz w:val="18"/>
                <w:szCs w:val="18"/>
              </w:rPr>
              <w:t xml:space="preserve">26,218</w:t>
            </w:r>
          </w:p>
        </w:tc>
        <w:tc>
          <w:tcPr>
            <w:tcW w:w="2500" w:type="dxa"/>
            <w:vAlign w:val="center"/>
          </w:tcPr>
          <w:p>
            <w:pPr>
              <w:spacing w:before="0" w:after="0"/>
              <w:jc w:val="right"/>
            </w:pPr>
            <w:r>
              <w:rPr>
                <w:sz w:val="18"/>
                <w:szCs w:val="18"/>
              </w:rPr>
              <w:t xml:space="preserve">28,603</w:t>
            </w:r>
          </w:p>
        </w:tc>
      </w:tr>
    </w:tbl>
    <w:p>
      <w:pPr/>
    </w:p>
    <w:p>
      <w:pPr>
        <w:keepNext/>
      </w:pPr>
      <w:r>
        <w:rPr>
          <w:b/>
        </w:rPr>
        <w:t xml:space="preserve">12. Related-party transactions</w:t>
      </w:r>
    </w:p>
    <w:p>
      <w:pPr>
        <w:ind w:left="0" w:firstLine="360"/>
      </w:pPr>
      <w:r>
        <w:t xml:space="preserve">Revenue from the Beans category increased 3.2% compared with the prior year, while its share of total revenue was little changed. Food safety incidents, whether or not they occur at our stores, could harm the reputation of the Nimbus Coffee brand and reduce customer traffic. Green coffee is purchased from exporters and cooperatives in Central America, South America and East Africa under fixed-price contracts that generally cover the next nine to twelve months of expected needs. Net cash used in investing activities was $17,125 thousand, primarily for purchases of property and equipment. The Company operates specialty coffee shops under the Nimbus Coffee name and roasts all of the coffee it serves at its own roastery in Northfield.</w:t>
      </w:r>
    </w:p>
    <w:p>
      <w:pPr>
        <w:ind w:left="0" w:firstLine="360"/>
      </w:pPr>
      <w:r>
        <w:t xml:space="preserve">Net cash provided by operating activities was $187,314 thousand, mainly reflecting net income and depreciation and amortization. The roastery produced 331 thousand pounds of roasted coffee during the fiscal year, of which 8.0% was sold through company-operated stores. Comparable store sales increased 4.4%, driven by a 1.0% increase in average ticket and a 3.7% increase in transactions.</w:t>
      </w:r>
    </w:p>
    <w:p>
      <w:pPr>
        <w:keepNext/>
      </w:pPr>
      <w:r>
        <w:rPr>
          <w:b/>
        </w:rPr>
        <w:t xml:space="preserve">13. Earnings per share</w:t>
      </w:r>
    </w:p>
    <w:p>
      <w:pPr>
        <w:ind w:left="0" w:firstLine="360"/>
      </w:pPr>
      <w:r>
        <w:t xml:space="preserve">Revenue from wholesale customers was $34,768 thousand, or 14.6% of total revenue. Total revenue for the fiscal year was $154,838 thousand, an increase of 7.8% over the prior year, and operating income was $28,521 thousand, an increase of 14.7%. The Company depends on a small number of dairy and bakery suppliers in each region, and an interruption in their deliveries could affect sales at the stores they serve. Baristas complete a four-week training course before working on the floor, and store managers complete a further course at the Northfield training center.</w:t>
      </w:r>
    </w:p>
    <w:p>
      <w:pPr>
        <w:ind w:left="0" w:firstLine="360"/>
      </w:pPr>
      <w:r>
        <w:t xml:space="preserve">Store operating expenses, which consist mainly of wages, benefits and supplies, were 28.8% of revenue, compared with 35.3% in the prior year. The Company buys 47.8% of its green coffee by volume from farms certified under recognized sustainability standards. Labor costs are affected by minimum wage laws in the regions where the stores are located, and further increases could reduce store margins. Nimbus Coffee operates specialty coffee shops under the Nimbus Coffee name and roasts all of the coffee it serves at its own roastery in Northfield.</w:t>
      </w:r>
    </w:p>
    <w:p>
      <w:pPr>
        <w:ind w:left="0" w:firstLine="360"/>
      </w:pPr>
      <w:r>
        <w:t xml:space="preserve">Store operating expenses, which consist mainly of wages, benefits and supplies, were 30.2% of revenue, compared with 28.4% in the prior year. During the fiscal year, the Company opened 8 new stores and closed 5 stores whose leases expired. Occupancy costs increased to $10,681 thousand, reflecting rent for new stores and scheduled rent increases at existing locations.</w:t>
      </w:r>
    </w:p>
    <w:tbl>
      <w:tblPr>
        <w:tblW w:w="907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72" w:type="dxa"/>
          <w:right w:w="72" w:type="dxa"/>
        </w:tblCellMar>
      </w:tblPr>
      <w:tblGrid>
        <w:gridCol w:w="4072"/>
        <w:gridCol w:w="2500"/>
        <w:gridCol w:w="2500"/>
      </w:tblGrid>
      <w:tr>
        <w:trPr>
          <w:tblHeader/>
        </w:trPr>
        <w:tc>
          <w:tcPr>
            <w:tcW w:w="4072" w:type="dxa"/>
            <w:shd w:val="clear" w:color="auto" w:fill="DDEBF7"/>
            <w:vAlign w:val="center"/>
          </w:tcPr>
          <w:p>
            <w:pPr>
              <w:spacing w:before="0" w:after="0"/>
              <w:jc w:val="center"/>
            </w:pPr>
            <w:r>
              <w:rPr>
                <w:b/>
                <w:sz w:val="18"/>
                <w:szCs w:val="18"/>
              </w:rPr>
              <w:t xml:space="preserve">Item</w:t>
            </w:r>
          </w:p>
        </w:tc>
        <w:tc>
          <w:tcPr>
            <w:tcW w:w="2500" w:type="dxa"/>
            <w:shd w:val="clear" w:color="auto" w:fill="DDEBF7"/>
            <w:vAlign w:val="center"/>
          </w:tcPr>
          <w:p>
            <w:pPr>
              <w:spacing w:before="0" w:after="0"/>
              <w:jc w:val="center"/>
            </w:pPr>
            <w:r>
              <w:rPr>
                <w:b/>
                <w:sz w:val="18"/>
                <w:szCs w:val="18"/>
              </w:rPr>
              <w:t xml:space="preserve">FY2024</w:t>
            </w:r>
          </w:p>
        </w:tc>
        <w:tc>
          <w:tcPr>
            <w:tcW w:w="2500" w:type="dxa"/>
            <w:shd w:val="clear" w:color="auto" w:fill="DDEBF7"/>
            <w:vAlign w:val="center"/>
          </w:tcPr>
          <w:p>
            <w:pPr>
              <w:spacing w:before="0" w:after="0"/>
              <w:jc w:val="center"/>
            </w:pPr>
            <w:r>
              <w:rPr>
                <w:b/>
                <w:sz w:val="18"/>
                <w:szCs w:val="18"/>
              </w:rPr>
              <w:t xml:space="preserve">FY2025</w:t>
            </w:r>
          </w:p>
        </w:tc>
      </w:tr>
      <w:tr>
        <w:tc>
          <w:tcPr>
            <w:tcW w:w="4072" w:type="dxa"/>
            <w:vAlign w:val="center"/>
          </w:tcPr>
          <w:p>
            <w:pPr>
              <w:spacing w:before="0" w:after="0"/>
              <w:jc w:val="left"/>
            </w:pPr>
            <w:r>
              <w:rPr>
                <w:sz w:val="18"/>
                <w:szCs w:val="18"/>
              </w:rPr>
              <w:t xml:space="preserve">Operating lease right-of-use assets</w:t>
            </w:r>
          </w:p>
        </w:tc>
        <w:tc>
          <w:tcPr>
            <w:tcW w:w="2500" w:type="dxa"/>
            <w:vAlign w:val="center"/>
          </w:tcPr>
          <w:p>
            <w:pPr>
              <w:spacing w:before="0" w:after="0"/>
              <w:jc w:val="right"/>
            </w:pPr>
            <w:r>
              <w:rPr>
                <w:sz w:val="18"/>
                <w:szCs w:val="18"/>
              </w:rPr>
              <w:t xml:space="preserve">32,424</w:t>
            </w:r>
          </w:p>
        </w:tc>
        <w:tc>
          <w:tcPr>
            <w:tcW w:w="2500" w:type="dxa"/>
            <w:vAlign w:val="center"/>
          </w:tcPr>
          <w:p>
            <w:pPr>
              <w:spacing w:before="0" w:after="0"/>
              <w:jc w:val="right"/>
            </w:pPr>
            <w:r>
              <w:rPr>
                <w:sz w:val="18"/>
                <w:szCs w:val="18"/>
              </w:rPr>
              <w:t xml:space="preserve">33,648</w:t>
            </w:r>
          </w:p>
        </w:tc>
      </w:tr>
      <w:tr>
        <w:tc>
          <w:tcPr>
            <w:tcW w:w="4072" w:type="dxa"/>
            <w:vAlign w:val="center"/>
          </w:tcPr>
          <w:p>
            <w:pPr>
              <w:spacing w:before="0" w:after="0"/>
              <w:jc w:val="left"/>
            </w:pPr>
            <w:r>
              <w:rPr>
                <w:sz w:val="18"/>
                <w:szCs w:val="18"/>
              </w:rPr>
              <w:t xml:space="preserve">Other accrued liabilities</w:t>
            </w:r>
          </w:p>
        </w:tc>
        <w:tc>
          <w:tcPr>
            <w:tcW w:w="2500" w:type="dxa"/>
            <w:vAlign w:val="center"/>
          </w:tcPr>
          <w:p>
            <w:pPr>
              <w:spacing w:before="0" w:after="0"/>
              <w:jc w:val="right"/>
            </w:pPr>
            <w:r>
              <w:rPr>
                <w:sz w:val="18"/>
                <w:szCs w:val="18"/>
              </w:rPr>
              <w:t xml:space="preserve">27,777</w:t>
            </w:r>
          </w:p>
        </w:tc>
        <w:tc>
          <w:tcPr>
            <w:tcW w:w="2500" w:type="dxa"/>
            <w:vAlign w:val="center"/>
          </w:tcPr>
          <w:p>
            <w:pPr>
              <w:spacing w:before="0" w:after="0"/>
              <w:jc w:val="right"/>
            </w:pPr>
            <w:r>
              <w:rPr>
                <w:sz w:val="18"/>
                <w:szCs w:val="18"/>
              </w:rPr>
              <w:t xml:space="preserve">31,770</w:t>
            </w:r>
          </w:p>
        </w:tc>
      </w:tr>
      <w:tr>
        <w:tc>
          <w:tcPr>
            <w:tcW w:w="4072" w:type="dxa"/>
            <w:vAlign w:val="center"/>
          </w:tcPr>
          <w:p>
            <w:pPr>
              <w:spacing w:before="0" w:after="0"/>
              <w:jc w:val="left"/>
            </w:pPr>
            <w:r>
              <w:rPr>
                <w:sz w:val="18"/>
                <w:szCs w:val="18"/>
              </w:rPr>
              <w:t xml:space="preserve">Current portion of operating lease liabilities</w:t>
            </w:r>
          </w:p>
        </w:tc>
        <w:tc>
          <w:tcPr>
            <w:tcW w:w="2500" w:type="dxa"/>
            <w:vAlign w:val="center"/>
          </w:tcPr>
          <w:p>
            <w:pPr>
              <w:spacing w:before="0" w:after="0"/>
              <w:jc w:val="right"/>
            </w:pPr>
            <w:r>
              <w:rPr>
                <w:sz w:val="18"/>
                <w:szCs w:val="18"/>
              </w:rPr>
              <w:t xml:space="preserve">24,067</w:t>
            </w:r>
          </w:p>
        </w:tc>
        <w:tc>
          <w:tcPr>
            <w:tcW w:w="2500" w:type="dxa"/>
            <w:vAlign w:val="center"/>
          </w:tcPr>
          <w:p>
            <w:pPr>
              <w:spacing w:before="0" w:after="0"/>
              <w:jc w:val="right"/>
            </w:pPr>
            <w:r>
              <w:rPr>
                <w:sz w:val="18"/>
                <w:szCs w:val="18"/>
              </w:rPr>
              <w:t xml:space="preserve">25,152</w:t>
            </w:r>
          </w:p>
        </w:tc>
      </w:tr>
      <w:tr>
        <w:tc>
          <w:tcPr>
            <w:tcW w:w="4072" w:type="dxa"/>
            <w:vAlign w:val="center"/>
          </w:tcPr>
          <w:p>
            <w:pPr>
              <w:spacing w:before="0" w:after="0"/>
              <w:jc w:val="left"/>
            </w:pPr>
            <w:r>
              <w:rPr>
                <w:sz w:val="18"/>
                <w:szCs w:val="18"/>
              </w:rPr>
              <w:t xml:space="preserve">Short-term investments</w:t>
            </w:r>
          </w:p>
        </w:tc>
        <w:tc>
          <w:tcPr>
            <w:tcW w:w="2500" w:type="dxa"/>
            <w:vAlign w:val="center"/>
          </w:tcPr>
          <w:p>
            <w:pPr>
              <w:spacing w:before="0" w:after="0"/>
              <w:jc w:val="right"/>
            </w:pPr>
            <w:r>
              <w:rPr>
                <w:sz w:val="18"/>
                <w:szCs w:val="18"/>
              </w:rPr>
              <w:t xml:space="preserve">13,912</w:t>
            </w:r>
          </w:p>
        </w:tc>
        <w:tc>
          <w:tcPr>
            <w:tcW w:w="2500" w:type="dxa"/>
            <w:vAlign w:val="center"/>
          </w:tcPr>
          <w:p>
            <w:pPr>
              <w:spacing w:before="0" w:after="0"/>
              <w:jc w:val="right"/>
            </w:pPr>
            <w:r>
              <w:rPr>
                <w:sz w:val="18"/>
                <w:szCs w:val="18"/>
              </w:rPr>
              <w:t xml:space="preserve">15,195</w:t>
            </w:r>
          </w:p>
        </w:tc>
      </w:tr>
      <w:tr>
        <w:tc>
          <w:tcPr>
            <w:tcW w:w="4072" w:type="dxa"/>
            <w:vAlign w:val="center"/>
          </w:tcPr>
          <w:p>
            <w:pPr>
              <w:spacing w:before="0" w:after="0"/>
              <w:jc w:val="left"/>
            </w:pPr>
            <w:r>
              <w:rPr>
                <w:sz w:val="18"/>
                <w:szCs w:val="18"/>
              </w:rPr>
              <w:t xml:space="preserve">Deferred rent and asset retirement obligations</w:t>
            </w:r>
          </w:p>
        </w:tc>
        <w:tc>
          <w:tcPr>
            <w:tcW w:w="2500" w:type="dxa"/>
            <w:vAlign w:val="center"/>
          </w:tcPr>
          <w:p>
            <w:pPr>
              <w:spacing w:before="0" w:after="0"/>
              <w:jc w:val="right"/>
            </w:pPr>
            <w:r>
              <w:rPr>
                <w:sz w:val="18"/>
                <w:szCs w:val="18"/>
              </w:rPr>
              <w:t xml:space="preserve">27,616</w:t>
            </w:r>
          </w:p>
        </w:tc>
        <w:tc>
          <w:tcPr>
            <w:tcW w:w="2500" w:type="dxa"/>
            <w:vAlign w:val="center"/>
          </w:tcPr>
          <w:p>
            <w:pPr>
              <w:spacing w:before="0" w:after="0"/>
              <w:jc w:val="right"/>
            </w:pPr>
            <w:r>
              <w:rPr>
                <w:sz w:val="18"/>
                <w:szCs w:val="18"/>
              </w:rPr>
              <w:t xml:space="preserve">29,873</w:t>
            </w:r>
          </w:p>
        </w:tc>
      </w:tr>
      <w:tr>
        <w:tc>
          <w:tcPr>
            <w:tcW w:w="4072" w:type="dxa"/>
            <w:vAlign w:val="center"/>
          </w:tcPr>
          <w:p>
            <w:pPr>
              <w:spacing w:before="0" w:after="0"/>
              <w:jc w:val="left"/>
            </w:pPr>
            <w:r>
              <w:rPr>
                <w:sz w:val="18"/>
                <w:szCs w:val="18"/>
              </w:rPr>
              <w:t xml:space="preserve">Security deposits</w:t>
            </w:r>
          </w:p>
        </w:tc>
        <w:tc>
          <w:tcPr>
            <w:tcW w:w="2500" w:type="dxa"/>
            <w:vAlign w:val="center"/>
          </w:tcPr>
          <w:p>
            <w:pPr>
              <w:spacing w:before="0" w:after="0"/>
              <w:jc w:val="right"/>
            </w:pPr>
            <w:r>
              <w:rPr>
                <w:sz w:val="18"/>
                <w:szCs w:val="18"/>
              </w:rPr>
              <w:t xml:space="preserve">19,748</w:t>
            </w:r>
          </w:p>
        </w:tc>
        <w:tc>
          <w:tcPr>
            <w:tcW w:w="2500" w:type="dxa"/>
            <w:vAlign w:val="center"/>
          </w:tcPr>
          <w:p>
            <w:pPr>
              <w:spacing w:before="0" w:after="0"/>
              <w:jc w:val="right"/>
            </w:pPr>
            <w:r>
              <w:rPr>
                <w:sz w:val="18"/>
                <w:szCs w:val="18"/>
              </w:rPr>
              <w:t xml:space="preserve">22,027</w:t>
            </w:r>
          </w:p>
        </w:tc>
      </w:tr>
    </w:tbl>
    <w:p>
      <w:pPr/>
    </w:p>
    <w:p>
      <w:pPr>
        <w:keepNext/>
      </w:pPr>
      <w:r>
        <w:rPr>
          <w:b/>
        </w:rPr>
        <w:t xml:space="preserve">14. Commitments and contingencies</w:t>
      </w:r>
    </w:p>
    <w:p>
      <w:pPr>
        <w:ind w:left="0" w:firstLine="360"/>
      </w:pPr>
      <w:r>
        <w:t xml:space="preserve">Wholesale revenue comes from sales of roasted beans to restaurants, hotels and grocery stores in the regions where Nimbus Coffee operates. During the fiscal year, Nimbus Coffee opened 7 new stores and closed 5 stores whose leases expired. Revenue from loyalty rewards is deferred until the reward is redeemed or expires.</w:t>
      </w:r>
    </w:p>
    <w:p>
      <w:pPr>
        <w:ind w:left="0" w:firstLine="360"/>
      </w:pPr>
      <w:r>
        <w:t xml:space="preserve">The loyalty program had 1,000 thousand active members at the end of the fiscal year, and purchases by members accounted for 61.6% of store revenue. Nimbus Coffee leases all of its store premises under operating leases with initial terms of ten years, most of which include options to renew. Capital expenditures totaled $17,118 thousand and consisted mainly of the build-out of new stores, the remodeling of existing stores and a second roasting line at the Northfield roastery. Weather affects customer traffic: cold drinks sell best in summer, while hot beverages and whole beans sell best from October through February.</w:t>
      </w:r>
    </w:p>
    <w:p>
      <w:pPr>
        <w:keepNext/>
      </w:pPr>
      <w:r>
        <w:rPr>
          <w:b/>
        </w:rPr>
        <w:t xml:space="preserve">15. Gift cards and the loyalty program</w:t>
      </w:r>
    </w:p>
    <w:p>
      <w:pPr>
        <w:ind w:left="0" w:firstLine="360"/>
      </w:pPr>
      <w:r>
        <w:t xml:space="preserve">Nimbus Coffee operates specialty coffee shops under the Nimbus Coffee name and roasts all of the coffee it serves at its own roastery in Northfield. Revenue from the Food category was $40,094 thousand, or 52.1% of total revenue. Capital expenditures totaled $9,638 thousand and consisted mainly of the build-out of new stores, the remodeling of existing stores and a second roasting line at the Northfield roastery. The loyalty program had 410 thousand active members at the end of the fiscal year, and purchases by members accounted for 7.3% of store revenue.</w:t>
      </w:r>
    </w:p>
    <w:p>
      <w:pPr>
        <w:ind w:left="0" w:firstLine="360"/>
      </w:pPr>
      <w:r>
        <w:t xml:space="preserve">Total assets at the end of the fiscal year were $203,074 thousand, an increase of $2,648 thousand from the end of the prior fiscal year. Baristas complete a four-week training course before working on the floor, and store managers complete a further course at the Northfield training center. Net cash provided by operating activities was $115,881 thousand, mainly reflecting net income and depreciation and amortization. At the end of the fiscal year, Nimbus Coffee operated 183 company-operated stores in eight regions: Northfield, Eastbay, Southport, Westridge, Lakeside, Hillcrest, Riverside and Harborview. During the fiscal year, the Group opened 6 new stores and closed 5 stores whose leases expired.</w:t>
      </w:r>
    </w:p>
    <w:tbl>
      <w:tblPr>
        <w:tblW w:w="907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72" w:type="dxa"/>
          <w:right w:w="72" w:type="dxa"/>
        </w:tblCellMar>
      </w:tblPr>
      <w:tblGrid>
        <w:gridCol w:w="4072"/>
        <w:gridCol w:w="2500"/>
        <w:gridCol w:w="2500"/>
      </w:tblGrid>
      <w:tr>
        <w:trPr>
          <w:tblHeader/>
        </w:trPr>
        <w:tc>
          <w:tcPr>
            <w:tcW w:w="4072" w:type="dxa"/>
            <w:shd w:val="clear" w:color="auto" w:fill="DDEBF7"/>
            <w:vAlign w:val="center"/>
          </w:tcPr>
          <w:p>
            <w:pPr>
              <w:spacing w:before="0" w:after="0"/>
              <w:jc w:val="center"/>
            </w:pPr>
            <w:r>
              <w:rPr>
                <w:b/>
                <w:sz w:val="18"/>
                <w:szCs w:val="18"/>
              </w:rPr>
              <w:t xml:space="preserve">Item</w:t>
            </w:r>
          </w:p>
        </w:tc>
        <w:tc>
          <w:tcPr>
            <w:tcW w:w="2500" w:type="dxa"/>
            <w:shd w:val="clear" w:color="auto" w:fill="DDEBF7"/>
            <w:vAlign w:val="center"/>
          </w:tcPr>
          <w:p>
            <w:pPr>
              <w:spacing w:before="0" w:after="0"/>
              <w:jc w:val="center"/>
            </w:pPr>
            <w:r>
              <w:rPr>
                <w:b/>
                <w:sz w:val="18"/>
                <w:szCs w:val="18"/>
              </w:rPr>
              <w:t xml:space="preserve">FY2024</w:t>
            </w:r>
          </w:p>
        </w:tc>
        <w:tc>
          <w:tcPr>
            <w:tcW w:w="2500" w:type="dxa"/>
            <w:shd w:val="clear" w:color="auto" w:fill="DDEBF7"/>
            <w:vAlign w:val="center"/>
          </w:tcPr>
          <w:p>
            <w:pPr>
              <w:spacing w:before="0" w:after="0"/>
              <w:jc w:val="center"/>
            </w:pPr>
            <w:r>
              <w:rPr>
                <w:b/>
                <w:sz w:val="18"/>
                <w:szCs w:val="18"/>
              </w:rPr>
              <w:t xml:space="preserve">FY2025</w:t>
            </w:r>
          </w:p>
        </w:tc>
      </w:tr>
      <w:tr>
        <w:tc>
          <w:tcPr>
            <w:tcW w:w="4072" w:type="dxa"/>
            <w:vAlign w:val="center"/>
          </w:tcPr>
          <w:p>
            <w:pPr>
              <w:spacing w:before="0" w:after="0"/>
              <w:jc w:val="left"/>
            </w:pPr>
            <w:r>
              <w:rPr>
                <w:sz w:val="18"/>
                <w:szCs w:val="18"/>
              </w:rPr>
              <w:t xml:space="preserve">Operating lease liabilities, net of current portion</w:t>
            </w:r>
          </w:p>
        </w:tc>
        <w:tc>
          <w:tcPr>
            <w:tcW w:w="2500" w:type="dxa"/>
            <w:vAlign w:val="center"/>
          </w:tcPr>
          <w:p>
            <w:pPr>
              <w:spacing w:before="0" w:after="0"/>
              <w:jc w:val="right"/>
            </w:pPr>
            <w:r>
              <w:rPr>
                <w:sz w:val="18"/>
                <w:szCs w:val="18"/>
              </w:rPr>
              <w:t xml:space="preserve">10,369</w:t>
            </w:r>
          </w:p>
        </w:tc>
        <w:tc>
          <w:tcPr>
            <w:tcW w:w="2500" w:type="dxa"/>
            <w:vAlign w:val="center"/>
          </w:tcPr>
          <w:p>
            <w:pPr>
              <w:spacing w:before="0" w:after="0"/>
              <w:jc w:val="right"/>
            </w:pPr>
            <w:r>
              <w:rPr>
                <w:sz w:val="18"/>
                <w:szCs w:val="18"/>
              </w:rPr>
              <w:t xml:space="preserve">11,436</w:t>
            </w:r>
          </w:p>
        </w:tc>
      </w:tr>
      <w:tr>
        <w:tc>
          <w:tcPr>
            <w:tcW w:w="4072" w:type="dxa"/>
            <w:vAlign w:val="center"/>
          </w:tcPr>
          <w:p>
            <w:pPr>
              <w:spacing w:before="0" w:after="0"/>
              <w:jc w:val="left"/>
            </w:pPr>
            <w:r>
              <w:rPr>
                <w:sz w:val="18"/>
                <w:szCs w:val="18"/>
              </w:rPr>
              <w:t xml:space="preserve">Other long-term liabilities</w:t>
            </w:r>
          </w:p>
        </w:tc>
        <w:tc>
          <w:tcPr>
            <w:tcW w:w="2500" w:type="dxa"/>
            <w:vAlign w:val="center"/>
          </w:tcPr>
          <w:p>
            <w:pPr>
              <w:spacing w:before="0" w:after="0"/>
              <w:jc w:val="right"/>
            </w:pPr>
            <w:r>
              <w:rPr>
                <w:sz w:val="18"/>
                <w:szCs w:val="18"/>
              </w:rPr>
              <w:t xml:space="preserve">17,725</w:t>
            </w:r>
          </w:p>
        </w:tc>
        <w:tc>
          <w:tcPr>
            <w:tcW w:w="2500" w:type="dxa"/>
            <w:vAlign w:val="center"/>
          </w:tcPr>
          <w:p>
            <w:pPr>
              <w:spacing w:before="0" w:after="0"/>
              <w:jc w:val="right"/>
            </w:pPr>
            <w:r>
              <w:rPr>
                <w:sz w:val="18"/>
                <w:szCs w:val="18"/>
              </w:rPr>
              <w:t xml:space="preserve">20,833</w:t>
            </w:r>
          </w:p>
        </w:tc>
      </w:tr>
      <w:tr>
        <w:tc>
          <w:tcPr>
            <w:tcW w:w="4072" w:type="dxa"/>
            <w:vAlign w:val="center"/>
          </w:tcPr>
          <w:p>
            <w:pPr>
              <w:spacing w:before="0" w:after="0"/>
              <w:jc w:val="left"/>
            </w:pPr>
            <w:r>
              <w:rPr>
                <w:sz w:val="18"/>
                <w:szCs w:val="18"/>
              </w:rPr>
              <w:t xml:space="preserve">Other accrued liabilities</w:t>
            </w:r>
          </w:p>
        </w:tc>
        <w:tc>
          <w:tcPr>
            <w:tcW w:w="2500" w:type="dxa"/>
            <w:vAlign w:val="center"/>
          </w:tcPr>
          <w:p>
            <w:pPr>
              <w:spacing w:before="0" w:after="0"/>
              <w:jc w:val="right"/>
            </w:pPr>
            <w:r>
              <w:rPr>
                <w:sz w:val="18"/>
                <w:szCs w:val="18"/>
              </w:rPr>
              <w:t xml:space="preserve">11,933</w:t>
            </w:r>
          </w:p>
        </w:tc>
        <w:tc>
          <w:tcPr>
            <w:tcW w:w="2500" w:type="dxa"/>
            <w:vAlign w:val="center"/>
          </w:tcPr>
          <w:p>
            <w:pPr>
              <w:spacing w:before="0" w:after="0"/>
              <w:jc w:val="right"/>
            </w:pPr>
            <w:r>
              <w:rPr>
                <w:sz w:val="18"/>
                <w:szCs w:val="18"/>
              </w:rPr>
              <w:t xml:space="preserve">13,370</w:t>
            </w:r>
          </w:p>
        </w:tc>
      </w:tr>
      <w:tr>
        <w:tc>
          <w:tcPr>
            <w:tcW w:w="4072" w:type="dxa"/>
            <w:vAlign w:val="center"/>
          </w:tcPr>
          <w:p>
            <w:pPr>
              <w:spacing w:before="0" w:after="0"/>
              <w:jc w:val="left"/>
            </w:pPr>
            <w:r>
              <w:rPr>
                <w:sz w:val="18"/>
                <w:szCs w:val="18"/>
              </w:rPr>
              <w:t xml:space="preserve">Inventories</w:t>
            </w:r>
          </w:p>
        </w:tc>
        <w:tc>
          <w:tcPr>
            <w:tcW w:w="2500" w:type="dxa"/>
            <w:vAlign w:val="center"/>
          </w:tcPr>
          <w:p>
            <w:pPr>
              <w:spacing w:before="0" w:after="0"/>
              <w:jc w:val="right"/>
            </w:pPr>
            <w:r>
              <w:rPr>
                <w:sz w:val="18"/>
                <w:szCs w:val="18"/>
              </w:rPr>
              <w:t xml:space="preserve">5,655</w:t>
            </w:r>
          </w:p>
        </w:tc>
        <w:tc>
          <w:tcPr>
            <w:tcW w:w="2500" w:type="dxa"/>
            <w:vAlign w:val="center"/>
          </w:tcPr>
          <w:p>
            <w:pPr>
              <w:spacing w:before="0" w:after="0"/>
              <w:jc w:val="right"/>
            </w:pPr>
            <w:r>
              <w:rPr>
                <w:sz w:val="18"/>
                <w:szCs w:val="18"/>
              </w:rPr>
              <w:t xml:space="preserve">5,991</w:t>
            </w:r>
          </w:p>
        </w:tc>
      </w:tr>
      <w:tr>
        <w:tc>
          <w:tcPr>
            <w:tcW w:w="4072" w:type="dxa"/>
            <w:vAlign w:val="center"/>
          </w:tcPr>
          <w:p>
            <w:pPr>
              <w:spacing w:before="0" w:after="0"/>
              <w:jc w:val="left"/>
            </w:pPr>
            <w:r>
              <w:rPr>
                <w:sz w:val="18"/>
                <w:szCs w:val="18"/>
              </w:rPr>
              <w:t xml:space="preserve">Deferred rent and asset retirement obligations</w:t>
            </w:r>
          </w:p>
        </w:tc>
        <w:tc>
          <w:tcPr>
            <w:tcW w:w="2500" w:type="dxa"/>
            <w:vAlign w:val="center"/>
          </w:tcPr>
          <w:p>
            <w:pPr>
              <w:spacing w:before="0" w:after="0"/>
              <w:jc w:val="right"/>
            </w:pPr>
            <w:r>
              <w:rPr>
                <w:sz w:val="18"/>
                <w:szCs w:val="18"/>
              </w:rPr>
              <w:t xml:space="preserve">29,068</w:t>
            </w:r>
          </w:p>
        </w:tc>
        <w:tc>
          <w:tcPr>
            <w:tcW w:w="2500" w:type="dxa"/>
            <w:vAlign w:val="center"/>
          </w:tcPr>
          <w:p>
            <w:pPr>
              <w:spacing w:before="0" w:after="0"/>
              <w:jc w:val="right"/>
            </w:pPr>
            <w:r>
              <w:rPr>
                <w:sz w:val="18"/>
                <w:szCs w:val="18"/>
              </w:rPr>
              <w:t xml:space="preserve">33,706</w:t>
            </w:r>
          </w:p>
        </w:tc>
      </w:tr>
      <w:tr>
        <w:tc>
          <w:tcPr>
            <w:tcW w:w="4072" w:type="dxa"/>
            <w:vAlign w:val="center"/>
          </w:tcPr>
          <w:p>
            <w:pPr>
              <w:spacing w:before="0" w:after="0"/>
              <w:jc w:val="left"/>
            </w:pPr>
            <w:r>
              <w:rPr>
                <w:sz w:val="18"/>
                <w:szCs w:val="18"/>
              </w:rPr>
              <w:t xml:space="preserve">Current portion of long-term debt</w:t>
            </w:r>
          </w:p>
        </w:tc>
        <w:tc>
          <w:tcPr>
            <w:tcW w:w="2500" w:type="dxa"/>
            <w:vAlign w:val="center"/>
          </w:tcPr>
          <w:p>
            <w:pPr>
              <w:spacing w:before="0" w:after="0"/>
              <w:jc w:val="right"/>
            </w:pPr>
            <w:r>
              <w:rPr>
                <w:sz w:val="18"/>
                <w:szCs w:val="18"/>
              </w:rPr>
              <w:t xml:space="preserve">28,332</w:t>
            </w:r>
          </w:p>
        </w:tc>
        <w:tc>
          <w:tcPr>
            <w:tcW w:w="2500" w:type="dxa"/>
            <w:vAlign w:val="center"/>
          </w:tcPr>
          <w:p>
            <w:pPr>
              <w:spacing w:before="0" w:after="0"/>
              <w:jc w:val="right"/>
            </w:pPr>
            <w:r>
              <w:rPr>
                <w:sz w:val="18"/>
                <w:szCs w:val="18"/>
              </w:rPr>
              <w:t xml:space="preserve">32,178</w:t>
            </w:r>
          </w:p>
        </w:tc>
      </w:tr>
    </w:tbl>
    <w:p>
      <w:pPr/>
    </w:p>
    <w:p>
      <w:pPr>
        <w:keepNext/>
      </w:pPr>
      <w:r>
        <w:rPr>
          <w:b/>
        </w:rPr>
        <w:t xml:space="preserve">16. Subsequent events</w:t>
      </w:r>
    </w:p>
    <w:p>
      <w:pPr>
        <w:ind w:left="0" w:firstLine="360"/>
      </w:pPr>
      <w:r>
        <w:t xml:space="preserve">New stores generally reach the sales level of a mature store within eighteen to twenty-four months of opening. Nimbus Coffee leases all of its store premises under operating leases with initial terms of ten years, most of which include options to renew. During the fiscal year, Nimbus Coffee opened 11 new stores and closed 1 stores whose leases expired. Net cash used in investing activities was $13,838 thousand, primarily for purchases of property and equipment. Net cash used in investing activities was $18,829 thousand, primarily for purchases of property and equipment. The Group depends on a small number of dairy and bakery suppliers in each region, and an interruption in their deliveries could affect sales at the stores they serve.</w:t>
      </w:r>
    </w:p>
    <w:p>
      <w:pPr>
        <w:ind w:left="0" w:firstLine="360"/>
      </w:pPr>
      <w:r>
        <w:t xml:space="preserve">Occupancy costs increased to $36,772 thousand, reflecting rent for new stores and scheduled rent increases at existing locations. Revenue from the online store increased 15.6% compared with the prior year, while its share of total revenue was little changed. Each store is managed by a store manager who reports to a district manager, and district managers report to the director for their region. Weather affects customer traffic: cold drinks sell best in summer, while hot beverages and whole beans sell best from October through February. The Company leases all of its store premises under operating leases with initial terms of ten years, most of which include options to renew.</w:t>
      </w:r>
    </w:p>
    <w:p>
      <w:r>
        <w:br w:type="page"/>
      </w:r>
    </w:p>
    <w:p>
      <w:pPr>
        <w:pStyle w:val="Heading3"/>
        <w:keepNext/>
      </w:pPr>
      <w:r>
        <w:t xml:space="preserve">1. Financial Statements (Fiscal year 2024, parent company)</w:t>
      </w:r>
    </w:p>
    <w:p>
      <w:pPr>
        <w:ind w:left="0" w:firstLine="360"/>
      </w:pPr>
      <w:r>
        <w:t xml:space="preserve">Each store is managed by a store manager who reports to a district manager, and district managers report to the director for their region. Occupancy costs increased to $36,074 thousand, reflecting rent for new stores and scheduled rent increases at existing locations. Comparable store sales increased 2.3%, driven by a 3.3% increase in average ticket and a 3.3% increase in transactions. At the end of the fiscal year, the Company operated 175 company-operated stores in eight regions: Northfield, Eastbay, Southport, Westridge, Lakeside, Hillcrest, Riverside and Harborview.</w:t>
      </w:r>
    </w:p>
    <w:p>
      <w:pPr>
        <w:ind w:left="0" w:firstLine="360"/>
      </w:pPr>
      <w:r>
        <w:t xml:space="preserve">At the end of the fiscal year, Nimbus Coffee operated 164 company-operated stores in eight regions: Northfield, Eastbay, Southport, Westridge, Lakeside, Hillcrest, Riverside and Harborview. Wholesale revenue comes from sales of roasted beans to restaurants, hotels and grocery stores in the regions where the Company operates. Revenue from loyalty rewards is deferred until the reward is redeemed or expires.</w:t>
      </w:r>
    </w:p>
    <w:p>
      <w:r>
        <w:br w:type="page"/>
      </w:r>
    </w:p>
    <w:p>
      <w:pPr>
        <w:pStyle w:val="Heading3"/>
        <w:keepNext/>
      </w:pPr>
      <w:r>
        <w:t xml:space="preserve">Balance Sheets (Assets)</w:t>
      </w:r>
    </w:p>
    <w:p>
      <w:pPr>
        <w:jc w:val="right"/>
      </w:pPr>
      <w:r>
        <w:rPr>
          <w:sz w:val="18"/>
          <w:szCs w:val="18"/>
        </w:rPr>
        <w:t xml:space="preserve">(In thousands of U.S. dollars)</w:t>
      </w:r>
    </w:p>
    <w:tbl>
      <w:tblPr>
        <w:tblW w:w="907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72" w:type="dxa"/>
          <w:right w:w="72" w:type="dxa"/>
        </w:tblCellMar>
      </w:tblPr>
      <w:tblGrid>
        <w:gridCol w:w="4872"/>
        <w:gridCol w:w="800"/>
        <w:gridCol w:w="1700"/>
        <w:gridCol w:w="1700"/>
      </w:tblGrid>
      <w:tr>
        <w:trPr>
          <w:tblHeader/>
        </w:trPr>
        <w:tc>
          <w:tcPr>
            <w:tcW w:w="4872" w:type="dxa"/>
            <w:shd w:val="clear" w:color="auto" w:fill="DDEBF7"/>
            <w:vAlign w:val="center"/>
          </w:tcPr>
          <w:p>
            <w:pPr>
              <w:spacing w:before="0" w:after="0"/>
              <w:jc w:val="center"/>
            </w:pPr>
            <w:r>
              <w:rPr>
                <w:b/>
                <w:sz w:val="18"/>
                <w:szCs w:val="18"/>
              </w:rPr>
              <w:t xml:space="preserve"/>
            </w:r>
          </w:p>
        </w:tc>
        <w:tc>
          <w:tcPr>
            <w:tcW w:w="800" w:type="dxa"/>
            <w:shd w:val="clear" w:color="auto" w:fill="DDEBF7"/>
            <w:vAlign w:val="center"/>
          </w:tcPr>
          <w:p>
            <w:pPr>
              <w:spacing w:before="0" w:after="0"/>
              <w:jc w:val="center"/>
            </w:pPr>
            <w:r>
              <w:rPr>
                <w:b/>
                <w:sz w:val="18"/>
                <w:szCs w:val="18"/>
              </w:rPr>
              <w:t xml:space="preserve">Note</w:t>
            </w:r>
          </w:p>
        </w:tc>
        <w:tc>
          <w:tcPr>
            <w:tcW w:w="1700" w:type="dxa"/>
            <w:shd w:val="clear" w:color="auto" w:fill="DDEBF7"/>
            <w:vAlign w:val="center"/>
          </w:tcPr>
          <w:p>
            <w:pPr>
              <w:spacing w:before="0" w:after="0"/>
              <w:jc w:val="center"/>
            </w:pPr>
            <w:r>
              <w:rPr>
                <w:b/>
                <w:sz w:val="18"/>
                <w:szCs w:val="18"/>
              </w:rPr>
              <w:t xml:space="preserve">FY2023</w:t>
            </w:r>
          </w:p>
        </w:tc>
        <w:tc>
          <w:tcPr>
            <w:tcW w:w="1700" w:type="dxa"/>
            <w:shd w:val="clear" w:color="auto" w:fill="DDEBF7"/>
            <w:vAlign w:val="center"/>
          </w:tcPr>
          <w:p>
            <w:pPr>
              <w:spacing w:before="0" w:after="0"/>
              <w:jc w:val="center"/>
            </w:pPr>
            <w:r>
              <w:rPr>
                <w:b/>
                <w:sz w:val="18"/>
                <w:szCs w:val="18"/>
              </w:rPr>
              <w:t xml:space="preserve">FY2024</w:t>
            </w:r>
          </w:p>
        </w:tc>
      </w:tr>
      <w:tr>
        <w:tc>
          <w:tcPr>
            <w:tcW w:w="4872" w:type="dxa"/>
            <w:vAlign w:val="center"/>
          </w:tcPr>
          <w:p>
            <w:pPr>
              <w:spacing w:before="0" w:after="0"/>
              <w:jc w:val="left"/>
            </w:pPr>
            <w:r>
              <w:rPr>
                <w:b/>
                <w:sz w:val="18"/>
                <w:szCs w:val="18"/>
              </w:rPr>
              <w:t xml:space="preserve">Current assets</w:t>
            </w:r>
          </w:p>
        </w:tc>
        <w:tc>
          <w:tcPr>
            <w:tcW w:w="800" w:type="dxa"/>
            <w:vAlign w:val="center"/>
          </w:tcPr>
          <w:p>
            <w:pPr>
              <w:spacing w:before="0" w:after="0"/>
              <w:jc w:val="left"/>
            </w:pPr>
            <w:r>
              <w:rPr>
                <w:b/>
                <w:sz w:val="18"/>
                <w:szCs w:val="18"/>
              </w:rPr>
              <w:t xml:space="preserve"/>
            </w:r>
          </w:p>
        </w:tc>
        <w:tc>
          <w:tcPr>
            <w:tcW w:w="1700" w:type="dxa"/>
            <w:vAlign w:val="center"/>
          </w:tcPr>
          <w:p>
            <w:pPr>
              <w:spacing w:before="0" w:after="0"/>
              <w:jc w:val="right"/>
            </w:pPr>
            <w:r>
              <w:rPr>
                <w:b/>
                <w:sz w:val="18"/>
                <w:szCs w:val="18"/>
              </w:rPr>
              <w:t xml:space="preserve"/>
            </w:r>
          </w:p>
        </w:tc>
        <w:tc>
          <w:tcPr>
            <w:tcW w:w="1700" w:type="dxa"/>
            <w:vAlign w:val="center"/>
          </w:tcPr>
          <w:p>
            <w:pPr>
              <w:spacing w:before="0" w:after="0"/>
              <w:jc w:val="right"/>
            </w:pPr>
            <w:r>
              <w:rPr>
                <w:b/>
                <w:sz w:val="18"/>
                <w:szCs w:val="18"/>
              </w:rPr>
              <w:t xml:space="preserve"/>
            </w:r>
          </w:p>
        </w:tc>
      </w:tr>
      <w:tr>
        <w:tc>
          <w:tcPr>
            <w:tcW w:w="4872" w:type="dxa"/>
            <w:vAlign w:val="center"/>
          </w:tcPr>
          <w:p>
            <w:pPr>
              <w:spacing w:before="0" w:after="0"/>
              <w:jc w:val="left"/>
            </w:pPr>
            <w:r>
              <w:rPr>
                <w:sz w:val="18"/>
                <w:szCs w:val="18"/>
              </w:rPr>
              <w:t xml:space="preserve">Cash and cash equivalents</w:t>
            </w:r>
          </w:p>
        </w:tc>
        <w:tc>
          <w:tcPr>
            <w:tcW w:w="800" w:type="dxa"/>
            <w:vAlign w:val="center"/>
          </w:tcPr>
          <w:p>
            <w:pPr>
              <w:spacing w:before="0" w:after="0"/>
              <w:jc w:val="left"/>
            </w:pPr>
            <w:r>
              <w:rPr>
                <w:sz w:val="18"/>
                <w:szCs w:val="18"/>
              </w:rPr>
              <w:t xml:space="preserve"/>
            </w:r>
          </w:p>
        </w:tc>
        <w:tc>
          <w:tcPr>
            <w:tcW w:w="1700" w:type="dxa"/>
            <w:vAlign w:val="center"/>
          </w:tcPr>
          <w:p>
            <w:pPr>
              <w:spacing w:before="0" w:after="0"/>
              <w:jc w:val="right"/>
            </w:pPr>
            <w:r>
              <w:rPr>
                <w:sz w:val="18"/>
                <w:szCs w:val="18"/>
              </w:rPr>
              <w:t xml:space="preserve">46,084</w:t>
            </w:r>
          </w:p>
        </w:tc>
        <w:tc>
          <w:tcPr>
            <w:tcW w:w="1700" w:type="dxa"/>
            <w:vAlign w:val="center"/>
          </w:tcPr>
          <w:p>
            <w:pPr>
              <w:spacing w:before="0" w:after="0"/>
              <w:jc w:val="right"/>
            </w:pPr>
            <w:r>
              <w:rPr>
                <w:sz w:val="18"/>
                <w:szCs w:val="18"/>
              </w:rPr>
              <w:t xml:space="preserve">49,269</w:t>
            </w:r>
          </w:p>
        </w:tc>
      </w:tr>
      <w:tr>
        <w:tc>
          <w:tcPr>
            <w:tcW w:w="4872" w:type="dxa"/>
            <w:vAlign w:val="center"/>
          </w:tcPr>
          <w:p>
            <w:pPr>
              <w:spacing w:before="0" w:after="0"/>
              <w:jc w:val="left"/>
            </w:pPr>
            <w:r>
              <w:rPr>
                <w:sz w:val="18"/>
                <w:szCs w:val="18"/>
              </w:rPr>
              <w:t xml:space="preserve">Short-term investments</w:t>
            </w:r>
          </w:p>
        </w:tc>
        <w:tc>
          <w:tcPr>
            <w:tcW w:w="800" w:type="dxa"/>
            <w:vAlign w:val="center"/>
          </w:tcPr>
          <w:p>
            <w:pPr>
              <w:spacing w:before="0" w:after="0"/>
              <w:jc w:val="left"/>
            </w:pPr>
            <w:r>
              <w:rPr>
                <w:sz w:val="18"/>
                <w:szCs w:val="18"/>
              </w:rPr>
              <w:t xml:space="preserve"/>
            </w:r>
          </w:p>
        </w:tc>
        <w:tc>
          <w:tcPr>
            <w:tcW w:w="1700" w:type="dxa"/>
            <w:vAlign w:val="center"/>
          </w:tcPr>
          <w:p>
            <w:pPr>
              <w:spacing w:before="0" w:after="0"/>
              <w:jc w:val="right"/>
            </w:pPr>
            <w:r>
              <w:rPr>
                <w:sz w:val="18"/>
                <w:szCs w:val="18"/>
              </w:rPr>
              <w:t xml:space="preserve">8,949</w:t>
            </w:r>
          </w:p>
        </w:tc>
        <w:tc>
          <w:tcPr>
            <w:tcW w:w="1700" w:type="dxa"/>
            <w:vAlign w:val="center"/>
          </w:tcPr>
          <w:p>
            <w:pPr>
              <w:spacing w:before="0" w:after="0"/>
              <w:jc w:val="right"/>
            </w:pPr>
            <w:r>
              <w:rPr>
                <w:sz w:val="18"/>
                <w:szCs w:val="18"/>
              </w:rPr>
              <w:t xml:space="preserve">9,901</w:t>
            </w:r>
          </w:p>
        </w:tc>
      </w:tr>
      <w:tr>
        <w:tc>
          <w:tcPr>
            <w:tcW w:w="4872" w:type="dxa"/>
            <w:vAlign w:val="center"/>
          </w:tcPr>
          <w:p>
            <w:pPr>
              <w:spacing w:before="0" w:after="0"/>
              <w:jc w:val="left"/>
            </w:pPr>
            <w:r>
              <w:rPr>
                <w:sz w:val="18"/>
                <w:szCs w:val="18"/>
              </w:rPr>
              <w:t xml:space="preserve">Accounts receivable, net</w:t>
            </w:r>
          </w:p>
        </w:tc>
        <w:tc>
          <w:tcPr>
            <w:tcW w:w="800" w:type="dxa"/>
            <w:vAlign w:val="center"/>
          </w:tcPr>
          <w:p>
            <w:pPr>
              <w:spacing w:before="0" w:after="0"/>
              <w:jc w:val="left"/>
            </w:pPr>
            <w:r>
              <w:rPr>
                <w:sz w:val="18"/>
                <w:szCs w:val="18"/>
              </w:rPr>
              <w:t xml:space="preserve"/>
            </w:r>
          </w:p>
        </w:tc>
        <w:tc>
          <w:tcPr>
            <w:tcW w:w="1700" w:type="dxa"/>
            <w:vAlign w:val="center"/>
          </w:tcPr>
          <w:p>
            <w:pPr>
              <w:spacing w:before="0" w:after="0"/>
              <w:jc w:val="right"/>
            </w:pPr>
            <w:r>
              <w:rPr>
                <w:sz w:val="18"/>
                <w:szCs w:val="18"/>
              </w:rPr>
              <w:t xml:space="preserve">7,718</w:t>
            </w:r>
          </w:p>
        </w:tc>
        <w:tc>
          <w:tcPr>
            <w:tcW w:w="1700" w:type="dxa"/>
            <w:vAlign w:val="center"/>
          </w:tcPr>
          <w:p>
            <w:pPr>
              <w:spacing w:before="0" w:after="0"/>
              <w:jc w:val="right"/>
            </w:pPr>
            <w:r>
              <w:rPr>
                <w:sz w:val="18"/>
                <w:szCs w:val="18"/>
              </w:rPr>
              <w:t xml:space="preserve">8,111</w:t>
            </w:r>
          </w:p>
        </w:tc>
      </w:tr>
      <w:tr>
        <w:tc>
          <w:tcPr>
            <w:tcW w:w="4872" w:type="dxa"/>
            <w:vAlign w:val="center"/>
          </w:tcPr>
          <w:p>
            <w:pPr>
              <w:spacing w:before="0" w:after="0"/>
              <w:jc w:val="left"/>
            </w:pPr>
            <w:r>
              <w:rPr>
                <w:sz w:val="18"/>
                <w:szCs w:val="18"/>
              </w:rPr>
              <w:t xml:space="preserve">Inventories</w:t>
            </w:r>
          </w:p>
        </w:tc>
        <w:tc>
          <w:tcPr>
            <w:tcW w:w="800" w:type="dxa"/>
            <w:vAlign w:val="center"/>
          </w:tcPr>
          <w:p>
            <w:pPr>
              <w:spacing w:before="0" w:after="0"/>
              <w:jc w:val="left"/>
            </w:pPr>
            <w:r>
              <w:rPr>
                <w:sz w:val="18"/>
                <w:szCs w:val="18"/>
              </w:rPr>
              <w:t xml:space="preserve"/>
            </w:r>
          </w:p>
        </w:tc>
        <w:tc>
          <w:tcPr>
            <w:tcW w:w="1700" w:type="dxa"/>
            <w:vAlign w:val="center"/>
          </w:tcPr>
          <w:p>
            <w:pPr>
              <w:spacing w:before="0" w:after="0"/>
              <w:jc w:val="right"/>
            </w:pPr>
            <w:r>
              <w:rPr>
                <w:sz w:val="18"/>
                <w:szCs w:val="18"/>
              </w:rPr>
              <w:t xml:space="preserve">19,277</w:t>
            </w:r>
          </w:p>
        </w:tc>
        <w:tc>
          <w:tcPr>
            <w:tcW w:w="1700" w:type="dxa"/>
            <w:vAlign w:val="center"/>
          </w:tcPr>
          <w:p>
            <w:pPr>
              <w:spacing w:before="0" w:after="0"/>
              <w:jc w:val="right"/>
            </w:pPr>
            <w:r>
              <w:rPr>
                <w:sz w:val="18"/>
                <w:szCs w:val="18"/>
              </w:rPr>
              <w:t xml:space="preserve">18,645</w:t>
            </w:r>
          </w:p>
        </w:tc>
      </w:tr>
      <w:tr>
        <w:tc>
          <w:tcPr>
            <w:tcW w:w="4872" w:type="dxa"/>
            <w:vAlign w:val="center"/>
          </w:tcPr>
          <w:p>
            <w:pPr>
              <w:spacing w:before="0" w:after="0"/>
              <w:jc w:val="left"/>
            </w:pPr>
            <w:r>
              <w:rPr>
                <w:sz w:val="18"/>
                <w:szCs w:val="18"/>
              </w:rPr>
              <w:t xml:space="preserve">Prepaid expenses and other current assets</w:t>
            </w:r>
          </w:p>
        </w:tc>
        <w:tc>
          <w:tcPr>
            <w:tcW w:w="800" w:type="dxa"/>
            <w:vAlign w:val="center"/>
          </w:tcPr>
          <w:p>
            <w:pPr>
              <w:spacing w:before="0" w:after="0"/>
              <w:jc w:val="left"/>
            </w:pPr>
            <w:r>
              <w:rPr>
                <w:sz w:val="18"/>
                <w:szCs w:val="18"/>
              </w:rPr>
              <w:t xml:space="preserve"/>
            </w:r>
          </w:p>
        </w:tc>
        <w:tc>
          <w:tcPr>
            <w:tcW w:w="1700" w:type="dxa"/>
            <w:vAlign w:val="center"/>
          </w:tcPr>
          <w:p>
            <w:pPr>
              <w:spacing w:before="0" w:after="0"/>
              <w:jc w:val="right"/>
            </w:pPr>
            <w:r>
              <w:rPr>
                <w:sz w:val="18"/>
                <w:szCs w:val="18"/>
              </w:rPr>
              <w:t xml:space="preserve">5,856</w:t>
            </w:r>
          </w:p>
        </w:tc>
        <w:tc>
          <w:tcPr>
            <w:tcW w:w="1700" w:type="dxa"/>
            <w:vAlign w:val="center"/>
          </w:tcPr>
          <w:p>
            <w:pPr>
              <w:spacing w:before="0" w:after="0"/>
              <w:jc w:val="right"/>
            </w:pPr>
            <w:r>
              <w:rPr>
                <w:sz w:val="18"/>
                <w:szCs w:val="18"/>
              </w:rPr>
              <w:t xml:space="preserve">6,169</w:t>
            </w:r>
          </w:p>
        </w:tc>
      </w:tr>
      <w:tr>
        <w:tc>
          <w:tcPr>
            <w:tcW w:w="4872" w:type="dxa"/>
            <w:vAlign w:val="center"/>
          </w:tcPr>
          <w:p>
            <w:pPr>
              <w:spacing w:before="0" w:after="0"/>
              <w:jc w:val="left"/>
            </w:pPr>
            <w:r>
              <w:rPr>
                <w:b/>
                <w:sz w:val="18"/>
                <w:szCs w:val="18"/>
              </w:rPr>
              <w:t xml:space="preserve">Total current assets</w:t>
            </w:r>
          </w:p>
        </w:tc>
        <w:tc>
          <w:tcPr>
            <w:tcW w:w="800" w:type="dxa"/>
            <w:vAlign w:val="center"/>
          </w:tcPr>
          <w:p>
            <w:pPr>
              <w:spacing w:before="0" w:after="0"/>
              <w:jc w:val="left"/>
            </w:pPr>
            <w:r>
              <w:rPr>
                <w:b/>
                <w:sz w:val="18"/>
                <w:szCs w:val="18"/>
              </w:rPr>
              <w:t xml:space="preserve"/>
            </w:r>
          </w:p>
        </w:tc>
        <w:tc>
          <w:tcPr>
            <w:tcW w:w="1700" w:type="dxa"/>
            <w:vAlign w:val="center"/>
          </w:tcPr>
          <w:p>
            <w:pPr>
              <w:spacing w:before="0" w:after="0"/>
              <w:jc w:val="right"/>
            </w:pPr>
            <w:r>
              <w:rPr>
                <w:b/>
                <w:sz w:val="18"/>
                <w:szCs w:val="18"/>
              </w:rPr>
              <w:t xml:space="preserve">87,884</w:t>
            </w:r>
          </w:p>
        </w:tc>
        <w:tc>
          <w:tcPr>
            <w:tcW w:w="1700" w:type="dxa"/>
            <w:vAlign w:val="center"/>
          </w:tcPr>
          <w:p>
            <w:pPr>
              <w:spacing w:before="0" w:after="0"/>
              <w:jc w:val="right"/>
            </w:pPr>
            <w:r>
              <w:rPr>
                <w:b/>
                <w:sz w:val="18"/>
                <w:szCs w:val="18"/>
              </w:rPr>
              <w:t xml:space="preserve">92,095</w:t>
            </w:r>
          </w:p>
        </w:tc>
      </w:tr>
      <w:tr>
        <w:tc>
          <w:tcPr>
            <w:tcW w:w="4872" w:type="dxa"/>
            <w:vAlign w:val="center"/>
          </w:tcPr>
          <w:p>
            <w:pPr>
              <w:spacing w:before="0" w:after="0"/>
              <w:jc w:val="left"/>
            </w:pPr>
            <w:r>
              <w:rPr>
                <w:b/>
                <w:sz w:val="18"/>
                <w:szCs w:val="18"/>
              </w:rPr>
              <w:t xml:space="preserve">Non-current assets</w:t>
            </w:r>
          </w:p>
        </w:tc>
        <w:tc>
          <w:tcPr>
            <w:tcW w:w="800" w:type="dxa"/>
            <w:vAlign w:val="center"/>
          </w:tcPr>
          <w:p>
            <w:pPr>
              <w:spacing w:before="0" w:after="0"/>
              <w:jc w:val="left"/>
            </w:pPr>
            <w:r>
              <w:rPr>
                <w:b/>
                <w:sz w:val="18"/>
                <w:szCs w:val="18"/>
              </w:rPr>
              <w:t xml:space="preserve"/>
            </w:r>
          </w:p>
        </w:tc>
        <w:tc>
          <w:tcPr>
            <w:tcW w:w="1700" w:type="dxa"/>
            <w:vAlign w:val="center"/>
          </w:tcPr>
          <w:p>
            <w:pPr>
              <w:spacing w:before="0" w:after="0"/>
              <w:jc w:val="right"/>
            </w:pPr>
            <w:r>
              <w:rPr>
                <w:b/>
                <w:sz w:val="18"/>
                <w:szCs w:val="18"/>
              </w:rPr>
              <w:t xml:space="preserve"/>
            </w:r>
          </w:p>
        </w:tc>
        <w:tc>
          <w:tcPr>
            <w:tcW w:w="1700" w:type="dxa"/>
            <w:vAlign w:val="center"/>
          </w:tcPr>
          <w:p>
            <w:pPr>
              <w:spacing w:before="0" w:after="0"/>
              <w:jc w:val="right"/>
            </w:pPr>
            <w:r>
              <w:rPr>
                <w:b/>
                <w:sz w:val="18"/>
                <w:szCs w:val="18"/>
              </w:rPr>
              <w:t xml:space="preserve"/>
            </w:r>
          </w:p>
        </w:tc>
      </w:tr>
      <w:tr>
        <w:tc>
          <w:tcPr>
            <w:tcW w:w="4872" w:type="dxa"/>
            <w:vAlign w:val="center"/>
          </w:tcPr>
          <w:p>
            <w:pPr>
              <w:spacing w:before="0" w:after="0"/>
              <w:jc w:val="left"/>
            </w:pPr>
            <w:r>
              <w:rPr>
                <w:sz w:val="18"/>
                <w:szCs w:val="18"/>
              </w:rPr>
              <w:t xml:space="preserve">Property and equipment, net</w:t>
            </w:r>
          </w:p>
        </w:tc>
        <w:tc>
          <w:tcPr>
            <w:tcW w:w="800" w:type="dxa"/>
            <w:vAlign w:val="center"/>
          </w:tcPr>
          <w:p>
            <w:pPr>
              <w:spacing w:before="0" w:after="0"/>
              <w:jc w:val="left"/>
            </w:pPr>
            <w:r>
              <w:rPr>
                <w:sz w:val="18"/>
                <w:szCs w:val="18"/>
              </w:rPr>
              <w:t xml:space="preserve"/>
            </w:r>
          </w:p>
        </w:tc>
        <w:tc>
          <w:tcPr>
            <w:tcW w:w="1700" w:type="dxa"/>
            <w:vAlign w:val="center"/>
          </w:tcPr>
          <w:p>
            <w:pPr>
              <w:spacing w:before="0" w:after="0"/>
              <w:jc w:val="right"/>
            </w:pPr>
            <w:r>
              <w:rPr>
                <w:sz w:val="18"/>
                <w:szCs w:val="18"/>
              </w:rPr>
              <w:t xml:space="preserve">108,145</w:t>
            </w:r>
          </w:p>
        </w:tc>
        <w:tc>
          <w:tcPr>
            <w:tcW w:w="1700" w:type="dxa"/>
            <w:vAlign w:val="center"/>
          </w:tcPr>
          <w:p>
            <w:pPr>
              <w:spacing w:before="0" w:after="0"/>
              <w:jc w:val="right"/>
            </w:pPr>
            <w:r>
              <w:rPr>
                <w:sz w:val="18"/>
                <w:szCs w:val="18"/>
              </w:rPr>
              <w:t xml:space="preserve">107,326</w:t>
            </w:r>
          </w:p>
        </w:tc>
      </w:tr>
      <w:tr>
        <w:tc>
          <w:tcPr>
            <w:tcW w:w="4872" w:type="dxa"/>
            <w:vAlign w:val="center"/>
          </w:tcPr>
          <w:p>
            <w:pPr>
              <w:spacing w:before="0" w:after="0"/>
              <w:jc w:val="left"/>
            </w:pPr>
            <w:r>
              <w:rPr>
                <w:sz w:val="18"/>
                <w:szCs w:val="18"/>
              </w:rPr>
              <w:t xml:space="preserve">Operating lease right-of-use assets</w:t>
            </w:r>
          </w:p>
        </w:tc>
        <w:tc>
          <w:tcPr>
            <w:tcW w:w="800" w:type="dxa"/>
            <w:vAlign w:val="center"/>
          </w:tcPr>
          <w:p>
            <w:pPr>
              <w:spacing w:before="0" w:after="0"/>
              <w:jc w:val="left"/>
            </w:pPr>
            <w:r>
              <w:rPr>
                <w:sz w:val="18"/>
                <w:szCs w:val="18"/>
              </w:rPr>
              <w:t xml:space="preserve"/>
            </w:r>
          </w:p>
        </w:tc>
        <w:tc>
          <w:tcPr>
            <w:tcW w:w="1700" w:type="dxa"/>
            <w:vAlign w:val="center"/>
          </w:tcPr>
          <w:p>
            <w:pPr>
              <w:spacing w:before="0" w:after="0"/>
              <w:jc w:val="right"/>
            </w:pPr>
            <w:r>
              <w:rPr>
                <w:sz w:val="18"/>
                <w:szCs w:val="18"/>
              </w:rPr>
              <w:t xml:space="preserve">96,093</w:t>
            </w:r>
          </w:p>
        </w:tc>
        <w:tc>
          <w:tcPr>
            <w:tcW w:w="1700" w:type="dxa"/>
            <w:vAlign w:val="center"/>
          </w:tcPr>
          <w:p>
            <w:pPr>
              <w:spacing w:before="0" w:after="0"/>
              <w:jc w:val="right"/>
            </w:pPr>
            <w:r>
              <w:rPr>
                <w:sz w:val="18"/>
                <w:szCs w:val="18"/>
              </w:rPr>
              <w:t xml:space="preserve">103,043</w:t>
            </w:r>
          </w:p>
        </w:tc>
      </w:tr>
      <w:tr>
        <w:tc>
          <w:tcPr>
            <w:tcW w:w="4872" w:type="dxa"/>
            <w:vAlign w:val="center"/>
          </w:tcPr>
          <w:p>
            <w:pPr>
              <w:spacing w:before="0" w:after="0"/>
              <w:jc w:val="left"/>
            </w:pPr>
            <w:r>
              <w:rPr>
                <w:sz w:val="18"/>
                <w:szCs w:val="18"/>
              </w:rPr>
              <w:t xml:space="preserve">Deferred income taxes</w:t>
            </w:r>
          </w:p>
        </w:tc>
        <w:tc>
          <w:tcPr>
            <w:tcW w:w="800" w:type="dxa"/>
            <w:vAlign w:val="center"/>
          </w:tcPr>
          <w:p>
            <w:pPr>
              <w:spacing w:before="0" w:after="0"/>
              <w:jc w:val="left"/>
            </w:pPr>
            <w:r>
              <w:rPr>
                <w:sz w:val="18"/>
                <w:szCs w:val="18"/>
              </w:rPr>
              <w:t xml:space="preserve"/>
            </w:r>
          </w:p>
        </w:tc>
        <w:tc>
          <w:tcPr>
            <w:tcW w:w="1700" w:type="dxa"/>
            <w:vAlign w:val="center"/>
          </w:tcPr>
          <w:p>
            <w:pPr>
              <w:spacing w:before="0" w:after="0"/>
              <w:jc w:val="right"/>
            </w:pPr>
            <w:r>
              <w:rPr>
                <w:sz w:val="18"/>
                <w:szCs w:val="18"/>
              </w:rPr>
              <w:t xml:space="preserve">4,756</w:t>
            </w:r>
          </w:p>
        </w:tc>
        <w:tc>
          <w:tcPr>
            <w:tcW w:w="1700" w:type="dxa"/>
            <w:vAlign w:val="center"/>
          </w:tcPr>
          <w:p>
            <w:pPr>
              <w:spacing w:before="0" w:after="0"/>
              <w:jc w:val="right"/>
            </w:pPr>
            <w:r>
              <w:rPr>
                <w:sz w:val="18"/>
                <w:szCs w:val="18"/>
              </w:rPr>
              <w:t xml:space="preserve">4,637</w:t>
            </w:r>
          </w:p>
        </w:tc>
      </w:tr>
      <w:tr>
        <w:tc>
          <w:tcPr>
            <w:tcW w:w="4872" w:type="dxa"/>
            <w:vAlign w:val="center"/>
          </w:tcPr>
          <w:p>
            <w:pPr>
              <w:spacing w:before="0" w:after="0"/>
              <w:jc w:val="left"/>
            </w:pPr>
            <w:r>
              <w:rPr>
                <w:sz w:val="18"/>
                <w:szCs w:val="18"/>
              </w:rPr>
              <w:t xml:space="preserve">Goodwill</w:t>
            </w:r>
          </w:p>
        </w:tc>
        <w:tc>
          <w:tcPr>
            <w:tcW w:w="800" w:type="dxa"/>
            <w:vAlign w:val="center"/>
          </w:tcPr>
          <w:p>
            <w:pPr>
              <w:spacing w:before="0" w:after="0"/>
              <w:jc w:val="left"/>
            </w:pPr>
            <w:r>
              <w:rPr>
                <w:sz w:val="18"/>
                <w:szCs w:val="18"/>
              </w:rPr>
              <w:t xml:space="preserve">2</w:t>
            </w:r>
          </w:p>
        </w:tc>
        <w:tc>
          <w:tcPr>
            <w:tcW w:w="1700" w:type="dxa"/>
            <w:vAlign w:val="center"/>
          </w:tcPr>
          <w:p>
            <w:pPr>
              <w:spacing w:before="0" w:after="0"/>
              <w:jc w:val="right"/>
            </w:pPr>
            <w:r>
              <w:rPr>
                <w:sz w:val="18"/>
                <w:szCs w:val="18"/>
              </w:rPr>
              <w:t xml:space="preserve">6,660</w:t>
            </w:r>
          </w:p>
        </w:tc>
        <w:tc>
          <w:tcPr>
            <w:tcW w:w="1700" w:type="dxa"/>
            <w:vAlign w:val="center"/>
          </w:tcPr>
          <w:p>
            <w:pPr>
              <w:spacing w:before="0" w:after="0"/>
              <w:jc w:val="right"/>
            </w:pPr>
            <w:r>
              <w:rPr>
                <w:sz w:val="18"/>
                <w:szCs w:val="18"/>
              </w:rPr>
              <w:t xml:space="preserve">6,781</w:t>
            </w:r>
          </w:p>
        </w:tc>
      </w:tr>
      <w:tr>
        <w:tc>
          <w:tcPr>
            <w:tcW w:w="4872" w:type="dxa"/>
            <w:vAlign w:val="center"/>
          </w:tcPr>
          <w:p>
            <w:pPr>
              <w:spacing w:before="0" w:after="0"/>
              <w:jc w:val="left"/>
            </w:pPr>
            <w:r>
              <w:rPr>
                <w:sz w:val="18"/>
                <w:szCs w:val="18"/>
              </w:rPr>
              <w:t xml:space="preserve">Other intangible assets, net</w:t>
            </w:r>
          </w:p>
        </w:tc>
        <w:tc>
          <w:tcPr>
            <w:tcW w:w="800" w:type="dxa"/>
            <w:vAlign w:val="center"/>
          </w:tcPr>
          <w:p>
            <w:pPr>
              <w:spacing w:before="0" w:after="0"/>
              <w:jc w:val="left"/>
            </w:pPr>
            <w:r>
              <w:rPr>
                <w:sz w:val="18"/>
                <w:szCs w:val="18"/>
              </w:rPr>
              <w:t xml:space="preserve"/>
            </w:r>
          </w:p>
        </w:tc>
        <w:tc>
          <w:tcPr>
            <w:tcW w:w="1700" w:type="dxa"/>
            <w:vAlign w:val="center"/>
          </w:tcPr>
          <w:p>
            <w:pPr>
              <w:spacing w:before="0" w:after="0"/>
              <w:jc w:val="right"/>
            </w:pPr>
            <w:r>
              <w:rPr>
                <w:sz w:val="18"/>
                <w:szCs w:val="18"/>
              </w:rPr>
              <w:t xml:space="preserve">3,237</w:t>
            </w:r>
          </w:p>
        </w:tc>
        <w:tc>
          <w:tcPr>
            <w:tcW w:w="1700" w:type="dxa"/>
            <w:vAlign w:val="center"/>
          </w:tcPr>
          <w:p>
            <w:pPr>
              <w:spacing w:before="0" w:after="0"/>
              <w:jc w:val="right"/>
            </w:pPr>
            <w:r>
              <w:rPr>
                <w:sz w:val="18"/>
                <w:szCs w:val="18"/>
              </w:rPr>
              <w:t xml:space="preserve">3,129</w:t>
            </w:r>
          </w:p>
        </w:tc>
      </w:tr>
      <w:tr>
        <w:tc>
          <w:tcPr>
            <w:tcW w:w="4872" w:type="dxa"/>
            <w:vAlign w:val="center"/>
          </w:tcPr>
          <w:p>
            <w:pPr>
              <w:spacing w:before="0" w:after="0"/>
              <w:jc w:val="left"/>
            </w:pPr>
            <w:r>
              <w:rPr>
                <w:sz w:val="18"/>
                <w:szCs w:val="18"/>
              </w:rPr>
              <w:t xml:space="preserve">Security deposits</w:t>
            </w:r>
          </w:p>
        </w:tc>
        <w:tc>
          <w:tcPr>
            <w:tcW w:w="800" w:type="dxa"/>
            <w:vAlign w:val="center"/>
          </w:tcPr>
          <w:p>
            <w:pPr>
              <w:spacing w:before="0" w:after="0"/>
              <w:jc w:val="left"/>
            </w:pPr>
            <w:r>
              <w:rPr>
                <w:sz w:val="18"/>
                <w:szCs w:val="18"/>
              </w:rPr>
              <w:t xml:space="preserve">7</w:t>
            </w:r>
          </w:p>
        </w:tc>
        <w:tc>
          <w:tcPr>
            <w:tcW w:w="1700" w:type="dxa"/>
            <w:vAlign w:val="center"/>
          </w:tcPr>
          <w:p>
            <w:pPr>
              <w:spacing w:before="0" w:after="0"/>
              <w:jc w:val="right"/>
            </w:pPr>
            <w:r>
              <w:rPr>
                <w:sz w:val="18"/>
                <w:szCs w:val="18"/>
              </w:rPr>
              <w:t xml:space="preserve">5,781</w:t>
            </w:r>
          </w:p>
        </w:tc>
        <w:tc>
          <w:tcPr>
            <w:tcW w:w="1700" w:type="dxa"/>
            <w:vAlign w:val="center"/>
          </w:tcPr>
          <w:p>
            <w:pPr>
              <w:spacing w:before="0" w:after="0"/>
              <w:jc w:val="right"/>
            </w:pPr>
            <w:r>
              <w:rPr>
                <w:sz w:val="18"/>
                <w:szCs w:val="18"/>
              </w:rPr>
              <w:t xml:space="preserve">6,608</w:t>
            </w:r>
          </w:p>
        </w:tc>
      </w:tr>
      <w:tr>
        <w:tc>
          <w:tcPr>
            <w:tcW w:w="4872" w:type="dxa"/>
            <w:vAlign w:val="center"/>
          </w:tcPr>
          <w:p>
            <w:pPr>
              <w:spacing w:before="0" w:after="0"/>
              <w:jc w:val="left"/>
            </w:pPr>
            <w:r>
              <w:rPr>
                <w:sz w:val="18"/>
                <w:szCs w:val="18"/>
              </w:rPr>
              <w:t xml:space="preserve">Other long-term assets</w:t>
            </w:r>
          </w:p>
        </w:tc>
        <w:tc>
          <w:tcPr>
            <w:tcW w:w="800" w:type="dxa"/>
            <w:vAlign w:val="center"/>
          </w:tcPr>
          <w:p>
            <w:pPr>
              <w:spacing w:before="0" w:after="0"/>
              <w:jc w:val="left"/>
            </w:pPr>
            <w:r>
              <w:rPr>
                <w:sz w:val="18"/>
                <w:szCs w:val="18"/>
              </w:rPr>
              <w:t xml:space="preserve"/>
            </w:r>
          </w:p>
        </w:tc>
        <w:tc>
          <w:tcPr>
            <w:tcW w:w="1700" w:type="dxa"/>
            <w:vAlign w:val="center"/>
          </w:tcPr>
          <w:p>
            <w:pPr>
              <w:spacing w:before="0" w:after="0"/>
              <w:jc w:val="right"/>
            </w:pPr>
            <w:r>
              <w:rPr>
                <w:sz w:val="18"/>
                <w:szCs w:val="18"/>
              </w:rPr>
              <w:t xml:space="preserve">3,009</w:t>
            </w:r>
          </w:p>
        </w:tc>
        <w:tc>
          <w:tcPr>
            <w:tcW w:w="1700" w:type="dxa"/>
            <w:vAlign w:val="center"/>
          </w:tcPr>
          <w:p>
            <w:pPr>
              <w:spacing w:before="0" w:after="0"/>
              <w:jc w:val="right"/>
            </w:pPr>
            <w:r>
              <w:rPr>
                <w:sz w:val="18"/>
                <w:szCs w:val="18"/>
              </w:rPr>
              <w:t xml:space="preserve">3,516</w:t>
            </w:r>
          </w:p>
        </w:tc>
      </w:tr>
      <w:tr>
        <w:tc>
          <w:tcPr>
            <w:tcW w:w="4872" w:type="dxa"/>
            <w:vAlign w:val="center"/>
          </w:tcPr>
          <w:p>
            <w:pPr>
              <w:spacing w:before="0" w:after="0"/>
              <w:jc w:val="left"/>
            </w:pPr>
            <w:r>
              <w:rPr>
                <w:b/>
                <w:sz w:val="18"/>
                <w:szCs w:val="18"/>
              </w:rPr>
              <w:t xml:space="preserve">Total non-current assets</w:t>
            </w:r>
          </w:p>
        </w:tc>
        <w:tc>
          <w:tcPr>
            <w:tcW w:w="800" w:type="dxa"/>
            <w:vAlign w:val="center"/>
          </w:tcPr>
          <w:p>
            <w:pPr>
              <w:spacing w:before="0" w:after="0"/>
              <w:jc w:val="left"/>
            </w:pPr>
            <w:r>
              <w:rPr>
                <w:b/>
                <w:sz w:val="18"/>
                <w:szCs w:val="18"/>
              </w:rPr>
              <w:t xml:space="preserve"/>
            </w:r>
          </w:p>
        </w:tc>
        <w:tc>
          <w:tcPr>
            <w:tcW w:w="1700" w:type="dxa"/>
            <w:vAlign w:val="center"/>
          </w:tcPr>
          <w:p>
            <w:pPr>
              <w:spacing w:before="0" w:after="0"/>
              <w:jc w:val="right"/>
            </w:pPr>
            <w:r>
              <w:rPr>
                <w:b/>
                <w:sz w:val="18"/>
                <w:szCs w:val="18"/>
              </w:rPr>
              <w:t xml:space="preserve">227,681</w:t>
            </w:r>
          </w:p>
        </w:tc>
        <w:tc>
          <w:tcPr>
            <w:tcW w:w="1700" w:type="dxa"/>
            <w:vAlign w:val="center"/>
          </w:tcPr>
          <w:p>
            <w:pPr>
              <w:spacing w:before="0" w:after="0"/>
              <w:jc w:val="right"/>
            </w:pPr>
            <w:r>
              <w:rPr>
                <w:b/>
                <w:sz w:val="18"/>
                <w:szCs w:val="18"/>
              </w:rPr>
              <w:t xml:space="preserve">235,040</w:t>
            </w:r>
          </w:p>
        </w:tc>
      </w:tr>
      <w:tr>
        <w:tc>
          <w:tcPr>
            <w:tcW w:w="4872" w:type="dxa"/>
            <w:vAlign w:val="center"/>
          </w:tcPr>
          <w:p>
            <w:pPr>
              <w:spacing w:before="0" w:after="0"/>
              <w:jc w:val="left"/>
            </w:pPr>
            <w:r>
              <w:rPr>
                <w:b/>
                <w:sz w:val="18"/>
                <w:szCs w:val="18"/>
              </w:rPr>
              <w:t xml:space="preserve">Total assets</w:t>
            </w:r>
          </w:p>
        </w:tc>
        <w:tc>
          <w:tcPr>
            <w:tcW w:w="800" w:type="dxa"/>
            <w:vAlign w:val="center"/>
          </w:tcPr>
          <w:p>
            <w:pPr>
              <w:spacing w:before="0" w:after="0"/>
              <w:jc w:val="left"/>
            </w:pPr>
            <w:r>
              <w:rPr>
                <w:b/>
                <w:sz w:val="18"/>
                <w:szCs w:val="18"/>
              </w:rPr>
              <w:t xml:space="preserve"/>
            </w:r>
          </w:p>
        </w:tc>
        <w:tc>
          <w:tcPr>
            <w:tcW w:w="1700" w:type="dxa"/>
            <w:vAlign w:val="center"/>
          </w:tcPr>
          <w:p>
            <w:pPr>
              <w:spacing w:before="0" w:after="0"/>
              <w:jc w:val="right"/>
            </w:pPr>
            <w:r>
              <w:rPr>
                <w:b/>
                <w:sz w:val="18"/>
                <w:szCs w:val="18"/>
              </w:rPr>
              <w:t xml:space="preserve">315,565</w:t>
            </w:r>
          </w:p>
        </w:tc>
        <w:tc>
          <w:tcPr>
            <w:tcW w:w="1700" w:type="dxa"/>
            <w:vAlign w:val="center"/>
          </w:tcPr>
          <w:p>
            <w:pPr>
              <w:spacing w:before="0" w:after="0"/>
              <w:jc w:val="right"/>
            </w:pPr>
            <w:r>
              <w:rPr>
                <w:b/>
                <w:sz w:val="18"/>
                <w:szCs w:val="18"/>
              </w:rPr>
              <w:t xml:space="preserve">327,135</w:t>
            </w:r>
          </w:p>
        </w:tc>
      </w:tr>
    </w:tbl>
    <w:p>
      <w:pPr/>
    </w:p>
    <w:p>
      <w:r>
        <w:br w:type="page"/>
      </w:r>
    </w:p>
    <w:p>
      <w:pPr>
        <w:pStyle w:val="Heading3"/>
        <w:keepNext/>
      </w:pPr>
      <w:r>
        <w:t xml:space="preserve">Balance Sheets (Liabilities and Stockholders' Equity)</w:t>
      </w:r>
    </w:p>
    <w:p>
      <w:pPr>
        <w:jc w:val="right"/>
      </w:pPr>
      <w:r>
        <w:rPr>
          <w:sz w:val="18"/>
          <w:szCs w:val="18"/>
        </w:rPr>
        <w:t xml:space="preserve">(In thousands of U.S. dollars)</w:t>
      </w:r>
    </w:p>
    <w:tbl>
      <w:tblPr>
        <w:tblW w:w="907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72" w:type="dxa"/>
          <w:right w:w="72" w:type="dxa"/>
        </w:tblCellMar>
      </w:tblPr>
      <w:tblGrid>
        <w:gridCol w:w="4872"/>
        <w:gridCol w:w="800"/>
        <w:gridCol w:w="1700"/>
        <w:gridCol w:w="1700"/>
      </w:tblGrid>
      <w:tr>
        <w:trPr>
          <w:tblHeader/>
        </w:trPr>
        <w:tc>
          <w:tcPr>
            <w:tcW w:w="4872" w:type="dxa"/>
            <w:shd w:val="clear" w:color="auto" w:fill="DDEBF7"/>
            <w:vAlign w:val="center"/>
          </w:tcPr>
          <w:p>
            <w:pPr>
              <w:spacing w:before="0" w:after="0"/>
              <w:jc w:val="center"/>
            </w:pPr>
            <w:r>
              <w:rPr>
                <w:b/>
                <w:sz w:val="18"/>
                <w:szCs w:val="18"/>
              </w:rPr>
              <w:t xml:space="preserve"/>
            </w:r>
          </w:p>
        </w:tc>
        <w:tc>
          <w:tcPr>
            <w:tcW w:w="800" w:type="dxa"/>
            <w:shd w:val="clear" w:color="auto" w:fill="DDEBF7"/>
            <w:vAlign w:val="center"/>
          </w:tcPr>
          <w:p>
            <w:pPr>
              <w:spacing w:before="0" w:after="0"/>
              <w:jc w:val="center"/>
            </w:pPr>
            <w:r>
              <w:rPr>
                <w:b/>
                <w:sz w:val="18"/>
                <w:szCs w:val="18"/>
              </w:rPr>
              <w:t xml:space="preserve">Note</w:t>
            </w:r>
          </w:p>
        </w:tc>
        <w:tc>
          <w:tcPr>
            <w:tcW w:w="1700" w:type="dxa"/>
            <w:shd w:val="clear" w:color="auto" w:fill="DDEBF7"/>
            <w:vAlign w:val="center"/>
          </w:tcPr>
          <w:p>
            <w:pPr>
              <w:spacing w:before="0" w:after="0"/>
              <w:jc w:val="center"/>
            </w:pPr>
            <w:r>
              <w:rPr>
                <w:b/>
                <w:sz w:val="18"/>
                <w:szCs w:val="18"/>
              </w:rPr>
              <w:t xml:space="preserve">FY2023</w:t>
            </w:r>
          </w:p>
        </w:tc>
        <w:tc>
          <w:tcPr>
            <w:tcW w:w="1700" w:type="dxa"/>
            <w:shd w:val="clear" w:color="auto" w:fill="DDEBF7"/>
            <w:vAlign w:val="center"/>
          </w:tcPr>
          <w:p>
            <w:pPr>
              <w:spacing w:before="0" w:after="0"/>
              <w:jc w:val="center"/>
            </w:pPr>
            <w:r>
              <w:rPr>
                <w:b/>
                <w:sz w:val="18"/>
                <w:szCs w:val="18"/>
              </w:rPr>
              <w:t xml:space="preserve">FY2024</w:t>
            </w:r>
          </w:p>
        </w:tc>
      </w:tr>
      <w:tr>
        <w:tc>
          <w:tcPr>
            <w:tcW w:w="4872" w:type="dxa"/>
            <w:vAlign w:val="center"/>
          </w:tcPr>
          <w:p>
            <w:pPr>
              <w:spacing w:before="0" w:after="0"/>
              <w:jc w:val="left"/>
            </w:pPr>
            <w:r>
              <w:rPr>
                <w:b/>
                <w:sz w:val="18"/>
                <w:szCs w:val="18"/>
              </w:rPr>
              <w:t xml:space="preserve">Current liabilities</w:t>
            </w:r>
          </w:p>
        </w:tc>
        <w:tc>
          <w:tcPr>
            <w:tcW w:w="800" w:type="dxa"/>
            <w:vAlign w:val="center"/>
          </w:tcPr>
          <w:p>
            <w:pPr>
              <w:spacing w:before="0" w:after="0"/>
              <w:jc w:val="left"/>
            </w:pPr>
            <w:r>
              <w:rPr>
                <w:b/>
                <w:sz w:val="18"/>
                <w:szCs w:val="18"/>
              </w:rPr>
              <w:t xml:space="preserve"/>
            </w:r>
          </w:p>
        </w:tc>
        <w:tc>
          <w:tcPr>
            <w:tcW w:w="1700" w:type="dxa"/>
            <w:vAlign w:val="center"/>
          </w:tcPr>
          <w:p>
            <w:pPr>
              <w:spacing w:before="0" w:after="0"/>
              <w:jc w:val="right"/>
            </w:pPr>
            <w:r>
              <w:rPr>
                <w:b/>
                <w:sz w:val="18"/>
                <w:szCs w:val="18"/>
              </w:rPr>
              <w:t xml:space="preserve"/>
            </w:r>
          </w:p>
        </w:tc>
        <w:tc>
          <w:tcPr>
            <w:tcW w:w="1700" w:type="dxa"/>
            <w:vAlign w:val="center"/>
          </w:tcPr>
          <w:p>
            <w:pPr>
              <w:spacing w:before="0" w:after="0"/>
              <w:jc w:val="right"/>
            </w:pPr>
            <w:r>
              <w:rPr>
                <w:b/>
                <w:sz w:val="18"/>
                <w:szCs w:val="18"/>
              </w:rPr>
              <w:t xml:space="preserve"/>
            </w:r>
          </w:p>
        </w:tc>
      </w:tr>
      <w:tr>
        <w:tc>
          <w:tcPr>
            <w:tcW w:w="4872" w:type="dxa"/>
            <w:vAlign w:val="center"/>
          </w:tcPr>
          <w:p>
            <w:pPr>
              <w:spacing w:before="0" w:after="0"/>
              <w:jc w:val="left"/>
            </w:pPr>
            <w:r>
              <w:rPr>
                <w:sz w:val="18"/>
                <w:szCs w:val="18"/>
              </w:rPr>
              <w:t xml:space="preserve">Accounts payable</w:t>
            </w:r>
          </w:p>
        </w:tc>
        <w:tc>
          <w:tcPr>
            <w:tcW w:w="800" w:type="dxa"/>
            <w:vAlign w:val="center"/>
          </w:tcPr>
          <w:p>
            <w:pPr>
              <w:spacing w:before="0" w:after="0"/>
              <w:jc w:val="left"/>
            </w:pPr>
            <w:r>
              <w:rPr>
                <w:sz w:val="18"/>
                <w:szCs w:val="18"/>
              </w:rPr>
              <w:t xml:space="preserve"/>
            </w:r>
          </w:p>
        </w:tc>
        <w:tc>
          <w:tcPr>
            <w:tcW w:w="1700" w:type="dxa"/>
            <w:vAlign w:val="center"/>
          </w:tcPr>
          <w:p>
            <w:pPr>
              <w:spacing w:before="0" w:after="0"/>
              <w:jc w:val="right"/>
            </w:pPr>
            <w:r>
              <w:rPr>
                <w:sz w:val="18"/>
                <w:szCs w:val="18"/>
              </w:rPr>
              <w:t xml:space="preserve">12,342</w:t>
            </w:r>
          </w:p>
        </w:tc>
        <w:tc>
          <w:tcPr>
            <w:tcW w:w="1700" w:type="dxa"/>
            <w:vAlign w:val="center"/>
          </w:tcPr>
          <w:p>
            <w:pPr>
              <w:spacing w:before="0" w:after="0"/>
              <w:jc w:val="right"/>
            </w:pPr>
            <w:r>
              <w:rPr>
                <w:sz w:val="18"/>
                <w:szCs w:val="18"/>
              </w:rPr>
              <w:t xml:space="preserve">14,103</w:t>
            </w:r>
          </w:p>
        </w:tc>
      </w:tr>
      <w:tr>
        <w:tc>
          <w:tcPr>
            <w:tcW w:w="4872" w:type="dxa"/>
            <w:vAlign w:val="center"/>
          </w:tcPr>
          <w:p>
            <w:pPr>
              <w:spacing w:before="0" w:after="0"/>
              <w:jc w:val="left"/>
            </w:pPr>
            <w:r>
              <w:rPr>
                <w:sz w:val="18"/>
                <w:szCs w:val="18"/>
              </w:rPr>
              <w:t xml:space="preserve">Accrued payroll and benefits</w:t>
            </w:r>
          </w:p>
        </w:tc>
        <w:tc>
          <w:tcPr>
            <w:tcW w:w="800" w:type="dxa"/>
            <w:vAlign w:val="center"/>
          </w:tcPr>
          <w:p>
            <w:pPr>
              <w:spacing w:before="0" w:after="0"/>
              <w:jc w:val="left"/>
            </w:pPr>
            <w:r>
              <w:rPr>
                <w:sz w:val="18"/>
                <w:szCs w:val="18"/>
              </w:rPr>
              <w:t xml:space="preserve"/>
            </w:r>
          </w:p>
        </w:tc>
        <w:tc>
          <w:tcPr>
            <w:tcW w:w="1700" w:type="dxa"/>
            <w:vAlign w:val="center"/>
          </w:tcPr>
          <w:p>
            <w:pPr>
              <w:spacing w:before="0" w:after="0"/>
              <w:jc w:val="right"/>
            </w:pPr>
            <w:r>
              <w:rPr>
                <w:sz w:val="18"/>
                <w:szCs w:val="18"/>
              </w:rPr>
              <w:t xml:space="preserve">9,228</w:t>
            </w:r>
          </w:p>
        </w:tc>
        <w:tc>
          <w:tcPr>
            <w:tcW w:w="1700" w:type="dxa"/>
            <w:vAlign w:val="center"/>
          </w:tcPr>
          <w:p>
            <w:pPr>
              <w:spacing w:before="0" w:after="0"/>
              <w:jc w:val="right"/>
            </w:pPr>
            <w:r>
              <w:rPr>
                <w:sz w:val="18"/>
                <w:szCs w:val="18"/>
              </w:rPr>
              <w:t xml:space="preserve">9,383</w:t>
            </w:r>
          </w:p>
        </w:tc>
      </w:tr>
      <w:tr>
        <w:tc>
          <w:tcPr>
            <w:tcW w:w="4872" w:type="dxa"/>
            <w:vAlign w:val="center"/>
          </w:tcPr>
          <w:p>
            <w:pPr>
              <w:spacing w:before="0" w:after="0"/>
              <w:jc w:val="left"/>
            </w:pPr>
            <w:r>
              <w:rPr>
                <w:sz w:val="18"/>
                <w:szCs w:val="18"/>
              </w:rPr>
              <w:t xml:space="preserve">Current portion of operating lease liabilities</w:t>
            </w:r>
          </w:p>
        </w:tc>
        <w:tc>
          <w:tcPr>
            <w:tcW w:w="800" w:type="dxa"/>
            <w:vAlign w:val="center"/>
          </w:tcPr>
          <w:p>
            <w:pPr>
              <w:spacing w:before="0" w:after="0"/>
              <w:jc w:val="left"/>
            </w:pPr>
            <w:r>
              <w:rPr>
                <w:sz w:val="18"/>
                <w:szCs w:val="18"/>
              </w:rPr>
              <w:t xml:space="preserve"/>
            </w:r>
          </w:p>
        </w:tc>
        <w:tc>
          <w:tcPr>
            <w:tcW w:w="1700" w:type="dxa"/>
            <w:vAlign w:val="center"/>
          </w:tcPr>
          <w:p>
            <w:pPr>
              <w:spacing w:before="0" w:after="0"/>
              <w:jc w:val="right"/>
            </w:pPr>
            <w:r>
              <w:rPr>
                <w:sz w:val="18"/>
                <w:szCs w:val="18"/>
              </w:rPr>
              <w:t xml:space="preserve">14,947</w:t>
            </w:r>
          </w:p>
        </w:tc>
        <w:tc>
          <w:tcPr>
            <w:tcW w:w="1700" w:type="dxa"/>
            <w:vAlign w:val="center"/>
          </w:tcPr>
          <w:p>
            <w:pPr>
              <w:spacing w:before="0" w:after="0"/>
              <w:jc w:val="right"/>
            </w:pPr>
            <w:r>
              <w:rPr>
                <w:sz w:val="18"/>
                <w:szCs w:val="18"/>
              </w:rPr>
              <w:t xml:space="preserve">14,275</w:t>
            </w:r>
          </w:p>
        </w:tc>
      </w:tr>
      <w:tr>
        <w:tc>
          <w:tcPr>
            <w:tcW w:w="4872" w:type="dxa"/>
            <w:vAlign w:val="center"/>
          </w:tcPr>
          <w:p>
            <w:pPr>
              <w:spacing w:before="0" w:after="0"/>
              <w:jc w:val="left"/>
            </w:pPr>
            <w:r>
              <w:rPr>
                <w:sz w:val="18"/>
                <w:szCs w:val="18"/>
              </w:rPr>
              <w:t xml:space="preserve">Current portion of long-term debt</w:t>
            </w:r>
          </w:p>
        </w:tc>
        <w:tc>
          <w:tcPr>
            <w:tcW w:w="800" w:type="dxa"/>
            <w:vAlign w:val="center"/>
          </w:tcPr>
          <w:p>
            <w:pPr>
              <w:spacing w:before="0" w:after="0"/>
              <w:jc w:val="left"/>
            </w:pPr>
            <w:r>
              <w:rPr>
                <w:sz w:val="18"/>
                <w:szCs w:val="18"/>
              </w:rPr>
              <w:t xml:space="preserve"/>
            </w:r>
          </w:p>
        </w:tc>
        <w:tc>
          <w:tcPr>
            <w:tcW w:w="1700" w:type="dxa"/>
            <w:vAlign w:val="center"/>
          </w:tcPr>
          <w:p>
            <w:pPr>
              <w:spacing w:before="0" w:after="0"/>
              <w:jc w:val="right"/>
            </w:pPr>
            <w:r>
              <w:rPr>
                <w:sz w:val="18"/>
                <w:szCs w:val="18"/>
              </w:rPr>
              <w:t xml:space="preserve">5,761</w:t>
            </w:r>
          </w:p>
        </w:tc>
        <w:tc>
          <w:tcPr>
            <w:tcW w:w="1700" w:type="dxa"/>
            <w:vAlign w:val="center"/>
          </w:tcPr>
          <w:p>
            <w:pPr>
              <w:spacing w:before="0" w:after="0"/>
              <w:jc w:val="right"/>
            </w:pPr>
            <w:r>
              <w:rPr>
                <w:sz w:val="18"/>
                <w:szCs w:val="18"/>
              </w:rPr>
              <w:t xml:space="preserve">7,093</w:t>
            </w:r>
          </w:p>
        </w:tc>
      </w:tr>
      <w:tr>
        <w:tc>
          <w:tcPr>
            <w:tcW w:w="4872" w:type="dxa"/>
            <w:vAlign w:val="center"/>
          </w:tcPr>
          <w:p>
            <w:pPr>
              <w:spacing w:before="0" w:after="0"/>
              <w:jc w:val="left"/>
            </w:pPr>
            <w:r>
              <w:rPr>
                <w:sz w:val="18"/>
                <w:szCs w:val="18"/>
              </w:rPr>
              <w:t xml:space="preserve">Deferred revenue (gift cards and loyalty)</w:t>
            </w:r>
          </w:p>
        </w:tc>
        <w:tc>
          <w:tcPr>
            <w:tcW w:w="800" w:type="dxa"/>
            <w:vAlign w:val="center"/>
          </w:tcPr>
          <w:p>
            <w:pPr>
              <w:spacing w:before="0" w:after="0"/>
              <w:jc w:val="left"/>
            </w:pPr>
            <w:r>
              <w:rPr>
                <w:sz w:val="18"/>
                <w:szCs w:val="18"/>
              </w:rPr>
              <w:t xml:space="preserve">8</w:t>
            </w:r>
          </w:p>
        </w:tc>
        <w:tc>
          <w:tcPr>
            <w:tcW w:w="1700" w:type="dxa"/>
            <w:vAlign w:val="center"/>
          </w:tcPr>
          <w:p>
            <w:pPr>
              <w:spacing w:before="0" w:after="0"/>
              <w:jc w:val="right"/>
            </w:pPr>
            <w:r>
              <w:rPr>
                <w:sz w:val="18"/>
                <w:szCs w:val="18"/>
              </w:rPr>
              <w:t xml:space="preserve">7,829</w:t>
            </w:r>
          </w:p>
        </w:tc>
        <w:tc>
          <w:tcPr>
            <w:tcW w:w="1700" w:type="dxa"/>
            <w:vAlign w:val="center"/>
          </w:tcPr>
          <w:p>
            <w:pPr>
              <w:spacing w:before="0" w:after="0"/>
              <w:jc w:val="right"/>
            </w:pPr>
            <w:r>
              <w:rPr>
                <w:sz w:val="18"/>
                <w:szCs w:val="18"/>
              </w:rPr>
              <w:t xml:space="preserve">8,228</w:t>
            </w:r>
          </w:p>
        </w:tc>
      </w:tr>
      <w:tr>
        <w:tc>
          <w:tcPr>
            <w:tcW w:w="4872" w:type="dxa"/>
            <w:vAlign w:val="center"/>
          </w:tcPr>
          <w:p>
            <w:pPr>
              <w:spacing w:before="0" w:after="0"/>
              <w:jc w:val="left"/>
            </w:pPr>
            <w:r>
              <w:rPr>
                <w:sz w:val="18"/>
                <w:szCs w:val="18"/>
              </w:rPr>
              <w:t xml:space="preserve">Income taxes payable</w:t>
            </w:r>
          </w:p>
        </w:tc>
        <w:tc>
          <w:tcPr>
            <w:tcW w:w="800" w:type="dxa"/>
            <w:vAlign w:val="center"/>
          </w:tcPr>
          <w:p>
            <w:pPr>
              <w:spacing w:before="0" w:after="0"/>
              <w:jc w:val="left"/>
            </w:pPr>
            <w:r>
              <w:rPr>
                <w:sz w:val="18"/>
                <w:szCs w:val="18"/>
              </w:rPr>
              <w:t xml:space="preserve"/>
            </w:r>
          </w:p>
        </w:tc>
        <w:tc>
          <w:tcPr>
            <w:tcW w:w="1700" w:type="dxa"/>
            <w:vAlign w:val="center"/>
          </w:tcPr>
          <w:p>
            <w:pPr>
              <w:spacing w:before="0" w:after="0"/>
              <w:jc w:val="right"/>
            </w:pPr>
            <w:r>
              <w:rPr>
                <w:sz w:val="18"/>
                <w:szCs w:val="18"/>
              </w:rPr>
              <w:t xml:space="preserve">2,467</w:t>
            </w:r>
          </w:p>
        </w:tc>
        <w:tc>
          <w:tcPr>
            <w:tcW w:w="1700" w:type="dxa"/>
            <w:vAlign w:val="center"/>
          </w:tcPr>
          <w:p>
            <w:pPr>
              <w:spacing w:before="0" w:after="0"/>
              <w:jc w:val="right"/>
            </w:pPr>
            <w:r>
              <w:rPr>
                <w:sz w:val="18"/>
                <w:szCs w:val="18"/>
              </w:rPr>
              <w:t xml:space="preserve">2,731</w:t>
            </w:r>
          </w:p>
        </w:tc>
      </w:tr>
      <w:tr>
        <w:tc>
          <w:tcPr>
            <w:tcW w:w="4872" w:type="dxa"/>
            <w:vAlign w:val="center"/>
          </w:tcPr>
          <w:p>
            <w:pPr>
              <w:spacing w:before="0" w:after="0"/>
              <w:jc w:val="left"/>
            </w:pPr>
            <w:r>
              <w:rPr>
                <w:sz w:val="18"/>
                <w:szCs w:val="18"/>
              </w:rPr>
              <w:t xml:space="preserve">Other accrued liabilities</w:t>
            </w:r>
          </w:p>
        </w:tc>
        <w:tc>
          <w:tcPr>
            <w:tcW w:w="800" w:type="dxa"/>
            <w:vAlign w:val="center"/>
          </w:tcPr>
          <w:p>
            <w:pPr>
              <w:spacing w:before="0" w:after="0"/>
              <w:jc w:val="left"/>
            </w:pPr>
            <w:r>
              <w:rPr>
                <w:sz w:val="18"/>
                <w:szCs w:val="18"/>
              </w:rPr>
              <w:t xml:space="preserve">13</w:t>
            </w:r>
          </w:p>
        </w:tc>
        <w:tc>
          <w:tcPr>
            <w:tcW w:w="1700" w:type="dxa"/>
            <w:vAlign w:val="center"/>
          </w:tcPr>
          <w:p>
            <w:pPr>
              <w:spacing w:before="0" w:after="0"/>
              <w:jc w:val="right"/>
            </w:pPr>
            <w:r>
              <w:rPr>
                <w:sz w:val="18"/>
                <w:szCs w:val="18"/>
              </w:rPr>
              <w:t xml:space="preserve">4,947</w:t>
            </w:r>
          </w:p>
        </w:tc>
        <w:tc>
          <w:tcPr>
            <w:tcW w:w="1700" w:type="dxa"/>
            <w:vAlign w:val="center"/>
          </w:tcPr>
          <w:p>
            <w:pPr>
              <w:spacing w:before="0" w:after="0"/>
              <w:jc w:val="right"/>
            </w:pPr>
            <w:r>
              <w:rPr>
                <w:sz w:val="18"/>
                <w:szCs w:val="18"/>
              </w:rPr>
              <w:t xml:space="preserve">4,897</w:t>
            </w:r>
          </w:p>
        </w:tc>
      </w:tr>
      <w:tr>
        <w:tc>
          <w:tcPr>
            <w:tcW w:w="4872" w:type="dxa"/>
            <w:vAlign w:val="center"/>
          </w:tcPr>
          <w:p>
            <w:pPr>
              <w:spacing w:before="0" w:after="0"/>
              <w:jc w:val="left"/>
            </w:pPr>
            <w:r>
              <w:rPr>
                <w:b/>
                <w:sz w:val="18"/>
                <w:szCs w:val="18"/>
              </w:rPr>
              <w:t xml:space="preserve">Total current liabilities</w:t>
            </w:r>
          </w:p>
        </w:tc>
        <w:tc>
          <w:tcPr>
            <w:tcW w:w="800" w:type="dxa"/>
            <w:vAlign w:val="center"/>
          </w:tcPr>
          <w:p>
            <w:pPr>
              <w:spacing w:before="0" w:after="0"/>
              <w:jc w:val="left"/>
            </w:pPr>
            <w:r>
              <w:rPr>
                <w:b/>
                <w:sz w:val="18"/>
                <w:szCs w:val="18"/>
              </w:rPr>
              <w:t xml:space="preserve"/>
            </w:r>
          </w:p>
        </w:tc>
        <w:tc>
          <w:tcPr>
            <w:tcW w:w="1700" w:type="dxa"/>
            <w:vAlign w:val="center"/>
          </w:tcPr>
          <w:p>
            <w:pPr>
              <w:spacing w:before="0" w:after="0"/>
              <w:jc w:val="right"/>
            </w:pPr>
            <w:r>
              <w:rPr>
                <w:b/>
                <w:sz w:val="18"/>
                <w:szCs w:val="18"/>
              </w:rPr>
              <w:t xml:space="preserve">57,521</w:t>
            </w:r>
          </w:p>
        </w:tc>
        <w:tc>
          <w:tcPr>
            <w:tcW w:w="1700" w:type="dxa"/>
            <w:vAlign w:val="center"/>
          </w:tcPr>
          <w:p>
            <w:pPr>
              <w:spacing w:before="0" w:after="0"/>
              <w:jc w:val="right"/>
            </w:pPr>
            <w:r>
              <w:rPr>
                <w:b/>
                <w:sz w:val="18"/>
                <w:szCs w:val="18"/>
              </w:rPr>
              <w:t xml:space="preserve">60,710</w:t>
            </w:r>
          </w:p>
        </w:tc>
      </w:tr>
      <w:tr>
        <w:tc>
          <w:tcPr>
            <w:tcW w:w="4872" w:type="dxa"/>
            <w:vAlign w:val="center"/>
          </w:tcPr>
          <w:p>
            <w:pPr>
              <w:spacing w:before="0" w:after="0"/>
              <w:jc w:val="left"/>
            </w:pPr>
            <w:r>
              <w:rPr>
                <w:b/>
                <w:sz w:val="18"/>
                <w:szCs w:val="18"/>
              </w:rPr>
              <w:t xml:space="preserve">Non-current liabilities</w:t>
            </w:r>
          </w:p>
        </w:tc>
        <w:tc>
          <w:tcPr>
            <w:tcW w:w="800" w:type="dxa"/>
            <w:vAlign w:val="center"/>
          </w:tcPr>
          <w:p>
            <w:pPr>
              <w:spacing w:before="0" w:after="0"/>
              <w:jc w:val="left"/>
            </w:pPr>
            <w:r>
              <w:rPr>
                <w:b/>
                <w:sz w:val="18"/>
                <w:szCs w:val="18"/>
              </w:rPr>
              <w:t xml:space="preserve"/>
            </w:r>
          </w:p>
        </w:tc>
        <w:tc>
          <w:tcPr>
            <w:tcW w:w="1700" w:type="dxa"/>
            <w:vAlign w:val="center"/>
          </w:tcPr>
          <w:p>
            <w:pPr>
              <w:spacing w:before="0" w:after="0"/>
              <w:jc w:val="right"/>
            </w:pPr>
            <w:r>
              <w:rPr>
                <w:b/>
                <w:sz w:val="18"/>
                <w:szCs w:val="18"/>
              </w:rPr>
              <w:t xml:space="preserve"/>
            </w:r>
          </w:p>
        </w:tc>
        <w:tc>
          <w:tcPr>
            <w:tcW w:w="1700" w:type="dxa"/>
            <w:vAlign w:val="center"/>
          </w:tcPr>
          <w:p>
            <w:pPr>
              <w:spacing w:before="0" w:after="0"/>
              <w:jc w:val="right"/>
            </w:pPr>
            <w:r>
              <w:rPr>
                <w:b/>
                <w:sz w:val="18"/>
                <w:szCs w:val="18"/>
              </w:rPr>
              <w:t xml:space="preserve"/>
            </w:r>
          </w:p>
        </w:tc>
      </w:tr>
      <w:tr>
        <w:tc>
          <w:tcPr>
            <w:tcW w:w="4872" w:type="dxa"/>
            <w:vAlign w:val="center"/>
          </w:tcPr>
          <w:p>
            <w:pPr>
              <w:spacing w:before="0" w:after="0"/>
              <w:jc w:val="left"/>
            </w:pPr>
            <w:r>
              <w:rPr>
                <w:sz w:val="18"/>
                <w:szCs w:val="18"/>
              </w:rPr>
              <w:t xml:space="preserve">Long-term debt, net of current portion</w:t>
            </w:r>
          </w:p>
        </w:tc>
        <w:tc>
          <w:tcPr>
            <w:tcW w:w="800" w:type="dxa"/>
            <w:vAlign w:val="center"/>
          </w:tcPr>
          <w:p>
            <w:pPr>
              <w:spacing w:before="0" w:after="0"/>
              <w:jc w:val="left"/>
            </w:pPr>
            <w:r>
              <w:rPr>
                <w:sz w:val="18"/>
                <w:szCs w:val="18"/>
              </w:rPr>
              <w:t xml:space="preserve">14</w:t>
            </w:r>
          </w:p>
        </w:tc>
        <w:tc>
          <w:tcPr>
            <w:tcW w:w="1700" w:type="dxa"/>
            <w:vAlign w:val="center"/>
          </w:tcPr>
          <w:p>
            <w:pPr>
              <w:spacing w:before="0" w:after="0"/>
              <w:jc w:val="right"/>
            </w:pPr>
            <w:r>
              <w:rPr>
                <w:sz w:val="18"/>
                <w:szCs w:val="18"/>
              </w:rPr>
              <w:t xml:space="preserve">26,475</w:t>
            </w:r>
          </w:p>
        </w:tc>
        <w:tc>
          <w:tcPr>
            <w:tcW w:w="1700" w:type="dxa"/>
            <w:vAlign w:val="center"/>
          </w:tcPr>
          <w:p>
            <w:pPr>
              <w:spacing w:before="0" w:after="0"/>
              <w:jc w:val="right"/>
            </w:pPr>
            <w:r>
              <w:rPr>
                <w:sz w:val="18"/>
                <w:szCs w:val="18"/>
              </w:rPr>
              <w:t xml:space="preserve">30,750</w:t>
            </w:r>
          </w:p>
        </w:tc>
      </w:tr>
      <w:tr>
        <w:tc>
          <w:tcPr>
            <w:tcW w:w="4872" w:type="dxa"/>
            <w:vAlign w:val="center"/>
          </w:tcPr>
          <w:p>
            <w:pPr>
              <w:spacing w:before="0" w:after="0"/>
              <w:jc w:val="left"/>
            </w:pPr>
            <w:r>
              <w:rPr>
                <w:sz w:val="18"/>
                <w:szCs w:val="18"/>
              </w:rPr>
              <w:t xml:space="preserve">Operating lease liabilities, net of current portion</w:t>
            </w:r>
          </w:p>
        </w:tc>
        <w:tc>
          <w:tcPr>
            <w:tcW w:w="800" w:type="dxa"/>
            <w:vAlign w:val="center"/>
          </w:tcPr>
          <w:p>
            <w:pPr>
              <w:spacing w:before="0" w:after="0"/>
              <w:jc w:val="left"/>
            </w:pPr>
            <w:r>
              <w:rPr>
                <w:sz w:val="18"/>
                <w:szCs w:val="18"/>
              </w:rPr>
              <w:t xml:space="preserve"/>
            </w:r>
          </w:p>
        </w:tc>
        <w:tc>
          <w:tcPr>
            <w:tcW w:w="1700" w:type="dxa"/>
            <w:vAlign w:val="center"/>
          </w:tcPr>
          <w:p>
            <w:pPr>
              <w:spacing w:before="0" w:after="0"/>
              <w:jc w:val="right"/>
            </w:pPr>
            <w:r>
              <w:rPr>
                <w:sz w:val="18"/>
                <w:szCs w:val="18"/>
              </w:rPr>
              <w:t xml:space="preserve">90,467</w:t>
            </w:r>
          </w:p>
        </w:tc>
        <w:tc>
          <w:tcPr>
            <w:tcW w:w="1700" w:type="dxa"/>
            <w:vAlign w:val="center"/>
          </w:tcPr>
          <w:p>
            <w:pPr>
              <w:spacing w:before="0" w:after="0"/>
              <w:jc w:val="right"/>
            </w:pPr>
            <w:r>
              <w:rPr>
                <w:sz w:val="18"/>
                <w:szCs w:val="18"/>
              </w:rPr>
              <w:t xml:space="preserve">93,126</w:t>
            </w:r>
          </w:p>
        </w:tc>
      </w:tr>
      <w:tr>
        <w:tc>
          <w:tcPr>
            <w:tcW w:w="4872" w:type="dxa"/>
            <w:vAlign w:val="center"/>
          </w:tcPr>
          <w:p>
            <w:pPr>
              <w:spacing w:before="0" w:after="0"/>
              <w:jc w:val="left"/>
            </w:pPr>
            <w:r>
              <w:rPr>
                <w:sz w:val="18"/>
                <w:szCs w:val="18"/>
              </w:rPr>
              <w:t xml:space="preserve">Deferred rent and asset retirement obligations</w:t>
            </w:r>
          </w:p>
        </w:tc>
        <w:tc>
          <w:tcPr>
            <w:tcW w:w="800" w:type="dxa"/>
            <w:vAlign w:val="center"/>
          </w:tcPr>
          <w:p>
            <w:pPr>
              <w:spacing w:before="0" w:after="0"/>
              <w:jc w:val="left"/>
            </w:pPr>
            <w:r>
              <w:rPr>
                <w:sz w:val="18"/>
                <w:szCs w:val="18"/>
              </w:rPr>
              <w:t xml:space="preserve"/>
            </w:r>
          </w:p>
        </w:tc>
        <w:tc>
          <w:tcPr>
            <w:tcW w:w="1700" w:type="dxa"/>
            <w:vAlign w:val="center"/>
          </w:tcPr>
          <w:p>
            <w:pPr>
              <w:spacing w:before="0" w:after="0"/>
              <w:jc w:val="right"/>
            </w:pPr>
            <w:r>
              <w:rPr>
                <w:sz w:val="18"/>
                <w:szCs w:val="18"/>
              </w:rPr>
              <w:t xml:space="preserve">3,896</w:t>
            </w:r>
          </w:p>
        </w:tc>
        <w:tc>
          <w:tcPr>
            <w:tcW w:w="1700" w:type="dxa"/>
            <w:vAlign w:val="center"/>
          </w:tcPr>
          <w:p>
            <w:pPr>
              <w:spacing w:before="0" w:after="0"/>
              <w:jc w:val="right"/>
            </w:pPr>
            <w:r>
              <w:rPr>
                <w:sz w:val="18"/>
                <w:szCs w:val="18"/>
              </w:rPr>
              <w:t xml:space="preserve">3,788</w:t>
            </w:r>
          </w:p>
        </w:tc>
      </w:tr>
      <w:tr>
        <w:tc>
          <w:tcPr>
            <w:tcW w:w="4872" w:type="dxa"/>
            <w:vAlign w:val="center"/>
          </w:tcPr>
          <w:p>
            <w:pPr>
              <w:spacing w:before="0" w:after="0"/>
              <w:jc w:val="left"/>
            </w:pPr>
            <w:r>
              <w:rPr>
                <w:sz w:val="18"/>
                <w:szCs w:val="18"/>
              </w:rPr>
              <w:t xml:space="preserve">Other long-term liabilities</w:t>
            </w:r>
          </w:p>
        </w:tc>
        <w:tc>
          <w:tcPr>
            <w:tcW w:w="800" w:type="dxa"/>
            <w:vAlign w:val="center"/>
          </w:tcPr>
          <w:p>
            <w:pPr>
              <w:spacing w:before="0" w:after="0"/>
              <w:jc w:val="left"/>
            </w:pPr>
            <w:r>
              <w:rPr>
                <w:sz w:val="18"/>
                <w:szCs w:val="18"/>
              </w:rPr>
              <w:t xml:space="preserve">17</w:t>
            </w:r>
          </w:p>
        </w:tc>
        <w:tc>
          <w:tcPr>
            <w:tcW w:w="1700" w:type="dxa"/>
            <w:vAlign w:val="center"/>
          </w:tcPr>
          <w:p>
            <w:pPr>
              <w:spacing w:before="0" w:after="0"/>
              <w:jc w:val="right"/>
            </w:pPr>
            <w:r>
              <w:rPr>
                <w:sz w:val="18"/>
                <w:szCs w:val="18"/>
              </w:rPr>
              <w:t xml:space="preserve">2,596</w:t>
            </w:r>
          </w:p>
        </w:tc>
        <w:tc>
          <w:tcPr>
            <w:tcW w:w="1700" w:type="dxa"/>
            <w:vAlign w:val="center"/>
          </w:tcPr>
          <w:p>
            <w:pPr>
              <w:spacing w:before="0" w:after="0"/>
              <w:jc w:val="right"/>
            </w:pPr>
            <w:r>
              <w:rPr>
                <w:sz w:val="18"/>
                <w:szCs w:val="18"/>
              </w:rPr>
              <w:t xml:space="preserve">2,509</w:t>
            </w:r>
          </w:p>
        </w:tc>
      </w:tr>
      <w:tr>
        <w:tc>
          <w:tcPr>
            <w:tcW w:w="4872" w:type="dxa"/>
            <w:vAlign w:val="center"/>
          </w:tcPr>
          <w:p>
            <w:pPr>
              <w:spacing w:before="0" w:after="0"/>
              <w:jc w:val="left"/>
            </w:pPr>
            <w:r>
              <w:rPr>
                <w:b/>
                <w:sz w:val="18"/>
                <w:szCs w:val="18"/>
              </w:rPr>
              <w:t xml:space="preserve">Total non-current liabilities</w:t>
            </w:r>
          </w:p>
        </w:tc>
        <w:tc>
          <w:tcPr>
            <w:tcW w:w="800" w:type="dxa"/>
            <w:vAlign w:val="center"/>
          </w:tcPr>
          <w:p>
            <w:pPr>
              <w:spacing w:before="0" w:after="0"/>
              <w:jc w:val="left"/>
            </w:pPr>
            <w:r>
              <w:rPr>
                <w:b/>
                <w:sz w:val="18"/>
                <w:szCs w:val="18"/>
              </w:rPr>
              <w:t xml:space="preserve"/>
            </w:r>
          </w:p>
        </w:tc>
        <w:tc>
          <w:tcPr>
            <w:tcW w:w="1700" w:type="dxa"/>
            <w:vAlign w:val="center"/>
          </w:tcPr>
          <w:p>
            <w:pPr>
              <w:spacing w:before="0" w:after="0"/>
              <w:jc w:val="right"/>
            </w:pPr>
            <w:r>
              <w:rPr>
                <w:b/>
                <w:sz w:val="18"/>
                <w:szCs w:val="18"/>
              </w:rPr>
              <w:t xml:space="preserve">123,434</w:t>
            </w:r>
          </w:p>
        </w:tc>
        <w:tc>
          <w:tcPr>
            <w:tcW w:w="1700" w:type="dxa"/>
            <w:vAlign w:val="center"/>
          </w:tcPr>
          <w:p>
            <w:pPr>
              <w:spacing w:before="0" w:after="0"/>
              <w:jc w:val="right"/>
            </w:pPr>
            <w:r>
              <w:rPr>
                <w:b/>
                <w:sz w:val="18"/>
                <w:szCs w:val="18"/>
              </w:rPr>
              <w:t xml:space="preserve">130,173</w:t>
            </w:r>
          </w:p>
        </w:tc>
      </w:tr>
      <w:tr>
        <w:tc>
          <w:tcPr>
            <w:tcW w:w="4872" w:type="dxa"/>
            <w:vAlign w:val="center"/>
          </w:tcPr>
          <w:p>
            <w:pPr>
              <w:spacing w:before="0" w:after="0"/>
              <w:jc w:val="left"/>
            </w:pPr>
            <w:r>
              <w:rPr>
                <w:b/>
                <w:sz w:val="18"/>
                <w:szCs w:val="18"/>
              </w:rPr>
              <w:t xml:space="preserve">Total liabilities</w:t>
            </w:r>
          </w:p>
        </w:tc>
        <w:tc>
          <w:tcPr>
            <w:tcW w:w="800" w:type="dxa"/>
            <w:vAlign w:val="center"/>
          </w:tcPr>
          <w:p>
            <w:pPr>
              <w:spacing w:before="0" w:after="0"/>
              <w:jc w:val="left"/>
            </w:pPr>
            <w:r>
              <w:rPr>
                <w:b/>
                <w:sz w:val="18"/>
                <w:szCs w:val="18"/>
              </w:rPr>
              <w:t xml:space="preserve"/>
            </w:r>
          </w:p>
        </w:tc>
        <w:tc>
          <w:tcPr>
            <w:tcW w:w="1700" w:type="dxa"/>
            <w:vAlign w:val="center"/>
          </w:tcPr>
          <w:p>
            <w:pPr>
              <w:spacing w:before="0" w:after="0"/>
              <w:jc w:val="right"/>
            </w:pPr>
            <w:r>
              <w:rPr>
                <w:b/>
                <w:sz w:val="18"/>
                <w:szCs w:val="18"/>
              </w:rPr>
              <w:t xml:space="preserve">180,955</w:t>
            </w:r>
          </w:p>
        </w:tc>
        <w:tc>
          <w:tcPr>
            <w:tcW w:w="1700" w:type="dxa"/>
            <w:vAlign w:val="center"/>
          </w:tcPr>
          <w:p>
            <w:pPr>
              <w:spacing w:before="0" w:after="0"/>
              <w:jc w:val="right"/>
            </w:pPr>
            <w:r>
              <w:rPr>
                <w:b/>
                <w:sz w:val="18"/>
                <w:szCs w:val="18"/>
              </w:rPr>
              <w:t xml:space="preserve">190,883</w:t>
            </w:r>
          </w:p>
        </w:tc>
      </w:tr>
      <w:tr>
        <w:tc>
          <w:tcPr>
            <w:tcW w:w="4872" w:type="dxa"/>
            <w:vAlign w:val="center"/>
          </w:tcPr>
          <w:p>
            <w:pPr>
              <w:spacing w:before="0" w:after="0"/>
              <w:jc w:val="left"/>
            </w:pPr>
            <w:r>
              <w:rPr>
                <w:b/>
                <w:sz w:val="18"/>
                <w:szCs w:val="18"/>
              </w:rPr>
              <w:t xml:space="preserve">Stockholders' equity</w:t>
            </w:r>
          </w:p>
        </w:tc>
        <w:tc>
          <w:tcPr>
            <w:tcW w:w="800" w:type="dxa"/>
            <w:vAlign w:val="center"/>
          </w:tcPr>
          <w:p>
            <w:pPr>
              <w:spacing w:before="0" w:after="0"/>
              <w:jc w:val="left"/>
            </w:pPr>
            <w:r>
              <w:rPr>
                <w:b/>
                <w:sz w:val="18"/>
                <w:szCs w:val="18"/>
              </w:rPr>
              <w:t xml:space="preserve"/>
            </w:r>
          </w:p>
        </w:tc>
        <w:tc>
          <w:tcPr>
            <w:tcW w:w="1700" w:type="dxa"/>
            <w:vAlign w:val="center"/>
          </w:tcPr>
          <w:p>
            <w:pPr>
              <w:spacing w:before="0" w:after="0"/>
              <w:jc w:val="right"/>
            </w:pPr>
            <w:r>
              <w:rPr>
                <w:b/>
                <w:sz w:val="18"/>
                <w:szCs w:val="18"/>
              </w:rPr>
              <w:t xml:space="preserve"/>
            </w:r>
          </w:p>
        </w:tc>
        <w:tc>
          <w:tcPr>
            <w:tcW w:w="1700" w:type="dxa"/>
            <w:vAlign w:val="center"/>
          </w:tcPr>
          <w:p>
            <w:pPr>
              <w:spacing w:before="0" w:after="0"/>
              <w:jc w:val="right"/>
            </w:pPr>
            <w:r>
              <w:rPr>
                <w:b/>
                <w:sz w:val="18"/>
                <w:szCs w:val="18"/>
              </w:rPr>
              <w:t xml:space="preserve"/>
            </w:r>
          </w:p>
        </w:tc>
      </w:tr>
      <w:tr>
        <w:tc>
          <w:tcPr>
            <w:tcW w:w="4872" w:type="dxa"/>
            <w:vAlign w:val="center"/>
          </w:tcPr>
          <w:p>
            <w:pPr>
              <w:spacing w:before="0" w:after="0"/>
              <w:jc w:val="left"/>
            </w:pPr>
            <w:r>
              <w:rPr>
                <w:sz w:val="18"/>
                <w:szCs w:val="18"/>
              </w:rPr>
              <w:t xml:space="preserve">Common stock</w:t>
            </w:r>
          </w:p>
        </w:tc>
        <w:tc>
          <w:tcPr>
            <w:tcW w:w="800" w:type="dxa"/>
            <w:vAlign w:val="center"/>
          </w:tcPr>
          <w:p>
            <w:pPr>
              <w:spacing w:before="0" w:after="0"/>
              <w:jc w:val="left"/>
            </w:pPr>
            <w:r>
              <w:rPr>
                <w:sz w:val="18"/>
                <w:szCs w:val="18"/>
              </w:rPr>
              <w:t xml:space="preserve"/>
            </w:r>
          </w:p>
        </w:tc>
        <w:tc>
          <w:tcPr>
            <w:tcW w:w="1700" w:type="dxa"/>
            <w:vAlign w:val="center"/>
          </w:tcPr>
          <w:p>
            <w:pPr>
              <w:spacing w:before="0" w:after="0"/>
              <w:jc w:val="right"/>
            </w:pPr>
            <w:r>
              <w:rPr>
                <w:sz w:val="18"/>
                <w:szCs w:val="18"/>
              </w:rPr>
              <w:t xml:space="preserve">302</w:t>
            </w:r>
          </w:p>
        </w:tc>
        <w:tc>
          <w:tcPr>
            <w:tcW w:w="1700" w:type="dxa"/>
            <w:vAlign w:val="center"/>
          </w:tcPr>
          <w:p>
            <w:pPr>
              <w:spacing w:before="0" w:after="0"/>
              <w:jc w:val="right"/>
            </w:pPr>
            <w:r>
              <w:rPr>
                <w:sz w:val="18"/>
                <w:szCs w:val="18"/>
              </w:rPr>
              <w:t xml:space="preserve">331</w:t>
            </w:r>
          </w:p>
        </w:tc>
      </w:tr>
      <w:tr>
        <w:tc>
          <w:tcPr>
            <w:tcW w:w="4872" w:type="dxa"/>
            <w:vAlign w:val="center"/>
          </w:tcPr>
          <w:p>
            <w:pPr>
              <w:spacing w:before="0" w:after="0"/>
              <w:jc w:val="left"/>
            </w:pPr>
            <w:r>
              <w:rPr>
                <w:sz w:val="18"/>
                <w:szCs w:val="18"/>
              </w:rPr>
              <w:t xml:space="preserve">Additional paid-in capital</w:t>
            </w:r>
          </w:p>
        </w:tc>
        <w:tc>
          <w:tcPr>
            <w:tcW w:w="800" w:type="dxa"/>
            <w:vAlign w:val="center"/>
          </w:tcPr>
          <w:p>
            <w:pPr>
              <w:spacing w:before="0" w:after="0"/>
              <w:jc w:val="left"/>
            </w:pPr>
            <w:r>
              <w:rPr>
                <w:sz w:val="18"/>
                <w:szCs w:val="18"/>
              </w:rPr>
              <w:t xml:space="preserve"/>
            </w:r>
          </w:p>
        </w:tc>
        <w:tc>
          <w:tcPr>
            <w:tcW w:w="1700" w:type="dxa"/>
            <w:vAlign w:val="center"/>
          </w:tcPr>
          <w:p>
            <w:pPr>
              <w:spacing w:before="0" w:after="0"/>
              <w:jc w:val="right"/>
            </w:pPr>
            <w:r>
              <w:rPr>
                <w:sz w:val="18"/>
                <w:szCs w:val="18"/>
              </w:rPr>
              <w:t xml:space="preserve">37,616</w:t>
            </w:r>
          </w:p>
        </w:tc>
        <w:tc>
          <w:tcPr>
            <w:tcW w:w="1700" w:type="dxa"/>
            <w:vAlign w:val="center"/>
          </w:tcPr>
          <w:p>
            <w:pPr>
              <w:spacing w:before="0" w:after="0"/>
              <w:jc w:val="right"/>
            </w:pPr>
            <w:r>
              <w:rPr>
                <w:sz w:val="18"/>
                <w:szCs w:val="18"/>
              </w:rPr>
              <w:t xml:space="preserve">40,004</w:t>
            </w:r>
          </w:p>
        </w:tc>
      </w:tr>
      <w:tr>
        <w:tc>
          <w:tcPr>
            <w:tcW w:w="4872" w:type="dxa"/>
            <w:vAlign w:val="center"/>
          </w:tcPr>
          <w:p>
            <w:pPr>
              <w:spacing w:before="0" w:after="0"/>
              <w:jc w:val="left"/>
            </w:pPr>
            <w:r>
              <w:rPr>
                <w:sz w:val="18"/>
                <w:szCs w:val="18"/>
              </w:rPr>
              <w:t xml:space="preserve">Retained earnings</w:t>
            </w:r>
          </w:p>
        </w:tc>
        <w:tc>
          <w:tcPr>
            <w:tcW w:w="800" w:type="dxa"/>
            <w:vAlign w:val="center"/>
          </w:tcPr>
          <w:p>
            <w:pPr>
              <w:spacing w:before="0" w:after="0"/>
              <w:jc w:val="left"/>
            </w:pPr>
            <w:r>
              <w:rPr>
                <w:sz w:val="18"/>
                <w:szCs w:val="18"/>
              </w:rPr>
              <w:t xml:space="preserve"/>
            </w:r>
          </w:p>
        </w:tc>
        <w:tc>
          <w:tcPr>
            <w:tcW w:w="1700" w:type="dxa"/>
            <w:vAlign w:val="center"/>
          </w:tcPr>
          <w:p>
            <w:pPr>
              <w:spacing w:before="0" w:after="0"/>
              <w:jc w:val="right"/>
            </w:pPr>
            <w:r>
              <w:rPr>
                <w:sz w:val="18"/>
                <w:szCs w:val="18"/>
              </w:rPr>
              <w:t xml:space="preserve">100,543</w:t>
            </w:r>
          </w:p>
        </w:tc>
        <w:tc>
          <w:tcPr>
            <w:tcW w:w="1700" w:type="dxa"/>
            <w:vAlign w:val="center"/>
          </w:tcPr>
          <w:p>
            <w:pPr>
              <w:spacing w:before="0" w:after="0"/>
              <w:jc w:val="right"/>
            </w:pPr>
            <w:r>
              <w:rPr>
                <w:sz w:val="18"/>
                <w:szCs w:val="18"/>
              </w:rPr>
              <w:t xml:space="preserve">98,015</w:t>
            </w:r>
          </w:p>
        </w:tc>
      </w:tr>
      <w:tr>
        <w:tc>
          <w:tcPr>
            <w:tcW w:w="4872" w:type="dxa"/>
            <w:vAlign w:val="center"/>
          </w:tcPr>
          <w:p>
            <w:pPr>
              <w:spacing w:before="0" w:after="0"/>
              <w:jc w:val="left"/>
            </w:pPr>
            <w:r>
              <w:rPr>
                <w:sz w:val="18"/>
                <w:szCs w:val="18"/>
              </w:rPr>
              <w:t xml:space="preserve">Treasury stock, at cost</w:t>
            </w:r>
          </w:p>
        </w:tc>
        <w:tc>
          <w:tcPr>
            <w:tcW w:w="800" w:type="dxa"/>
            <w:vAlign w:val="center"/>
          </w:tcPr>
          <w:p>
            <w:pPr>
              <w:spacing w:before="0" w:after="0"/>
              <w:jc w:val="left"/>
            </w:pPr>
            <w:r>
              <w:rPr>
                <w:sz w:val="18"/>
                <w:szCs w:val="18"/>
              </w:rPr>
              <w:t xml:space="preserve"/>
            </w:r>
          </w:p>
        </w:tc>
        <w:tc>
          <w:tcPr>
            <w:tcW w:w="1700" w:type="dxa"/>
            <w:vAlign w:val="center"/>
          </w:tcPr>
          <w:p>
            <w:pPr>
              <w:spacing w:before="0" w:after="0"/>
              <w:jc w:val="right"/>
            </w:pPr>
            <w:r>
              <w:rPr>
                <w:sz w:val="18"/>
                <w:szCs w:val="18"/>
              </w:rPr>
              <w:t xml:space="preserve">(3,345)</w:t>
            </w:r>
          </w:p>
        </w:tc>
        <w:tc>
          <w:tcPr>
            <w:tcW w:w="1700" w:type="dxa"/>
            <w:vAlign w:val="center"/>
          </w:tcPr>
          <w:p>
            <w:pPr>
              <w:spacing w:before="0" w:after="0"/>
              <w:jc w:val="right"/>
            </w:pPr>
            <w:r>
              <w:rPr>
                <w:sz w:val="18"/>
                <w:szCs w:val="18"/>
              </w:rPr>
              <w:t xml:space="preserve">(3,147)</w:t>
            </w:r>
          </w:p>
        </w:tc>
      </w:tr>
      <w:tr>
        <w:tc>
          <w:tcPr>
            <w:tcW w:w="4872" w:type="dxa"/>
            <w:vAlign w:val="center"/>
          </w:tcPr>
          <w:p>
            <w:pPr>
              <w:spacing w:before="0" w:after="0"/>
              <w:jc w:val="left"/>
            </w:pPr>
            <w:r>
              <w:rPr>
                <w:sz w:val="18"/>
                <w:szCs w:val="18"/>
              </w:rPr>
              <w:t xml:space="preserve">Accumulated other comprehensive income (loss)</w:t>
            </w:r>
          </w:p>
        </w:tc>
        <w:tc>
          <w:tcPr>
            <w:tcW w:w="800" w:type="dxa"/>
            <w:vAlign w:val="center"/>
          </w:tcPr>
          <w:p>
            <w:pPr>
              <w:spacing w:before="0" w:after="0"/>
              <w:jc w:val="left"/>
            </w:pPr>
            <w:r>
              <w:rPr>
                <w:sz w:val="18"/>
                <w:szCs w:val="18"/>
              </w:rPr>
              <w:t xml:space="preserve"/>
            </w:r>
          </w:p>
        </w:tc>
        <w:tc>
          <w:tcPr>
            <w:tcW w:w="1700" w:type="dxa"/>
            <w:vAlign w:val="center"/>
          </w:tcPr>
          <w:p>
            <w:pPr>
              <w:spacing w:before="0" w:after="0"/>
              <w:jc w:val="right"/>
            </w:pPr>
            <w:r>
              <w:rPr>
                <w:sz w:val="18"/>
                <w:szCs w:val="18"/>
              </w:rPr>
              <w:t xml:space="preserve">(506)</w:t>
            </w:r>
          </w:p>
        </w:tc>
        <w:tc>
          <w:tcPr>
            <w:tcW w:w="1700" w:type="dxa"/>
            <w:vAlign w:val="center"/>
          </w:tcPr>
          <w:p>
            <w:pPr>
              <w:spacing w:before="0" w:after="0"/>
              <w:jc w:val="right"/>
            </w:pPr>
            <w:r>
              <w:rPr>
                <w:sz w:val="18"/>
                <w:szCs w:val="18"/>
              </w:rPr>
              <w:t xml:space="preserve">1,049</w:t>
            </w:r>
          </w:p>
        </w:tc>
      </w:tr>
      <w:tr>
        <w:tc>
          <w:tcPr>
            <w:tcW w:w="4872" w:type="dxa"/>
            <w:vAlign w:val="center"/>
          </w:tcPr>
          <w:p>
            <w:pPr>
              <w:spacing w:before="0" w:after="0"/>
              <w:jc w:val="left"/>
            </w:pPr>
            <w:r>
              <w:rPr>
                <w:b/>
                <w:sz w:val="18"/>
                <w:szCs w:val="18"/>
              </w:rPr>
              <w:t xml:space="preserve">Total stockholders' equity</w:t>
            </w:r>
          </w:p>
        </w:tc>
        <w:tc>
          <w:tcPr>
            <w:tcW w:w="800" w:type="dxa"/>
            <w:vAlign w:val="center"/>
          </w:tcPr>
          <w:p>
            <w:pPr>
              <w:spacing w:before="0" w:after="0"/>
              <w:jc w:val="left"/>
            </w:pPr>
            <w:r>
              <w:rPr>
                <w:b/>
                <w:sz w:val="18"/>
                <w:szCs w:val="18"/>
              </w:rPr>
              <w:t xml:space="preserve"/>
            </w:r>
          </w:p>
        </w:tc>
        <w:tc>
          <w:tcPr>
            <w:tcW w:w="1700" w:type="dxa"/>
            <w:vAlign w:val="center"/>
          </w:tcPr>
          <w:p>
            <w:pPr>
              <w:spacing w:before="0" w:after="0"/>
              <w:jc w:val="right"/>
            </w:pPr>
            <w:r>
              <w:rPr>
                <w:b/>
                <w:sz w:val="18"/>
                <w:szCs w:val="18"/>
              </w:rPr>
              <w:t xml:space="preserve">134,610</w:t>
            </w:r>
          </w:p>
        </w:tc>
        <w:tc>
          <w:tcPr>
            <w:tcW w:w="1700" w:type="dxa"/>
            <w:vAlign w:val="center"/>
          </w:tcPr>
          <w:p>
            <w:pPr>
              <w:spacing w:before="0" w:after="0"/>
              <w:jc w:val="right"/>
            </w:pPr>
            <w:r>
              <w:rPr>
                <w:b/>
                <w:sz w:val="18"/>
                <w:szCs w:val="18"/>
              </w:rPr>
              <w:t xml:space="preserve">136,252</w:t>
            </w:r>
          </w:p>
        </w:tc>
      </w:tr>
      <w:tr>
        <w:tc>
          <w:tcPr>
            <w:tcW w:w="4872" w:type="dxa"/>
            <w:vAlign w:val="center"/>
          </w:tcPr>
          <w:p>
            <w:pPr>
              <w:spacing w:before="0" w:after="0"/>
              <w:jc w:val="left"/>
            </w:pPr>
            <w:r>
              <w:rPr>
                <w:b/>
                <w:sz w:val="18"/>
                <w:szCs w:val="18"/>
              </w:rPr>
              <w:t xml:space="preserve">Total liabilities and stockholders' equity</w:t>
            </w:r>
          </w:p>
        </w:tc>
        <w:tc>
          <w:tcPr>
            <w:tcW w:w="800" w:type="dxa"/>
            <w:vAlign w:val="center"/>
          </w:tcPr>
          <w:p>
            <w:pPr>
              <w:spacing w:before="0" w:after="0"/>
              <w:jc w:val="left"/>
            </w:pPr>
            <w:r>
              <w:rPr>
                <w:b/>
                <w:sz w:val="18"/>
                <w:szCs w:val="18"/>
              </w:rPr>
              <w:t xml:space="preserve"/>
            </w:r>
          </w:p>
        </w:tc>
        <w:tc>
          <w:tcPr>
            <w:tcW w:w="1700" w:type="dxa"/>
            <w:vAlign w:val="center"/>
          </w:tcPr>
          <w:p>
            <w:pPr>
              <w:spacing w:before="0" w:after="0"/>
              <w:jc w:val="right"/>
            </w:pPr>
            <w:r>
              <w:rPr>
                <w:b/>
                <w:sz w:val="18"/>
                <w:szCs w:val="18"/>
              </w:rPr>
              <w:t xml:space="preserve">315,565</w:t>
            </w:r>
          </w:p>
        </w:tc>
        <w:tc>
          <w:tcPr>
            <w:tcW w:w="1700" w:type="dxa"/>
            <w:vAlign w:val="center"/>
          </w:tcPr>
          <w:p>
            <w:pPr>
              <w:spacing w:before="0" w:after="0"/>
              <w:jc w:val="right"/>
            </w:pPr>
            <w:r>
              <w:rPr>
                <w:b/>
                <w:sz w:val="18"/>
                <w:szCs w:val="18"/>
              </w:rPr>
              <w:t xml:space="preserve">327,135</w:t>
            </w:r>
          </w:p>
        </w:tc>
      </w:tr>
    </w:tbl>
    <w:p>
      <w:pPr/>
    </w:p>
    <w:p>
      <w:r>
        <w:br w:type="page"/>
      </w:r>
    </w:p>
    <w:p>
      <w:pPr>
        <w:pStyle w:val="Heading3"/>
        <w:keepNext/>
      </w:pPr>
      <w:r>
        <w:t xml:space="preserve">Statements of Income</w:t>
      </w:r>
    </w:p>
    <w:p>
      <w:pPr>
        <w:jc w:val="right"/>
      </w:pPr>
      <w:r>
        <w:rPr>
          <w:sz w:val="18"/>
          <w:szCs w:val="18"/>
        </w:rPr>
        <w:t xml:space="preserve">(In thousands of U.S. dollars)</w:t>
      </w:r>
    </w:p>
    <w:tbl>
      <w:tblPr>
        <w:tblW w:w="907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72" w:type="dxa"/>
          <w:right w:w="72" w:type="dxa"/>
        </w:tblCellMar>
      </w:tblPr>
      <w:tblGrid>
        <w:gridCol w:w="4872"/>
        <w:gridCol w:w="800"/>
        <w:gridCol w:w="1700"/>
        <w:gridCol w:w="1700"/>
      </w:tblGrid>
      <w:tr>
        <w:trPr>
          <w:tblHeader/>
        </w:trPr>
        <w:tc>
          <w:tcPr>
            <w:tcW w:w="4872" w:type="dxa"/>
            <w:shd w:val="clear" w:color="auto" w:fill="DDEBF7"/>
            <w:vAlign w:val="center"/>
          </w:tcPr>
          <w:p>
            <w:pPr>
              <w:spacing w:before="0" w:after="0"/>
              <w:jc w:val="center"/>
            </w:pPr>
            <w:r>
              <w:rPr>
                <w:b/>
                <w:sz w:val="18"/>
                <w:szCs w:val="18"/>
              </w:rPr>
              <w:t xml:space="preserve"/>
            </w:r>
          </w:p>
        </w:tc>
        <w:tc>
          <w:tcPr>
            <w:tcW w:w="800" w:type="dxa"/>
            <w:shd w:val="clear" w:color="auto" w:fill="DDEBF7"/>
            <w:vAlign w:val="center"/>
          </w:tcPr>
          <w:p>
            <w:pPr>
              <w:spacing w:before="0" w:after="0"/>
              <w:jc w:val="center"/>
            </w:pPr>
            <w:r>
              <w:rPr>
                <w:b/>
                <w:sz w:val="18"/>
                <w:szCs w:val="18"/>
              </w:rPr>
              <w:t xml:space="preserve">Note</w:t>
            </w:r>
          </w:p>
        </w:tc>
        <w:tc>
          <w:tcPr>
            <w:tcW w:w="1700" w:type="dxa"/>
            <w:shd w:val="clear" w:color="auto" w:fill="DDEBF7"/>
            <w:vAlign w:val="center"/>
          </w:tcPr>
          <w:p>
            <w:pPr>
              <w:spacing w:before="0" w:after="0"/>
              <w:jc w:val="center"/>
            </w:pPr>
            <w:r>
              <w:rPr>
                <w:b/>
                <w:sz w:val="18"/>
                <w:szCs w:val="18"/>
              </w:rPr>
              <w:t xml:space="preserve">FY2023</w:t>
            </w:r>
          </w:p>
        </w:tc>
        <w:tc>
          <w:tcPr>
            <w:tcW w:w="1700" w:type="dxa"/>
            <w:shd w:val="clear" w:color="auto" w:fill="DDEBF7"/>
            <w:vAlign w:val="center"/>
          </w:tcPr>
          <w:p>
            <w:pPr>
              <w:spacing w:before="0" w:after="0"/>
              <w:jc w:val="center"/>
            </w:pPr>
            <w:r>
              <w:rPr>
                <w:b/>
                <w:sz w:val="18"/>
                <w:szCs w:val="18"/>
              </w:rPr>
              <w:t xml:space="preserve">FY2024</w:t>
            </w:r>
          </w:p>
        </w:tc>
      </w:tr>
      <w:tr>
        <w:tc>
          <w:tcPr>
            <w:tcW w:w="4872" w:type="dxa"/>
            <w:vAlign w:val="center"/>
          </w:tcPr>
          <w:p>
            <w:pPr>
              <w:spacing w:before="0" w:after="0"/>
              <w:jc w:val="left"/>
            </w:pPr>
            <w:r>
              <w:rPr>
                <w:b/>
                <w:sz w:val="18"/>
                <w:szCs w:val="18"/>
              </w:rPr>
              <w:t xml:space="preserve">Revenue</w:t>
            </w:r>
          </w:p>
        </w:tc>
        <w:tc>
          <w:tcPr>
            <w:tcW w:w="800" w:type="dxa"/>
            <w:vAlign w:val="center"/>
          </w:tcPr>
          <w:p>
            <w:pPr>
              <w:spacing w:before="0" w:after="0"/>
              <w:jc w:val="left"/>
            </w:pPr>
            <w:r>
              <w:rPr>
                <w:b/>
                <w:sz w:val="18"/>
                <w:szCs w:val="18"/>
              </w:rPr>
              <w:t xml:space="preserve"/>
            </w:r>
          </w:p>
        </w:tc>
        <w:tc>
          <w:tcPr>
            <w:tcW w:w="1700" w:type="dxa"/>
            <w:vAlign w:val="center"/>
          </w:tcPr>
          <w:p>
            <w:pPr>
              <w:spacing w:before="0" w:after="0"/>
              <w:jc w:val="right"/>
            </w:pPr>
            <w:r>
              <w:rPr>
                <w:b/>
                <w:sz w:val="18"/>
                <w:szCs w:val="18"/>
              </w:rPr>
              <w:t xml:space="preserve"/>
            </w:r>
          </w:p>
        </w:tc>
        <w:tc>
          <w:tcPr>
            <w:tcW w:w="1700" w:type="dxa"/>
            <w:vAlign w:val="center"/>
          </w:tcPr>
          <w:p>
            <w:pPr>
              <w:spacing w:before="0" w:after="0"/>
              <w:jc w:val="right"/>
            </w:pPr>
            <w:r>
              <w:rPr>
                <w:b/>
                <w:sz w:val="18"/>
                <w:szCs w:val="18"/>
              </w:rPr>
              <w:t xml:space="preserve"/>
            </w:r>
          </w:p>
        </w:tc>
      </w:tr>
      <w:tr>
        <w:tc>
          <w:tcPr>
            <w:tcW w:w="4872" w:type="dxa"/>
            <w:vAlign w:val="center"/>
          </w:tcPr>
          <w:p>
            <w:pPr>
              <w:spacing w:before="0" w:after="0"/>
              <w:jc w:val="left"/>
            </w:pPr>
            <w:r>
              <w:rPr>
                <w:sz w:val="18"/>
                <w:szCs w:val="18"/>
              </w:rPr>
              <w:t xml:space="preserve">Company-operated stores</w:t>
            </w:r>
          </w:p>
        </w:tc>
        <w:tc>
          <w:tcPr>
            <w:tcW w:w="800" w:type="dxa"/>
            <w:vAlign w:val="center"/>
          </w:tcPr>
          <w:p>
            <w:pPr>
              <w:spacing w:before="0" w:after="0"/>
              <w:jc w:val="left"/>
            </w:pPr>
            <w:r>
              <w:rPr>
                <w:sz w:val="18"/>
                <w:szCs w:val="18"/>
              </w:rPr>
              <w:t xml:space="preserve">5</w:t>
            </w:r>
          </w:p>
        </w:tc>
        <w:tc>
          <w:tcPr>
            <w:tcW w:w="1700" w:type="dxa"/>
            <w:vAlign w:val="center"/>
          </w:tcPr>
          <w:p>
            <w:pPr>
              <w:spacing w:before="0" w:after="0"/>
              <w:jc w:val="right"/>
            </w:pPr>
            <w:r>
              <w:rPr>
                <w:sz w:val="18"/>
                <w:szCs w:val="18"/>
              </w:rPr>
              <w:t xml:space="preserve">177,828</w:t>
            </w:r>
          </w:p>
        </w:tc>
        <w:tc>
          <w:tcPr>
            <w:tcW w:w="1700" w:type="dxa"/>
            <w:vAlign w:val="center"/>
          </w:tcPr>
          <w:p>
            <w:pPr>
              <w:spacing w:before="0" w:after="0"/>
              <w:jc w:val="right"/>
            </w:pPr>
            <w:r>
              <w:rPr>
                <w:sz w:val="18"/>
                <w:szCs w:val="18"/>
              </w:rPr>
              <w:t xml:space="preserve">198,904</w:t>
            </w:r>
          </w:p>
        </w:tc>
      </w:tr>
      <w:tr>
        <w:tc>
          <w:tcPr>
            <w:tcW w:w="4872" w:type="dxa"/>
            <w:vAlign w:val="center"/>
          </w:tcPr>
          <w:p>
            <w:pPr>
              <w:spacing w:before="0" w:after="0"/>
              <w:jc w:val="left"/>
            </w:pPr>
            <w:r>
              <w:rPr>
                <w:sz w:val="18"/>
                <w:szCs w:val="18"/>
              </w:rPr>
              <w:t xml:space="preserve">Online store</w:t>
            </w:r>
          </w:p>
        </w:tc>
        <w:tc>
          <w:tcPr>
            <w:tcW w:w="800" w:type="dxa"/>
            <w:vAlign w:val="center"/>
          </w:tcPr>
          <w:p>
            <w:pPr>
              <w:spacing w:before="0" w:after="0"/>
              <w:jc w:val="left"/>
            </w:pPr>
            <w:r>
              <w:rPr>
                <w:sz w:val="18"/>
                <w:szCs w:val="18"/>
              </w:rPr>
              <w:t xml:space="preserve"/>
            </w:r>
          </w:p>
        </w:tc>
        <w:tc>
          <w:tcPr>
            <w:tcW w:w="1700" w:type="dxa"/>
            <w:vAlign w:val="center"/>
          </w:tcPr>
          <w:p>
            <w:pPr>
              <w:spacing w:before="0" w:after="0"/>
              <w:jc w:val="right"/>
            </w:pPr>
            <w:r>
              <w:rPr>
                <w:sz w:val="18"/>
                <w:szCs w:val="18"/>
              </w:rPr>
              <w:t xml:space="preserve">22,721</w:t>
            </w:r>
          </w:p>
        </w:tc>
        <w:tc>
          <w:tcPr>
            <w:tcW w:w="1700" w:type="dxa"/>
            <w:vAlign w:val="center"/>
          </w:tcPr>
          <w:p>
            <w:pPr>
              <w:spacing w:before="0" w:after="0"/>
              <w:jc w:val="right"/>
            </w:pPr>
            <w:r>
              <w:rPr>
                <w:sz w:val="18"/>
                <w:szCs w:val="18"/>
              </w:rPr>
              <w:t xml:space="preserve">25,016</w:t>
            </w:r>
          </w:p>
        </w:tc>
      </w:tr>
      <w:tr>
        <w:tc>
          <w:tcPr>
            <w:tcW w:w="4872" w:type="dxa"/>
            <w:vAlign w:val="center"/>
          </w:tcPr>
          <w:p>
            <w:pPr>
              <w:spacing w:before="0" w:after="0"/>
              <w:jc w:val="left"/>
            </w:pPr>
            <w:r>
              <w:rPr>
                <w:sz w:val="18"/>
                <w:szCs w:val="18"/>
              </w:rPr>
              <w:t xml:space="preserve">Wholesale</w:t>
            </w:r>
          </w:p>
        </w:tc>
        <w:tc>
          <w:tcPr>
            <w:tcW w:w="800" w:type="dxa"/>
            <w:vAlign w:val="center"/>
          </w:tcPr>
          <w:p>
            <w:pPr>
              <w:spacing w:before="0" w:after="0"/>
              <w:jc w:val="left"/>
            </w:pPr>
            <w:r>
              <w:rPr>
                <w:sz w:val="18"/>
                <w:szCs w:val="18"/>
              </w:rPr>
              <w:t xml:space="preserve"/>
            </w:r>
          </w:p>
        </w:tc>
        <w:tc>
          <w:tcPr>
            <w:tcW w:w="1700" w:type="dxa"/>
            <w:vAlign w:val="center"/>
          </w:tcPr>
          <w:p>
            <w:pPr>
              <w:spacing w:before="0" w:after="0"/>
              <w:jc w:val="right"/>
            </w:pPr>
            <w:r>
              <w:rPr>
                <w:sz w:val="18"/>
                <w:szCs w:val="18"/>
              </w:rPr>
              <w:t xml:space="preserve">21,308</w:t>
            </w:r>
          </w:p>
        </w:tc>
        <w:tc>
          <w:tcPr>
            <w:tcW w:w="1700" w:type="dxa"/>
            <w:vAlign w:val="center"/>
          </w:tcPr>
          <w:p>
            <w:pPr>
              <w:spacing w:before="0" w:after="0"/>
              <w:jc w:val="right"/>
            </w:pPr>
            <w:r>
              <w:rPr>
                <w:sz w:val="18"/>
                <w:szCs w:val="18"/>
              </w:rPr>
              <w:t xml:space="preserve">17,080</w:t>
            </w:r>
          </w:p>
        </w:tc>
      </w:tr>
      <w:tr>
        <w:tc>
          <w:tcPr>
            <w:tcW w:w="4872" w:type="dxa"/>
            <w:vAlign w:val="center"/>
          </w:tcPr>
          <w:p>
            <w:pPr>
              <w:spacing w:before="0" w:after="0"/>
              <w:jc w:val="left"/>
            </w:pPr>
            <w:r>
              <w:rPr>
                <w:b/>
                <w:sz w:val="18"/>
                <w:szCs w:val="18"/>
              </w:rPr>
              <w:t xml:space="preserve">Total revenue</w:t>
            </w:r>
          </w:p>
        </w:tc>
        <w:tc>
          <w:tcPr>
            <w:tcW w:w="800" w:type="dxa"/>
            <w:vAlign w:val="center"/>
          </w:tcPr>
          <w:p>
            <w:pPr>
              <w:spacing w:before="0" w:after="0"/>
              <w:jc w:val="left"/>
            </w:pPr>
            <w:r>
              <w:rPr>
                <w:b/>
                <w:sz w:val="18"/>
                <w:szCs w:val="18"/>
              </w:rPr>
              <w:t xml:space="preserve"/>
            </w:r>
          </w:p>
        </w:tc>
        <w:tc>
          <w:tcPr>
            <w:tcW w:w="1700" w:type="dxa"/>
            <w:vAlign w:val="center"/>
          </w:tcPr>
          <w:p>
            <w:pPr>
              <w:spacing w:before="0" w:after="0"/>
              <w:jc w:val="right"/>
            </w:pPr>
            <w:r>
              <w:rPr>
                <w:b/>
                <w:sz w:val="18"/>
                <w:szCs w:val="18"/>
              </w:rPr>
              <w:t xml:space="preserve">221,858</w:t>
            </w:r>
          </w:p>
        </w:tc>
        <w:tc>
          <w:tcPr>
            <w:tcW w:w="1700" w:type="dxa"/>
            <w:vAlign w:val="center"/>
          </w:tcPr>
          <w:p>
            <w:pPr>
              <w:spacing w:before="0" w:after="0"/>
              <w:jc w:val="right"/>
            </w:pPr>
            <w:r>
              <w:rPr>
                <w:b/>
                <w:sz w:val="18"/>
                <w:szCs w:val="18"/>
              </w:rPr>
              <w:t xml:space="preserve">241,000</w:t>
            </w:r>
          </w:p>
        </w:tc>
      </w:tr>
      <w:tr>
        <w:tc>
          <w:tcPr>
            <w:tcW w:w="4872" w:type="dxa"/>
            <w:vAlign w:val="center"/>
          </w:tcPr>
          <w:p>
            <w:pPr>
              <w:spacing w:before="0" w:after="0"/>
              <w:jc w:val="left"/>
            </w:pPr>
            <w:r>
              <w:rPr>
                <w:b/>
                <w:sz w:val="18"/>
                <w:szCs w:val="18"/>
              </w:rPr>
              <w:t xml:space="preserve">Operating expenses</w:t>
            </w:r>
          </w:p>
        </w:tc>
        <w:tc>
          <w:tcPr>
            <w:tcW w:w="800" w:type="dxa"/>
            <w:vAlign w:val="center"/>
          </w:tcPr>
          <w:p>
            <w:pPr>
              <w:spacing w:before="0" w:after="0"/>
              <w:jc w:val="left"/>
            </w:pPr>
            <w:r>
              <w:rPr>
                <w:b/>
                <w:sz w:val="18"/>
                <w:szCs w:val="18"/>
              </w:rPr>
              <w:t xml:space="preserve"/>
            </w:r>
          </w:p>
        </w:tc>
        <w:tc>
          <w:tcPr>
            <w:tcW w:w="1700" w:type="dxa"/>
            <w:vAlign w:val="center"/>
          </w:tcPr>
          <w:p>
            <w:pPr>
              <w:spacing w:before="0" w:after="0"/>
              <w:jc w:val="right"/>
            </w:pPr>
            <w:r>
              <w:rPr>
                <w:b/>
                <w:sz w:val="18"/>
                <w:szCs w:val="18"/>
              </w:rPr>
              <w:t xml:space="preserve"/>
            </w:r>
          </w:p>
        </w:tc>
        <w:tc>
          <w:tcPr>
            <w:tcW w:w="1700" w:type="dxa"/>
            <w:vAlign w:val="center"/>
          </w:tcPr>
          <w:p>
            <w:pPr>
              <w:spacing w:before="0" w:after="0"/>
              <w:jc w:val="right"/>
            </w:pPr>
            <w:r>
              <w:rPr>
                <w:b/>
                <w:sz w:val="18"/>
                <w:szCs w:val="18"/>
              </w:rPr>
              <w:t xml:space="preserve"/>
            </w:r>
          </w:p>
        </w:tc>
      </w:tr>
      <w:tr>
        <w:tc>
          <w:tcPr>
            <w:tcW w:w="4872" w:type="dxa"/>
            <w:vAlign w:val="center"/>
          </w:tcPr>
          <w:p>
            <w:pPr>
              <w:spacing w:before="0" w:after="0"/>
              <w:jc w:val="left"/>
            </w:pPr>
            <w:r>
              <w:rPr>
                <w:sz w:val="18"/>
                <w:szCs w:val="18"/>
              </w:rPr>
              <w:t xml:space="preserve">Product and distribution costs</w:t>
            </w:r>
          </w:p>
        </w:tc>
        <w:tc>
          <w:tcPr>
            <w:tcW w:w="800" w:type="dxa"/>
            <w:vAlign w:val="center"/>
          </w:tcPr>
          <w:p>
            <w:pPr>
              <w:spacing w:before="0" w:after="0"/>
              <w:jc w:val="left"/>
            </w:pPr>
            <w:r>
              <w:rPr>
                <w:sz w:val="18"/>
                <w:szCs w:val="18"/>
              </w:rPr>
              <w:t xml:space="preserve"/>
            </w:r>
          </w:p>
        </w:tc>
        <w:tc>
          <w:tcPr>
            <w:tcW w:w="1700" w:type="dxa"/>
            <w:vAlign w:val="center"/>
          </w:tcPr>
          <w:p>
            <w:pPr>
              <w:spacing w:before="0" w:after="0"/>
              <w:jc w:val="right"/>
            </w:pPr>
            <w:r>
              <w:rPr>
                <w:sz w:val="18"/>
                <w:szCs w:val="18"/>
              </w:rPr>
              <w:t xml:space="preserve">65,456</w:t>
            </w:r>
          </w:p>
        </w:tc>
        <w:tc>
          <w:tcPr>
            <w:tcW w:w="1700" w:type="dxa"/>
            <w:vAlign w:val="center"/>
          </w:tcPr>
          <w:p>
            <w:pPr>
              <w:spacing w:before="0" w:after="0"/>
              <w:jc w:val="right"/>
            </w:pPr>
            <w:r>
              <w:rPr>
                <w:sz w:val="18"/>
                <w:szCs w:val="18"/>
              </w:rPr>
              <w:t xml:space="preserve">70,920</w:t>
            </w:r>
          </w:p>
        </w:tc>
      </w:tr>
      <w:tr>
        <w:tc>
          <w:tcPr>
            <w:tcW w:w="4872" w:type="dxa"/>
            <w:vAlign w:val="center"/>
          </w:tcPr>
          <w:p>
            <w:pPr>
              <w:spacing w:before="0" w:after="0"/>
              <w:jc w:val="left"/>
            </w:pPr>
            <w:r>
              <w:rPr>
                <w:sz w:val="18"/>
                <w:szCs w:val="18"/>
              </w:rPr>
              <w:t xml:space="preserve">Store operating expenses</w:t>
            </w:r>
          </w:p>
        </w:tc>
        <w:tc>
          <w:tcPr>
            <w:tcW w:w="800" w:type="dxa"/>
            <w:vAlign w:val="center"/>
          </w:tcPr>
          <w:p>
            <w:pPr>
              <w:spacing w:before="0" w:after="0"/>
              <w:jc w:val="left"/>
            </w:pPr>
            <w:r>
              <w:rPr>
                <w:sz w:val="18"/>
                <w:szCs w:val="18"/>
              </w:rPr>
              <w:t xml:space="preserve"/>
            </w:r>
          </w:p>
        </w:tc>
        <w:tc>
          <w:tcPr>
            <w:tcW w:w="1700" w:type="dxa"/>
            <w:vAlign w:val="center"/>
          </w:tcPr>
          <w:p>
            <w:pPr>
              <w:spacing w:before="0" w:after="0"/>
              <w:jc w:val="right"/>
            </w:pPr>
            <w:r>
              <w:rPr>
                <w:sz w:val="18"/>
                <w:szCs w:val="18"/>
              </w:rPr>
              <w:t xml:space="preserve">75,940</w:t>
            </w:r>
          </w:p>
        </w:tc>
        <w:tc>
          <w:tcPr>
            <w:tcW w:w="1700" w:type="dxa"/>
            <w:vAlign w:val="center"/>
          </w:tcPr>
          <w:p>
            <w:pPr>
              <w:spacing w:before="0" w:after="0"/>
              <w:jc w:val="right"/>
            </w:pPr>
            <w:r>
              <w:rPr>
                <w:sz w:val="18"/>
                <w:szCs w:val="18"/>
              </w:rPr>
              <w:t xml:space="preserve">84,138</w:t>
            </w:r>
          </w:p>
        </w:tc>
      </w:tr>
      <w:tr>
        <w:tc>
          <w:tcPr>
            <w:tcW w:w="4872" w:type="dxa"/>
            <w:vAlign w:val="center"/>
          </w:tcPr>
          <w:p>
            <w:pPr>
              <w:spacing w:before="0" w:after="0"/>
              <w:jc w:val="left"/>
            </w:pPr>
            <w:r>
              <w:rPr>
                <w:sz w:val="18"/>
                <w:szCs w:val="18"/>
              </w:rPr>
              <w:t xml:space="preserve">Occupancy costs</w:t>
            </w:r>
          </w:p>
        </w:tc>
        <w:tc>
          <w:tcPr>
            <w:tcW w:w="800" w:type="dxa"/>
            <w:vAlign w:val="center"/>
          </w:tcPr>
          <w:p>
            <w:pPr>
              <w:spacing w:before="0" w:after="0"/>
              <w:jc w:val="left"/>
            </w:pPr>
            <w:r>
              <w:rPr>
                <w:sz w:val="18"/>
                <w:szCs w:val="18"/>
              </w:rPr>
              <w:t xml:space="preserve">3</w:t>
            </w:r>
          </w:p>
        </w:tc>
        <w:tc>
          <w:tcPr>
            <w:tcW w:w="1700" w:type="dxa"/>
            <w:vAlign w:val="center"/>
          </w:tcPr>
          <w:p>
            <w:pPr>
              <w:spacing w:before="0" w:after="0"/>
              <w:jc w:val="right"/>
            </w:pPr>
            <w:r>
              <w:rPr>
                <w:sz w:val="18"/>
                <w:szCs w:val="18"/>
              </w:rPr>
              <w:t xml:space="preserve">25,173</w:t>
            </w:r>
          </w:p>
        </w:tc>
        <w:tc>
          <w:tcPr>
            <w:tcW w:w="1700" w:type="dxa"/>
            <w:vAlign w:val="center"/>
          </w:tcPr>
          <w:p>
            <w:pPr>
              <w:spacing w:before="0" w:after="0"/>
              <w:jc w:val="right"/>
            </w:pPr>
            <w:r>
              <w:rPr>
                <w:sz w:val="18"/>
                <w:szCs w:val="18"/>
              </w:rPr>
              <w:t xml:space="preserve">27,492</w:t>
            </w:r>
          </w:p>
        </w:tc>
      </w:tr>
      <w:tr>
        <w:tc>
          <w:tcPr>
            <w:tcW w:w="4872" w:type="dxa"/>
            <w:vAlign w:val="center"/>
          </w:tcPr>
          <w:p>
            <w:pPr>
              <w:spacing w:before="0" w:after="0"/>
              <w:jc w:val="left"/>
            </w:pPr>
            <w:r>
              <w:rPr>
                <w:sz w:val="18"/>
                <w:szCs w:val="18"/>
              </w:rPr>
              <w:t xml:space="preserve">Depreciation and amortization</w:t>
            </w:r>
          </w:p>
        </w:tc>
        <w:tc>
          <w:tcPr>
            <w:tcW w:w="800" w:type="dxa"/>
            <w:vAlign w:val="center"/>
          </w:tcPr>
          <w:p>
            <w:pPr>
              <w:spacing w:before="0" w:after="0"/>
              <w:jc w:val="left"/>
            </w:pPr>
            <w:r>
              <w:rPr>
                <w:sz w:val="18"/>
                <w:szCs w:val="18"/>
              </w:rPr>
              <w:t xml:space="preserve">7</w:t>
            </w:r>
          </w:p>
        </w:tc>
        <w:tc>
          <w:tcPr>
            <w:tcW w:w="1700" w:type="dxa"/>
            <w:vAlign w:val="center"/>
          </w:tcPr>
          <w:p>
            <w:pPr>
              <w:spacing w:before="0" w:after="0"/>
              <w:jc w:val="right"/>
            </w:pPr>
            <w:r>
              <w:rPr>
                <w:sz w:val="18"/>
                <w:szCs w:val="18"/>
              </w:rPr>
              <w:t xml:space="preserve">11,879</w:t>
            </w:r>
          </w:p>
        </w:tc>
        <w:tc>
          <w:tcPr>
            <w:tcW w:w="1700" w:type="dxa"/>
            <w:vAlign w:val="center"/>
          </w:tcPr>
          <w:p>
            <w:pPr>
              <w:spacing w:before="0" w:after="0"/>
              <w:jc w:val="right"/>
            </w:pPr>
            <w:r>
              <w:rPr>
                <w:sz w:val="18"/>
                <w:szCs w:val="18"/>
              </w:rPr>
              <w:t xml:space="preserve">13,153</w:t>
            </w:r>
          </w:p>
        </w:tc>
      </w:tr>
      <w:tr>
        <w:tc>
          <w:tcPr>
            <w:tcW w:w="4872" w:type="dxa"/>
            <w:vAlign w:val="center"/>
          </w:tcPr>
          <w:p>
            <w:pPr>
              <w:spacing w:before="0" w:after="0"/>
              <w:jc w:val="left"/>
            </w:pPr>
            <w:r>
              <w:rPr>
                <w:sz w:val="18"/>
                <w:szCs w:val="18"/>
              </w:rPr>
              <w:t xml:space="preserve">General and administrative expenses</w:t>
            </w:r>
          </w:p>
        </w:tc>
        <w:tc>
          <w:tcPr>
            <w:tcW w:w="800" w:type="dxa"/>
            <w:vAlign w:val="center"/>
          </w:tcPr>
          <w:p>
            <w:pPr>
              <w:spacing w:before="0" w:after="0"/>
              <w:jc w:val="left"/>
            </w:pPr>
            <w:r>
              <w:rPr>
                <w:sz w:val="18"/>
                <w:szCs w:val="18"/>
              </w:rPr>
              <w:t xml:space="preserve"/>
            </w:r>
          </w:p>
        </w:tc>
        <w:tc>
          <w:tcPr>
            <w:tcW w:w="1700" w:type="dxa"/>
            <w:vAlign w:val="center"/>
          </w:tcPr>
          <w:p>
            <w:pPr>
              <w:spacing w:before="0" w:after="0"/>
              <w:jc w:val="right"/>
            </w:pPr>
            <w:r>
              <w:rPr>
                <w:sz w:val="18"/>
                <w:szCs w:val="18"/>
              </w:rPr>
              <w:t xml:space="preserve">14,904</w:t>
            </w:r>
          </w:p>
        </w:tc>
        <w:tc>
          <w:tcPr>
            <w:tcW w:w="1700" w:type="dxa"/>
            <w:vAlign w:val="center"/>
          </w:tcPr>
          <w:p>
            <w:pPr>
              <w:spacing w:before="0" w:after="0"/>
              <w:jc w:val="right"/>
            </w:pPr>
            <w:r>
              <w:rPr>
                <w:sz w:val="18"/>
                <w:szCs w:val="18"/>
              </w:rPr>
              <w:t xml:space="preserve">16,608</w:t>
            </w:r>
          </w:p>
        </w:tc>
      </w:tr>
      <w:tr>
        <w:tc>
          <w:tcPr>
            <w:tcW w:w="4872" w:type="dxa"/>
            <w:vAlign w:val="center"/>
          </w:tcPr>
          <w:p>
            <w:pPr>
              <w:spacing w:before="0" w:after="0"/>
              <w:jc w:val="left"/>
            </w:pPr>
            <w:r>
              <w:rPr>
                <w:sz w:val="18"/>
                <w:szCs w:val="18"/>
              </w:rPr>
              <w:t xml:space="preserve">Store opening expenses</w:t>
            </w:r>
          </w:p>
        </w:tc>
        <w:tc>
          <w:tcPr>
            <w:tcW w:w="800" w:type="dxa"/>
            <w:vAlign w:val="center"/>
          </w:tcPr>
          <w:p>
            <w:pPr>
              <w:spacing w:before="0" w:after="0"/>
              <w:jc w:val="left"/>
            </w:pPr>
            <w:r>
              <w:rPr>
                <w:sz w:val="18"/>
                <w:szCs w:val="18"/>
              </w:rPr>
              <w:t xml:space="preserve"/>
            </w:r>
          </w:p>
        </w:tc>
        <w:tc>
          <w:tcPr>
            <w:tcW w:w="1700" w:type="dxa"/>
            <w:vAlign w:val="center"/>
          </w:tcPr>
          <w:p>
            <w:pPr>
              <w:spacing w:before="0" w:after="0"/>
              <w:jc w:val="right"/>
            </w:pPr>
            <w:r>
              <w:rPr>
                <w:sz w:val="18"/>
                <w:szCs w:val="18"/>
              </w:rPr>
              <w:t xml:space="preserve">1,579</w:t>
            </w:r>
          </w:p>
        </w:tc>
        <w:tc>
          <w:tcPr>
            <w:tcW w:w="1700" w:type="dxa"/>
            <w:vAlign w:val="center"/>
          </w:tcPr>
          <w:p>
            <w:pPr>
              <w:spacing w:before="0" w:after="0"/>
              <w:jc w:val="right"/>
            </w:pPr>
            <w:r>
              <w:rPr>
                <w:sz w:val="18"/>
                <w:szCs w:val="18"/>
              </w:rPr>
              <w:t xml:space="preserve">982</w:t>
            </w:r>
          </w:p>
        </w:tc>
      </w:tr>
      <w:tr>
        <w:tc>
          <w:tcPr>
            <w:tcW w:w="4872" w:type="dxa"/>
            <w:vAlign w:val="center"/>
          </w:tcPr>
          <w:p>
            <w:pPr>
              <w:spacing w:before="0" w:after="0"/>
              <w:jc w:val="left"/>
            </w:pPr>
            <w:r>
              <w:rPr>
                <w:b/>
                <w:sz w:val="18"/>
                <w:szCs w:val="18"/>
              </w:rPr>
              <w:t xml:space="preserve">Total operating expenses</w:t>
            </w:r>
          </w:p>
        </w:tc>
        <w:tc>
          <w:tcPr>
            <w:tcW w:w="800" w:type="dxa"/>
            <w:vAlign w:val="center"/>
          </w:tcPr>
          <w:p>
            <w:pPr>
              <w:spacing w:before="0" w:after="0"/>
              <w:jc w:val="left"/>
            </w:pPr>
            <w:r>
              <w:rPr>
                <w:b/>
                <w:sz w:val="18"/>
                <w:szCs w:val="18"/>
              </w:rPr>
              <w:t xml:space="preserve">12</w:t>
            </w:r>
          </w:p>
        </w:tc>
        <w:tc>
          <w:tcPr>
            <w:tcW w:w="1700" w:type="dxa"/>
            <w:vAlign w:val="center"/>
          </w:tcPr>
          <w:p>
            <w:pPr>
              <w:spacing w:before="0" w:after="0"/>
              <w:jc w:val="right"/>
            </w:pPr>
            <w:r>
              <w:rPr>
                <w:b/>
                <w:sz w:val="18"/>
                <w:szCs w:val="18"/>
              </w:rPr>
              <w:t xml:space="preserve">194,931</w:t>
            </w:r>
          </w:p>
        </w:tc>
        <w:tc>
          <w:tcPr>
            <w:tcW w:w="1700" w:type="dxa"/>
            <w:vAlign w:val="center"/>
          </w:tcPr>
          <w:p>
            <w:pPr>
              <w:spacing w:before="0" w:after="0"/>
              <w:jc w:val="right"/>
            </w:pPr>
            <w:r>
              <w:rPr>
                <w:b/>
                <w:sz w:val="18"/>
                <w:szCs w:val="18"/>
              </w:rPr>
              <w:t xml:space="preserve">213,293</w:t>
            </w:r>
          </w:p>
        </w:tc>
      </w:tr>
      <w:tr>
        <w:tc>
          <w:tcPr>
            <w:tcW w:w="4872" w:type="dxa"/>
            <w:vAlign w:val="center"/>
          </w:tcPr>
          <w:p>
            <w:pPr>
              <w:spacing w:before="0" w:after="0"/>
              <w:jc w:val="left"/>
            </w:pPr>
            <w:r>
              <w:rPr>
                <w:b/>
                <w:sz w:val="18"/>
                <w:szCs w:val="18"/>
              </w:rPr>
              <w:t xml:space="preserve">Operating income</w:t>
            </w:r>
          </w:p>
        </w:tc>
        <w:tc>
          <w:tcPr>
            <w:tcW w:w="800" w:type="dxa"/>
            <w:vAlign w:val="center"/>
          </w:tcPr>
          <w:p>
            <w:pPr>
              <w:spacing w:before="0" w:after="0"/>
              <w:jc w:val="left"/>
            </w:pPr>
            <w:r>
              <w:rPr>
                <w:b/>
                <w:sz w:val="18"/>
                <w:szCs w:val="18"/>
              </w:rPr>
              <w:t xml:space="preserve">15</w:t>
            </w:r>
          </w:p>
        </w:tc>
        <w:tc>
          <w:tcPr>
            <w:tcW w:w="1700" w:type="dxa"/>
            <w:vAlign w:val="center"/>
          </w:tcPr>
          <w:p>
            <w:pPr>
              <w:spacing w:before="0" w:after="0"/>
              <w:jc w:val="right"/>
            </w:pPr>
            <w:r>
              <w:rPr>
                <w:b/>
                <w:sz w:val="18"/>
                <w:szCs w:val="18"/>
              </w:rPr>
              <w:t xml:space="preserve">26,927</w:t>
            </w:r>
          </w:p>
        </w:tc>
        <w:tc>
          <w:tcPr>
            <w:tcW w:w="1700" w:type="dxa"/>
            <w:vAlign w:val="center"/>
          </w:tcPr>
          <w:p>
            <w:pPr>
              <w:spacing w:before="0" w:after="0"/>
              <w:jc w:val="right"/>
            </w:pPr>
            <w:r>
              <w:rPr>
                <w:b/>
                <w:sz w:val="18"/>
                <w:szCs w:val="18"/>
              </w:rPr>
              <w:t xml:space="preserve">27,707</w:t>
            </w:r>
          </w:p>
        </w:tc>
      </w:tr>
      <w:tr>
        <w:tc>
          <w:tcPr>
            <w:tcW w:w="4872" w:type="dxa"/>
            <w:vAlign w:val="center"/>
          </w:tcPr>
          <w:p>
            <w:pPr>
              <w:spacing w:before="0" w:after="0"/>
              <w:jc w:val="left"/>
            </w:pPr>
            <w:r>
              <w:rPr>
                <w:sz w:val="18"/>
                <w:szCs w:val="18"/>
              </w:rPr>
              <w:t xml:space="preserve">Interest income</w:t>
            </w:r>
          </w:p>
        </w:tc>
        <w:tc>
          <w:tcPr>
            <w:tcW w:w="800" w:type="dxa"/>
            <w:vAlign w:val="center"/>
          </w:tcPr>
          <w:p>
            <w:pPr>
              <w:spacing w:before="0" w:after="0"/>
              <w:jc w:val="left"/>
            </w:pPr>
            <w:r>
              <w:rPr>
                <w:sz w:val="18"/>
                <w:szCs w:val="18"/>
              </w:rPr>
              <w:t xml:space="preserve"/>
            </w:r>
          </w:p>
        </w:tc>
        <w:tc>
          <w:tcPr>
            <w:tcW w:w="1700" w:type="dxa"/>
            <w:vAlign w:val="center"/>
          </w:tcPr>
          <w:p>
            <w:pPr>
              <w:spacing w:before="0" w:after="0"/>
              <w:jc w:val="right"/>
            </w:pPr>
            <w:r>
              <w:rPr>
                <w:sz w:val="18"/>
                <w:szCs w:val="18"/>
              </w:rPr>
              <w:t xml:space="preserve">222</w:t>
            </w:r>
          </w:p>
        </w:tc>
        <w:tc>
          <w:tcPr>
            <w:tcW w:w="1700" w:type="dxa"/>
            <w:vAlign w:val="center"/>
          </w:tcPr>
          <w:p>
            <w:pPr>
              <w:spacing w:before="0" w:after="0"/>
              <w:jc w:val="right"/>
            </w:pPr>
            <w:r>
              <w:rPr>
                <w:sz w:val="18"/>
                <w:szCs w:val="18"/>
              </w:rPr>
              <w:t xml:space="preserve">241</w:t>
            </w:r>
          </w:p>
        </w:tc>
      </w:tr>
      <w:tr>
        <w:tc>
          <w:tcPr>
            <w:tcW w:w="4872" w:type="dxa"/>
            <w:vAlign w:val="center"/>
          </w:tcPr>
          <w:p>
            <w:pPr>
              <w:spacing w:before="0" w:after="0"/>
              <w:jc w:val="left"/>
            </w:pPr>
            <w:r>
              <w:rPr>
                <w:sz w:val="18"/>
                <w:szCs w:val="18"/>
              </w:rPr>
              <w:t xml:space="preserve">Interest expense</w:t>
            </w:r>
          </w:p>
        </w:tc>
        <w:tc>
          <w:tcPr>
            <w:tcW w:w="800" w:type="dxa"/>
            <w:vAlign w:val="center"/>
          </w:tcPr>
          <w:p>
            <w:pPr>
              <w:spacing w:before="0" w:after="0"/>
              <w:jc w:val="left"/>
            </w:pPr>
            <w:r>
              <w:rPr>
                <w:sz w:val="18"/>
                <w:szCs w:val="18"/>
              </w:rPr>
              <w:t xml:space="preserve"/>
            </w:r>
          </w:p>
        </w:tc>
        <w:tc>
          <w:tcPr>
            <w:tcW w:w="1700" w:type="dxa"/>
            <w:vAlign w:val="center"/>
          </w:tcPr>
          <w:p>
            <w:pPr>
              <w:spacing w:before="0" w:after="0"/>
              <w:jc w:val="right"/>
            </w:pPr>
            <w:r>
              <w:rPr>
                <w:sz w:val="18"/>
                <w:szCs w:val="18"/>
              </w:rPr>
              <w:t xml:space="preserve">(1,013)</w:t>
            </w:r>
          </w:p>
        </w:tc>
        <w:tc>
          <w:tcPr>
            <w:tcW w:w="1700" w:type="dxa"/>
            <w:vAlign w:val="center"/>
          </w:tcPr>
          <w:p>
            <w:pPr>
              <w:spacing w:before="0" w:after="0"/>
              <w:jc w:val="right"/>
            </w:pPr>
            <w:r>
              <w:rPr>
                <w:sz w:val="18"/>
                <w:szCs w:val="18"/>
              </w:rPr>
              <w:t xml:space="preserve">(1,078)</w:t>
            </w:r>
          </w:p>
        </w:tc>
      </w:tr>
      <w:tr>
        <w:tc>
          <w:tcPr>
            <w:tcW w:w="4872" w:type="dxa"/>
            <w:vAlign w:val="center"/>
          </w:tcPr>
          <w:p>
            <w:pPr>
              <w:spacing w:before="0" w:after="0"/>
              <w:jc w:val="left"/>
            </w:pPr>
            <w:r>
              <w:rPr>
                <w:sz w:val="18"/>
                <w:szCs w:val="18"/>
              </w:rPr>
              <w:t xml:space="preserve">Other income (expense), net</w:t>
            </w:r>
          </w:p>
        </w:tc>
        <w:tc>
          <w:tcPr>
            <w:tcW w:w="800" w:type="dxa"/>
            <w:vAlign w:val="center"/>
          </w:tcPr>
          <w:p>
            <w:pPr>
              <w:spacing w:before="0" w:after="0"/>
              <w:jc w:val="left"/>
            </w:pPr>
            <w:r>
              <w:rPr>
                <w:sz w:val="18"/>
                <w:szCs w:val="18"/>
              </w:rPr>
              <w:t xml:space="preserve">7</w:t>
            </w:r>
          </w:p>
        </w:tc>
        <w:tc>
          <w:tcPr>
            <w:tcW w:w="1700" w:type="dxa"/>
            <w:vAlign w:val="center"/>
          </w:tcPr>
          <w:p>
            <w:pPr>
              <w:spacing w:before="0" w:after="0"/>
              <w:jc w:val="right"/>
            </w:pPr>
            <w:r>
              <w:rPr>
                <w:sz w:val="18"/>
                <w:szCs w:val="18"/>
              </w:rPr>
              <w:t xml:space="preserve">57</w:t>
            </w:r>
          </w:p>
        </w:tc>
        <w:tc>
          <w:tcPr>
            <w:tcW w:w="1700" w:type="dxa"/>
            <w:vAlign w:val="center"/>
          </w:tcPr>
          <w:p>
            <w:pPr>
              <w:spacing w:before="0" w:after="0"/>
              <w:jc w:val="right"/>
            </w:pPr>
            <w:r>
              <w:rPr>
                <w:sz w:val="18"/>
                <w:szCs w:val="18"/>
              </w:rPr>
              <w:t xml:space="preserve">(232)</w:t>
            </w:r>
          </w:p>
        </w:tc>
      </w:tr>
      <w:tr>
        <w:tc>
          <w:tcPr>
            <w:tcW w:w="4872" w:type="dxa"/>
            <w:vAlign w:val="center"/>
          </w:tcPr>
          <w:p>
            <w:pPr>
              <w:spacing w:before="0" w:after="0"/>
              <w:jc w:val="left"/>
            </w:pPr>
            <w:r>
              <w:rPr>
                <w:b/>
                <w:sz w:val="18"/>
                <w:szCs w:val="18"/>
              </w:rPr>
              <w:t xml:space="preserve">Income before income taxes</w:t>
            </w:r>
          </w:p>
        </w:tc>
        <w:tc>
          <w:tcPr>
            <w:tcW w:w="800" w:type="dxa"/>
            <w:vAlign w:val="center"/>
          </w:tcPr>
          <w:p>
            <w:pPr>
              <w:spacing w:before="0" w:after="0"/>
              <w:jc w:val="left"/>
            </w:pPr>
            <w:r>
              <w:rPr>
                <w:b/>
                <w:sz w:val="18"/>
                <w:szCs w:val="18"/>
              </w:rPr>
              <w:t xml:space="preserve"/>
            </w:r>
          </w:p>
        </w:tc>
        <w:tc>
          <w:tcPr>
            <w:tcW w:w="1700" w:type="dxa"/>
            <w:vAlign w:val="center"/>
          </w:tcPr>
          <w:p>
            <w:pPr>
              <w:spacing w:before="0" w:after="0"/>
              <w:jc w:val="right"/>
            </w:pPr>
            <w:r>
              <w:rPr>
                <w:b/>
                <w:sz w:val="18"/>
                <w:szCs w:val="18"/>
              </w:rPr>
              <w:t xml:space="preserve">26,192</w:t>
            </w:r>
          </w:p>
        </w:tc>
        <w:tc>
          <w:tcPr>
            <w:tcW w:w="1700" w:type="dxa"/>
            <w:vAlign w:val="center"/>
          </w:tcPr>
          <w:p>
            <w:pPr>
              <w:spacing w:before="0" w:after="0"/>
              <w:jc w:val="right"/>
            </w:pPr>
            <w:r>
              <w:rPr>
                <w:b/>
                <w:sz w:val="18"/>
                <w:szCs w:val="18"/>
              </w:rPr>
              <w:t xml:space="preserve">26,638</w:t>
            </w:r>
          </w:p>
        </w:tc>
      </w:tr>
      <w:tr>
        <w:tc>
          <w:tcPr>
            <w:tcW w:w="4872" w:type="dxa"/>
            <w:vAlign w:val="center"/>
          </w:tcPr>
          <w:p>
            <w:pPr>
              <w:spacing w:before="0" w:after="0"/>
              <w:jc w:val="left"/>
            </w:pPr>
            <w:r>
              <w:rPr>
                <w:sz w:val="18"/>
                <w:szCs w:val="18"/>
              </w:rPr>
              <w:t xml:space="preserve">Income tax expense</w:t>
            </w:r>
          </w:p>
        </w:tc>
        <w:tc>
          <w:tcPr>
            <w:tcW w:w="800" w:type="dxa"/>
            <w:vAlign w:val="center"/>
          </w:tcPr>
          <w:p>
            <w:pPr>
              <w:spacing w:before="0" w:after="0"/>
              <w:jc w:val="left"/>
            </w:pPr>
            <w:r>
              <w:rPr>
                <w:sz w:val="18"/>
                <w:szCs w:val="18"/>
              </w:rPr>
              <w:t xml:space="preserve"/>
            </w:r>
          </w:p>
        </w:tc>
        <w:tc>
          <w:tcPr>
            <w:tcW w:w="1700" w:type="dxa"/>
            <w:vAlign w:val="center"/>
          </w:tcPr>
          <w:p>
            <w:pPr>
              <w:spacing w:before="0" w:after="0"/>
              <w:jc w:val="right"/>
            </w:pPr>
            <w:r>
              <w:rPr>
                <w:sz w:val="18"/>
                <w:szCs w:val="18"/>
              </w:rPr>
              <w:t xml:space="preserve">(6,399)</w:t>
            </w:r>
          </w:p>
        </w:tc>
        <w:tc>
          <w:tcPr>
            <w:tcW w:w="1700" w:type="dxa"/>
            <w:vAlign w:val="center"/>
          </w:tcPr>
          <w:p>
            <w:pPr>
              <w:spacing w:before="0" w:after="0"/>
              <w:jc w:val="right"/>
            </w:pPr>
            <w:r>
              <w:rPr>
                <w:sz w:val="18"/>
                <w:szCs w:val="18"/>
              </w:rPr>
              <w:t xml:space="preserve">(6,982)</w:t>
            </w:r>
          </w:p>
        </w:tc>
      </w:tr>
      <w:tr>
        <w:tc>
          <w:tcPr>
            <w:tcW w:w="4872" w:type="dxa"/>
            <w:vAlign w:val="center"/>
          </w:tcPr>
          <w:p>
            <w:pPr>
              <w:spacing w:before="0" w:after="0"/>
              <w:jc w:val="left"/>
            </w:pPr>
            <w:r>
              <w:rPr>
                <w:b/>
                <w:sz w:val="18"/>
                <w:szCs w:val="18"/>
              </w:rPr>
              <w:t xml:space="preserve">Net income</w:t>
            </w:r>
          </w:p>
        </w:tc>
        <w:tc>
          <w:tcPr>
            <w:tcW w:w="800" w:type="dxa"/>
            <w:vAlign w:val="center"/>
          </w:tcPr>
          <w:p>
            <w:pPr>
              <w:spacing w:before="0" w:after="0"/>
              <w:jc w:val="left"/>
            </w:pPr>
            <w:r>
              <w:rPr>
                <w:b/>
                <w:sz w:val="18"/>
                <w:szCs w:val="18"/>
              </w:rPr>
              <w:t xml:space="preserve"/>
            </w:r>
          </w:p>
        </w:tc>
        <w:tc>
          <w:tcPr>
            <w:tcW w:w="1700" w:type="dxa"/>
            <w:vAlign w:val="center"/>
          </w:tcPr>
          <w:p>
            <w:pPr>
              <w:spacing w:before="0" w:after="0"/>
              <w:jc w:val="right"/>
            </w:pPr>
            <w:r>
              <w:rPr>
                <w:b/>
                <w:sz w:val="18"/>
                <w:szCs w:val="18"/>
              </w:rPr>
              <w:t xml:space="preserve">19,793</w:t>
            </w:r>
          </w:p>
        </w:tc>
        <w:tc>
          <w:tcPr>
            <w:tcW w:w="1700" w:type="dxa"/>
            <w:vAlign w:val="center"/>
          </w:tcPr>
          <w:p>
            <w:pPr>
              <w:spacing w:before="0" w:after="0"/>
              <w:jc w:val="right"/>
            </w:pPr>
            <w:r>
              <w:rPr>
                <w:b/>
                <w:sz w:val="18"/>
                <w:szCs w:val="18"/>
              </w:rPr>
              <w:t xml:space="preserve">19,656</w:t>
            </w:r>
          </w:p>
        </w:tc>
      </w:tr>
      <w:tr>
        <w:tc>
          <w:tcPr>
            <w:tcW w:w="4872" w:type="dxa"/>
            <w:vAlign w:val="center"/>
          </w:tcPr>
          <w:p>
            <w:pPr>
              <w:spacing w:before="0" w:after="0"/>
              <w:jc w:val="left"/>
            </w:pPr>
            <w:r>
              <w:rPr>
                <w:sz w:val="18"/>
                <w:szCs w:val="18"/>
              </w:rPr>
              <w:t xml:space="preserve">Earnings per share, basic (in dollars)</w:t>
            </w:r>
          </w:p>
        </w:tc>
        <w:tc>
          <w:tcPr>
            <w:tcW w:w="800" w:type="dxa"/>
            <w:vAlign w:val="center"/>
          </w:tcPr>
          <w:p>
            <w:pPr>
              <w:spacing w:before="0" w:after="0"/>
              <w:jc w:val="left"/>
            </w:pPr>
            <w:r>
              <w:rPr>
                <w:sz w:val="18"/>
                <w:szCs w:val="18"/>
              </w:rPr>
              <w:t xml:space="preserve"/>
            </w:r>
          </w:p>
        </w:tc>
        <w:tc>
          <w:tcPr>
            <w:tcW w:w="1700" w:type="dxa"/>
            <w:vAlign w:val="center"/>
          </w:tcPr>
          <w:p>
            <w:pPr>
              <w:spacing w:before="0" w:after="0"/>
              <w:jc w:val="right"/>
            </w:pPr>
            <w:r>
              <w:rPr>
                <w:sz w:val="18"/>
                <w:szCs w:val="18"/>
              </w:rPr>
              <w:t xml:space="preserve">0.48</w:t>
            </w:r>
          </w:p>
        </w:tc>
        <w:tc>
          <w:tcPr>
            <w:tcW w:w="1700" w:type="dxa"/>
            <w:vAlign w:val="center"/>
          </w:tcPr>
          <w:p>
            <w:pPr>
              <w:spacing w:before="0" w:after="0"/>
              <w:jc w:val="right"/>
            </w:pPr>
            <w:r>
              <w:rPr>
                <w:sz w:val="18"/>
                <w:szCs w:val="18"/>
              </w:rPr>
              <w:t xml:space="preserve">0.48</w:t>
            </w:r>
          </w:p>
        </w:tc>
      </w:tr>
      <w:tr>
        <w:tc>
          <w:tcPr>
            <w:tcW w:w="4872" w:type="dxa"/>
            <w:vAlign w:val="center"/>
          </w:tcPr>
          <w:p>
            <w:pPr>
              <w:spacing w:before="0" w:after="0"/>
              <w:jc w:val="left"/>
            </w:pPr>
            <w:r>
              <w:rPr>
                <w:sz w:val="18"/>
                <w:szCs w:val="18"/>
              </w:rPr>
              <w:t xml:space="preserve">Earnings per share, diluted (in dollars)</w:t>
            </w:r>
          </w:p>
        </w:tc>
        <w:tc>
          <w:tcPr>
            <w:tcW w:w="800" w:type="dxa"/>
            <w:vAlign w:val="center"/>
          </w:tcPr>
          <w:p>
            <w:pPr>
              <w:spacing w:before="0" w:after="0"/>
              <w:jc w:val="left"/>
            </w:pPr>
            <w:r>
              <w:rPr>
                <w:sz w:val="18"/>
                <w:szCs w:val="18"/>
              </w:rPr>
              <w:t xml:space="preserve"/>
            </w:r>
          </w:p>
        </w:tc>
        <w:tc>
          <w:tcPr>
            <w:tcW w:w="1700" w:type="dxa"/>
            <w:vAlign w:val="center"/>
          </w:tcPr>
          <w:p>
            <w:pPr>
              <w:spacing w:before="0" w:after="0"/>
              <w:jc w:val="right"/>
            </w:pPr>
            <w:r>
              <w:rPr>
                <w:sz w:val="18"/>
                <w:szCs w:val="18"/>
              </w:rPr>
              <w:t xml:space="preserve">0.47</w:t>
            </w:r>
          </w:p>
        </w:tc>
        <w:tc>
          <w:tcPr>
            <w:tcW w:w="1700" w:type="dxa"/>
            <w:vAlign w:val="center"/>
          </w:tcPr>
          <w:p>
            <w:pPr>
              <w:spacing w:before="0" w:after="0"/>
              <w:jc w:val="right"/>
            </w:pPr>
            <w:r>
              <w:rPr>
                <w:sz w:val="18"/>
                <w:szCs w:val="18"/>
              </w:rPr>
              <w:t xml:space="preserve">0.46</w:t>
            </w:r>
          </w:p>
        </w:tc>
      </w:tr>
    </w:tbl>
    <w:p>
      <w:pPr/>
    </w:p>
    <w:p>
      <w:r>
        <w:br w:type="page"/>
      </w:r>
    </w:p>
    <w:p>
      <w:pPr>
        <w:pStyle w:val="Heading3"/>
        <w:keepNext/>
      </w:pPr>
      <w:r>
        <w:t xml:space="preserve">Statements of Cash Flows</w:t>
      </w:r>
    </w:p>
    <w:p>
      <w:pPr>
        <w:jc w:val="right"/>
      </w:pPr>
      <w:r>
        <w:rPr>
          <w:sz w:val="18"/>
          <w:szCs w:val="18"/>
        </w:rPr>
        <w:t xml:space="preserve">(In thousands of U.S. dollars)</w:t>
      </w:r>
    </w:p>
    <w:tbl>
      <w:tblPr>
        <w:tblW w:w="907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72" w:type="dxa"/>
          <w:right w:w="72" w:type="dxa"/>
        </w:tblCellMar>
      </w:tblPr>
      <w:tblGrid>
        <w:gridCol w:w="4872"/>
        <w:gridCol w:w="800"/>
        <w:gridCol w:w="1700"/>
        <w:gridCol w:w="1700"/>
      </w:tblGrid>
      <w:tr>
        <w:trPr>
          <w:tblHeader/>
        </w:trPr>
        <w:tc>
          <w:tcPr>
            <w:tcW w:w="4872" w:type="dxa"/>
            <w:shd w:val="clear" w:color="auto" w:fill="DDEBF7"/>
            <w:vAlign w:val="center"/>
          </w:tcPr>
          <w:p>
            <w:pPr>
              <w:spacing w:before="0" w:after="0"/>
              <w:jc w:val="center"/>
            </w:pPr>
            <w:r>
              <w:rPr>
                <w:b/>
                <w:sz w:val="18"/>
                <w:szCs w:val="18"/>
              </w:rPr>
              <w:t xml:space="preserve"/>
            </w:r>
          </w:p>
        </w:tc>
        <w:tc>
          <w:tcPr>
            <w:tcW w:w="800" w:type="dxa"/>
            <w:shd w:val="clear" w:color="auto" w:fill="DDEBF7"/>
            <w:vAlign w:val="center"/>
          </w:tcPr>
          <w:p>
            <w:pPr>
              <w:spacing w:before="0" w:after="0"/>
              <w:jc w:val="center"/>
            </w:pPr>
            <w:r>
              <w:rPr>
                <w:b/>
                <w:sz w:val="18"/>
                <w:szCs w:val="18"/>
              </w:rPr>
              <w:t xml:space="preserve">Note</w:t>
            </w:r>
          </w:p>
        </w:tc>
        <w:tc>
          <w:tcPr>
            <w:tcW w:w="1700" w:type="dxa"/>
            <w:shd w:val="clear" w:color="auto" w:fill="DDEBF7"/>
            <w:vAlign w:val="center"/>
          </w:tcPr>
          <w:p>
            <w:pPr>
              <w:spacing w:before="0" w:after="0"/>
              <w:jc w:val="center"/>
            </w:pPr>
            <w:r>
              <w:rPr>
                <w:b/>
                <w:sz w:val="18"/>
                <w:szCs w:val="18"/>
              </w:rPr>
              <w:t xml:space="preserve">FY2023</w:t>
            </w:r>
          </w:p>
        </w:tc>
        <w:tc>
          <w:tcPr>
            <w:tcW w:w="1700" w:type="dxa"/>
            <w:shd w:val="clear" w:color="auto" w:fill="DDEBF7"/>
            <w:vAlign w:val="center"/>
          </w:tcPr>
          <w:p>
            <w:pPr>
              <w:spacing w:before="0" w:after="0"/>
              <w:jc w:val="center"/>
            </w:pPr>
            <w:r>
              <w:rPr>
                <w:b/>
                <w:sz w:val="18"/>
                <w:szCs w:val="18"/>
              </w:rPr>
              <w:t xml:space="preserve">FY2024</w:t>
            </w:r>
          </w:p>
        </w:tc>
      </w:tr>
      <w:tr>
        <w:tc>
          <w:tcPr>
            <w:tcW w:w="4872" w:type="dxa"/>
            <w:vAlign w:val="center"/>
          </w:tcPr>
          <w:p>
            <w:pPr>
              <w:spacing w:before="0" w:after="0"/>
              <w:jc w:val="left"/>
            </w:pPr>
            <w:r>
              <w:rPr>
                <w:b/>
                <w:sz w:val="18"/>
                <w:szCs w:val="18"/>
              </w:rPr>
              <w:t xml:space="preserve">Cash flows from operating activities</w:t>
            </w:r>
          </w:p>
        </w:tc>
        <w:tc>
          <w:tcPr>
            <w:tcW w:w="800" w:type="dxa"/>
            <w:vAlign w:val="center"/>
          </w:tcPr>
          <w:p>
            <w:pPr>
              <w:spacing w:before="0" w:after="0"/>
              <w:jc w:val="left"/>
            </w:pPr>
            <w:r>
              <w:rPr>
                <w:b/>
                <w:sz w:val="18"/>
                <w:szCs w:val="18"/>
              </w:rPr>
              <w:t xml:space="preserve"/>
            </w:r>
          </w:p>
        </w:tc>
        <w:tc>
          <w:tcPr>
            <w:tcW w:w="1700" w:type="dxa"/>
            <w:vAlign w:val="center"/>
          </w:tcPr>
          <w:p>
            <w:pPr>
              <w:spacing w:before="0" w:after="0"/>
              <w:jc w:val="right"/>
            </w:pPr>
            <w:r>
              <w:rPr>
                <w:b/>
                <w:sz w:val="18"/>
                <w:szCs w:val="18"/>
              </w:rPr>
              <w:t xml:space="preserve"/>
            </w:r>
          </w:p>
        </w:tc>
        <w:tc>
          <w:tcPr>
            <w:tcW w:w="1700" w:type="dxa"/>
            <w:vAlign w:val="center"/>
          </w:tcPr>
          <w:p>
            <w:pPr>
              <w:spacing w:before="0" w:after="0"/>
              <w:jc w:val="right"/>
            </w:pPr>
            <w:r>
              <w:rPr>
                <w:b/>
                <w:sz w:val="18"/>
                <w:szCs w:val="18"/>
              </w:rPr>
              <w:t xml:space="preserve"/>
            </w:r>
          </w:p>
        </w:tc>
      </w:tr>
      <w:tr>
        <w:tc>
          <w:tcPr>
            <w:tcW w:w="4872" w:type="dxa"/>
            <w:vAlign w:val="center"/>
          </w:tcPr>
          <w:p>
            <w:pPr>
              <w:spacing w:before="0" w:after="0"/>
              <w:jc w:val="left"/>
            </w:pPr>
            <w:r>
              <w:rPr>
                <w:sz w:val="18"/>
                <w:szCs w:val="18"/>
              </w:rPr>
              <w:t xml:space="preserve">Net income</w:t>
            </w:r>
          </w:p>
        </w:tc>
        <w:tc>
          <w:tcPr>
            <w:tcW w:w="800" w:type="dxa"/>
            <w:vAlign w:val="center"/>
          </w:tcPr>
          <w:p>
            <w:pPr>
              <w:spacing w:before="0" w:after="0"/>
              <w:jc w:val="left"/>
            </w:pPr>
            <w:r>
              <w:rPr>
                <w:sz w:val="18"/>
                <w:szCs w:val="18"/>
              </w:rPr>
              <w:t xml:space="preserve"/>
            </w:r>
          </w:p>
        </w:tc>
        <w:tc>
          <w:tcPr>
            <w:tcW w:w="1700" w:type="dxa"/>
            <w:vAlign w:val="center"/>
          </w:tcPr>
          <w:p>
            <w:pPr>
              <w:spacing w:before="0" w:after="0"/>
              <w:jc w:val="right"/>
            </w:pPr>
            <w:r>
              <w:rPr>
                <w:sz w:val="18"/>
                <w:szCs w:val="18"/>
              </w:rPr>
              <w:t xml:space="preserve">19,793</w:t>
            </w:r>
          </w:p>
        </w:tc>
        <w:tc>
          <w:tcPr>
            <w:tcW w:w="1700" w:type="dxa"/>
            <w:vAlign w:val="center"/>
          </w:tcPr>
          <w:p>
            <w:pPr>
              <w:spacing w:before="0" w:after="0"/>
              <w:jc w:val="right"/>
            </w:pPr>
            <w:r>
              <w:rPr>
                <w:sz w:val="18"/>
                <w:szCs w:val="18"/>
              </w:rPr>
              <w:t xml:space="preserve">19,656</w:t>
            </w:r>
          </w:p>
        </w:tc>
      </w:tr>
      <w:tr>
        <w:tc>
          <w:tcPr>
            <w:tcW w:w="4872" w:type="dxa"/>
            <w:vAlign w:val="center"/>
          </w:tcPr>
          <w:p>
            <w:pPr>
              <w:spacing w:before="0" w:after="0"/>
              <w:jc w:val="left"/>
            </w:pPr>
            <w:r>
              <w:rPr>
                <w:sz w:val="18"/>
                <w:szCs w:val="18"/>
              </w:rPr>
              <w:t xml:space="preserve">Depreciation and amortization</w:t>
            </w:r>
          </w:p>
        </w:tc>
        <w:tc>
          <w:tcPr>
            <w:tcW w:w="800" w:type="dxa"/>
            <w:vAlign w:val="center"/>
          </w:tcPr>
          <w:p>
            <w:pPr>
              <w:spacing w:before="0" w:after="0"/>
              <w:jc w:val="left"/>
            </w:pPr>
            <w:r>
              <w:rPr>
                <w:sz w:val="18"/>
                <w:szCs w:val="18"/>
              </w:rPr>
              <w:t xml:space="preserve"/>
            </w:r>
          </w:p>
        </w:tc>
        <w:tc>
          <w:tcPr>
            <w:tcW w:w="1700" w:type="dxa"/>
            <w:vAlign w:val="center"/>
          </w:tcPr>
          <w:p>
            <w:pPr>
              <w:spacing w:before="0" w:after="0"/>
              <w:jc w:val="right"/>
            </w:pPr>
            <w:r>
              <w:rPr>
                <w:sz w:val="18"/>
                <w:szCs w:val="18"/>
              </w:rPr>
              <w:t xml:space="preserve">11,879</w:t>
            </w:r>
          </w:p>
        </w:tc>
        <w:tc>
          <w:tcPr>
            <w:tcW w:w="1700" w:type="dxa"/>
            <w:vAlign w:val="center"/>
          </w:tcPr>
          <w:p>
            <w:pPr>
              <w:spacing w:before="0" w:after="0"/>
              <w:jc w:val="right"/>
            </w:pPr>
            <w:r>
              <w:rPr>
                <w:sz w:val="18"/>
                <w:szCs w:val="18"/>
              </w:rPr>
              <w:t xml:space="preserve">13,153</w:t>
            </w:r>
          </w:p>
        </w:tc>
      </w:tr>
      <w:tr>
        <w:tc>
          <w:tcPr>
            <w:tcW w:w="4872" w:type="dxa"/>
            <w:vAlign w:val="center"/>
          </w:tcPr>
          <w:p>
            <w:pPr>
              <w:spacing w:before="0" w:after="0"/>
              <w:jc w:val="left"/>
            </w:pPr>
            <w:r>
              <w:rPr>
                <w:sz w:val="18"/>
                <w:szCs w:val="18"/>
              </w:rPr>
              <w:t xml:space="preserve">Stock-based compensation</w:t>
            </w:r>
          </w:p>
        </w:tc>
        <w:tc>
          <w:tcPr>
            <w:tcW w:w="800" w:type="dxa"/>
            <w:vAlign w:val="center"/>
          </w:tcPr>
          <w:p>
            <w:pPr>
              <w:spacing w:before="0" w:after="0"/>
              <w:jc w:val="left"/>
            </w:pPr>
            <w:r>
              <w:rPr>
                <w:sz w:val="18"/>
                <w:szCs w:val="18"/>
              </w:rPr>
              <w:t xml:space="preserve"/>
            </w:r>
          </w:p>
        </w:tc>
        <w:tc>
          <w:tcPr>
            <w:tcW w:w="1700" w:type="dxa"/>
            <w:vAlign w:val="center"/>
          </w:tcPr>
          <w:p>
            <w:pPr>
              <w:spacing w:before="0" w:after="0"/>
              <w:jc w:val="right"/>
            </w:pPr>
            <w:r>
              <w:rPr>
                <w:sz w:val="18"/>
                <w:szCs w:val="18"/>
              </w:rPr>
              <w:t xml:space="preserve">1,331</w:t>
            </w:r>
          </w:p>
        </w:tc>
        <w:tc>
          <w:tcPr>
            <w:tcW w:w="1700" w:type="dxa"/>
            <w:vAlign w:val="center"/>
          </w:tcPr>
          <w:p>
            <w:pPr>
              <w:spacing w:before="0" w:after="0"/>
              <w:jc w:val="right"/>
            </w:pPr>
            <w:r>
              <w:rPr>
                <w:sz w:val="18"/>
                <w:szCs w:val="18"/>
              </w:rPr>
              <w:t xml:space="preserve">1,446</w:t>
            </w:r>
          </w:p>
        </w:tc>
      </w:tr>
      <w:tr>
        <w:tc>
          <w:tcPr>
            <w:tcW w:w="4872" w:type="dxa"/>
            <w:vAlign w:val="center"/>
          </w:tcPr>
          <w:p>
            <w:pPr>
              <w:spacing w:before="0" w:after="0"/>
              <w:jc w:val="left"/>
            </w:pPr>
            <w:r>
              <w:rPr>
                <w:sz w:val="18"/>
                <w:szCs w:val="18"/>
              </w:rPr>
              <w:t xml:space="preserve">Deferred income taxes</w:t>
            </w:r>
          </w:p>
        </w:tc>
        <w:tc>
          <w:tcPr>
            <w:tcW w:w="800" w:type="dxa"/>
            <w:vAlign w:val="center"/>
          </w:tcPr>
          <w:p>
            <w:pPr>
              <w:spacing w:before="0" w:after="0"/>
              <w:jc w:val="left"/>
            </w:pPr>
            <w:r>
              <w:rPr>
                <w:sz w:val="18"/>
                <w:szCs w:val="18"/>
              </w:rPr>
              <w:t xml:space="preserve"/>
            </w:r>
          </w:p>
        </w:tc>
        <w:tc>
          <w:tcPr>
            <w:tcW w:w="1700" w:type="dxa"/>
            <w:vAlign w:val="center"/>
          </w:tcPr>
          <w:p>
            <w:pPr>
              <w:spacing w:before="0" w:after="0"/>
              <w:jc w:val="right"/>
            </w:pPr>
            <w:r>
              <w:rPr>
                <w:sz w:val="18"/>
                <w:szCs w:val="18"/>
              </w:rPr>
              <w:t xml:space="preserve">599</w:t>
            </w:r>
          </w:p>
        </w:tc>
        <w:tc>
          <w:tcPr>
            <w:tcW w:w="1700" w:type="dxa"/>
            <w:vAlign w:val="center"/>
          </w:tcPr>
          <w:p>
            <w:pPr>
              <w:spacing w:before="0" w:after="0"/>
              <w:jc w:val="right"/>
            </w:pPr>
            <w:r>
              <w:rPr>
                <w:sz w:val="18"/>
                <w:szCs w:val="18"/>
              </w:rPr>
              <w:t xml:space="preserve">216</w:t>
            </w:r>
          </w:p>
        </w:tc>
      </w:tr>
      <w:tr>
        <w:tc>
          <w:tcPr>
            <w:tcW w:w="4872" w:type="dxa"/>
            <w:vAlign w:val="center"/>
          </w:tcPr>
          <w:p>
            <w:pPr>
              <w:spacing w:before="0" w:after="0"/>
              <w:jc w:val="left"/>
            </w:pPr>
            <w:r>
              <w:rPr>
                <w:sz w:val="18"/>
                <w:szCs w:val="18"/>
              </w:rPr>
              <w:t xml:space="preserve">Inventories</w:t>
            </w:r>
          </w:p>
        </w:tc>
        <w:tc>
          <w:tcPr>
            <w:tcW w:w="800" w:type="dxa"/>
            <w:vAlign w:val="center"/>
          </w:tcPr>
          <w:p>
            <w:pPr>
              <w:spacing w:before="0" w:after="0"/>
              <w:jc w:val="left"/>
            </w:pPr>
            <w:r>
              <w:rPr>
                <w:sz w:val="18"/>
                <w:szCs w:val="18"/>
              </w:rPr>
              <w:t xml:space="preserve"/>
            </w:r>
          </w:p>
        </w:tc>
        <w:tc>
          <w:tcPr>
            <w:tcW w:w="1700" w:type="dxa"/>
            <w:vAlign w:val="center"/>
          </w:tcPr>
          <w:p>
            <w:pPr>
              <w:spacing w:before="0" w:after="0"/>
              <w:jc w:val="right"/>
            </w:pPr>
            <w:r>
              <w:rPr>
                <w:sz w:val="18"/>
                <w:szCs w:val="18"/>
              </w:rPr>
              <w:t xml:space="preserve">(772)</w:t>
            </w:r>
          </w:p>
        </w:tc>
        <w:tc>
          <w:tcPr>
            <w:tcW w:w="1700" w:type="dxa"/>
            <w:vAlign w:val="center"/>
          </w:tcPr>
          <w:p>
            <w:pPr>
              <w:spacing w:before="0" w:after="0"/>
              <w:jc w:val="right"/>
            </w:pPr>
            <w:r>
              <w:rPr>
                <w:sz w:val="18"/>
                <w:szCs w:val="18"/>
              </w:rPr>
              <w:t xml:space="preserve">(1,291)</w:t>
            </w:r>
          </w:p>
        </w:tc>
      </w:tr>
      <w:tr>
        <w:tc>
          <w:tcPr>
            <w:tcW w:w="4872" w:type="dxa"/>
            <w:vAlign w:val="center"/>
          </w:tcPr>
          <w:p>
            <w:pPr>
              <w:spacing w:before="0" w:after="0"/>
              <w:jc w:val="left"/>
            </w:pPr>
            <w:r>
              <w:rPr>
                <w:sz w:val="18"/>
                <w:szCs w:val="18"/>
              </w:rPr>
              <w:t xml:space="preserve">Accounts receivable</w:t>
            </w:r>
          </w:p>
        </w:tc>
        <w:tc>
          <w:tcPr>
            <w:tcW w:w="800" w:type="dxa"/>
            <w:vAlign w:val="center"/>
          </w:tcPr>
          <w:p>
            <w:pPr>
              <w:spacing w:before="0" w:after="0"/>
              <w:jc w:val="left"/>
            </w:pPr>
            <w:r>
              <w:rPr>
                <w:sz w:val="18"/>
                <w:szCs w:val="18"/>
              </w:rPr>
              <w:t xml:space="preserve"/>
            </w:r>
          </w:p>
        </w:tc>
        <w:tc>
          <w:tcPr>
            <w:tcW w:w="1700" w:type="dxa"/>
            <w:vAlign w:val="center"/>
          </w:tcPr>
          <w:p>
            <w:pPr>
              <w:spacing w:before="0" w:after="0"/>
              <w:jc w:val="right"/>
            </w:pPr>
            <w:r>
              <w:rPr>
                <w:sz w:val="18"/>
                <w:szCs w:val="18"/>
              </w:rPr>
              <w:t xml:space="preserve">(677)</w:t>
            </w:r>
          </w:p>
        </w:tc>
        <w:tc>
          <w:tcPr>
            <w:tcW w:w="1700" w:type="dxa"/>
            <w:vAlign w:val="center"/>
          </w:tcPr>
          <w:p>
            <w:pPr>
              <w:spacing w:before="0" w:after="0"/>
              <w:jc w:val="right"/>
            </w:pPr>
            <w:r>
              <w:rPr>
                <w:sz w:val="18"/>
                <w:szCs w:val="18"/>
              </w:rPr>
              <w:t xml:space="preserve">(363)</w:t>
            </w:r>
          </w:p>
        </w:tc>
      </w:tr>
      <w:tr>
        <w:tc>
          <w:tcPr>
            <w:tcW w:w="4872" w:type="dxa"/>
            <w:vAlign w:val="center"/>
          </w:tcPr>
          <w:p>
            <w:pPr>
              <w:spacing w:before="0" w:after="0"/>
              <w:jc w:val="left"/>
            </w:pPr>
            <w:r>
              <w:rPr>
                <w:sz w:val="18"/>
                <w:szCs w:val="18"/>
              </w:rPr>
              <w:t xml:space="preserve">Accounts payable</w:t>
            </w:r>
          </w:p>
        </w:tc>
        <w:tc>
          <w:tcPr>
            <w:tcW w:w="800" w:type="dxa"/>
            <w:vAlign w:val="center"/>
          </w:tcPr>
          <w:p>
            <w:pPr>
              <w:spacing w:before="0" w:after="0"/>
              <w:jc w:val="left"/>
            </w:pPr>
            <w:r>
              <w:rPr>
                <w:sz w:val="18"/>
                <w:szCs w:val="18"/>
              </w:rPr>
              <w:t xml:space="preserve"/>
            </w:r>
          </w:p>
        </w:tc>
        <w:tc>
          <w:tcPr>
            <w:tcW w:w="1700" w:type="dxa"/>
            <w:vAlign w:val="center"/>
          </w:tcPr>
          <w:p>
            <w:pPr>
              <w:spacing w:before="0" w:after="0"/>
              <w:jc w:val="right"/>
            </w:pPr>
            <w:r>
              <w:rPr>
                <w:sz w:val="18"/>
                <w:szCs w:val="18"/>
              </w:rPr>
              <w:t xml:space="preserve">990</w:t>
            </w:r>
          </w:p>
        </w:tc>
        <w:tc>
          <w:tcPr>
            <w:tcW w:w="1700" w:type="dxa"/>
            <w:vAlign w:val="center"/>
          </w:tcPr>
          <w:p>
            <w:pPr>
              <w:spacing w:before="0" w:after="0"/>
              <w:jc w:val="right"/>
            </w:pPr>
            <w:r>
              <w:rPr>
                <w:sz w:val="18"/>
                <w:szCs w:val="18"/>
              </w:rPr>
              <w:t xml:space="preserve">888</w:t>
            </w:r>
          </w:p>
        </w:tc>
      </w:tr>
      <w:tr>
        <w:tc>
          <w:tcPr>
            <w:tcW w:w="4872" w:type="dxa"/>
            <w:vAlign w:val="center"/>
          </w:tcPr>
          <w:p>
            <w:pPr>
              <w:spacing w:before="0" w:after="0"/>
              <w:jc w:val="left"/>
            </w:pPr>
            <w:r>
              <w:rPr>
                <w:sz w:val="18"/>
                <w:szCs w:val="18"/>
              </w:rPr>
              <w:t xml:space="preserve">Deferred revenue</w:t>
            </w:r>
          </w:p>
        </w:tc>
        <w:tc>
          <w:tcPr>
            <w:tcW w:w="800" w:type="dxa"/>
            <w:vAlign w:val="center"/>
          </w:tcPr>
          <w:p>
            <w:pPr>
              <w:spacing w:before="0" w:after="0"/>
              <w:jc w:val="left"/>
            </w:pPr>
            <w:r>
              <w:rPr>
                <w:sz w:val="18"/>
                <w:szCs w:val="18"/>
              </w:rPr>
              <w:t xml:space="preserve"/>
            </w:r>
          </w:p>
        </w:tc>
        <w:tc>
          <w:tcPr>
            <w:tcW w:w="1700" w:type="dxa"/>
            <w:vAlign w:val="center"/>
          </w:tcPr>
          <w:p>
            <w:pPr>
              <w:spacing w:before="0" w:after="0"/>
              <w:jc w:val="right"/>
            </w:pPr>
            <w:r>
              <w:rPr>
                <w:sz w:val="18"/>
                <w:szCs w:val="18"/>
              </w:rPr>
              <w:t xml:space="preserve">529</w:t>
            </w:r>
          </w:p>
        </w:tc>
        <w:tc>
          <w:tcPr>
            <w:tcW w:w="1700" w:type="dxa"/>
            <w:vAlign w:val="center"/>
          </w:tcPr>
          <w:p>
            <w:pPr>
              <w:spacing w:before="0" w:after="0"/>
              <w:jc w:val="right"/>
            </w:pPr>
            <w:r>
              <w:rPr>
                <w:sz w:val="18"/>
                <w:szCs w:val="18"/>
              </w:rPr>
              <w:t xml:space="preserve">488</w:t>
            </w:r>
          </w:p>
        </w:tc>
      </w:tr>
      <w:tr>
        <w:tc>
          <w:tcPr>
            <w:tcW w:w="4872" w:type="dxa"/>
            <w:vAlign w:val="center"/>
          </w:tcPr>
          <w:p>
            <w:pPr>
              <w:spacing w:before="0" w:after="0"/>
              <w:jc w:val="left"/>
            </w:pPr>
            <w:r>
              <w:rPr>
                <w:sz w:val="18"/>
                <w:szCs w:val="18"/>
              </w:rPr>
              <w:t xml:space="preserve">Other accrued liabilities</w:t>
            </w:r>
          </w:p>
        </w:tc>
        <w:tc>
          <w:tcPr>
            <w:tcW w:w="800" w:type="dxa"/>
            <w:vAlign w:val="center"/>
          </w:tcPr>
          <w:p>
            <w:pPr>
              <w:spacing w:before="0" w:after="0"/>
              <w:jc w:val="left"/>
            </w:pPr>
            <w:r>
              <w:rPr>
                <w:sz w:val="18"/>
                <w:szCs w:val="18"/>
              </w:rPr>
              <w:t xml:space="preserve"/>
            </w:r>
          </w:p>
        </w:tc>
        <w:tc>
          <w:tcPr>
            <w:tcW w:w="1700" w:type="dxa"/>
            <w:vAlign w:val="center"/>
          </w:tcPr>
          <w:p>
            <w:pPr>
              <w:spacing w:before="0" w:after="0"/>
              <w:jc w:val="right"/>
            </w:pPr>
            <w:r>
              <w:rPr>
                <w:sz w:val="18"/>
                <w:szCs w:val="18"/>
              </w:rPr>
              <w:t xml:space="preserve">378</w:t>
            </w:r>
          </w:p>
        </w:tc>
        <w:tc>
          <w:tcPr>
            <w:tcW w:w="1700" w:type="dxa"/>
            <w:vAlign w:val="center"/>
          </w:tcPr>
          <w:p>
            <w:pPr>
              <w:spacing w:before="0" w:after="0"/>
              <w:jc w:val="right"/>
            </w:pPr>
            <w:r>
              <w:rPr>
                <w:sz w:val="18"/>
                <w:szCs w:val="18"/>
              </w:rPr>
              <w:t xml:space="preserve">586</w:t>
            </w:r>
          </w:p>
        </w:tc>
      </w:tr>
      <w:tr>
        <w:tc>
          <w:tcPr>
            <w:tcW w:w="4872" w:type="dxa"/>
            <w:vAlign w:val="center"/>
          </w:tcPr>
          <w:p>
            <w:pPr>
              <w:spacing w:before="0" w:after="0"/>
              <w:jc w:val="left"/>
            </w:pPr>
            <w:r>
              <w:rPr>
                <w:b/>
                <w:sz w:val="18"/>
                <w:szCs w:val="18"/>
              </w:rPr>
              <w:t xml:space="preserve">Net cash provided by operating activities</w:t>
            </w:r>
          </w:p>
        </w:tc>
        <w:tc>
          <w:tcPr>
            <w:tcW w:w="800" w:type="dxa"/>
            <w:vAlign w:val="center"/>
          </w:tcPr>
          <w:p>
            <w:pPr>
              <w:spacing w:before="0" w:after="0"/>
              <w:jc w:val="left"/>
            </w:pPr>
            <w:r>
              <w:rPr>
                <w:b/>
                <w:sz w:val="18"/>
                <w:szCs w:val="18"/>
              </w:rPr>
              <w:t xml:space="preserve"/>
            </w:r>
          </w:p>
        </w:tc>
        <w:tc>
          <w:tcPr>
            <w:tcW w:w="1700" w:type="dxa"/>
            <w:vAlign w:val="center"/>
          </w:tcPr>
          <w:p>
            <w:pPr>
              <w:spacing w:before="0" w:after="0"/>
              <w:jc w:val="right"/>
            </w:pPr>
            <w:r>
              <w:rPr>
                <w:b/>
                <w:sz w:val="18"/>
                <w:szCs w:val="18"/>
              </w:rPr>
              <w:t xml:space="preserve">34,049</w:t>
            </w:r>
          </w:p>
        </w:tc>
        <w:tc>
          <w:tcPr>
            <w:tcW w:w="1700" w:type="dxa"/>
            <w:vAlign w:val="center"/>
          </w:tcPr>
          <w:p>
            <w:pPr>
              <w:spacing w:before="0" w:after="0"/>
              <w:jc w:val="right"/>
            </w:pPr>
            <w:r>
              <w:rPr>
                <w:b/>
                <w:sz w:val="18"/>
                <w:szCs w:val="18"/>
              </w:rPr>
              <w:t xml:space="preserve">34,780</w:t>
            </w:r>
          </w:p>
        </w:tc>
      </w:tr>
      <w:tr>
        <w:tc>
          <w:tcPr>
            <w:tcW w:w="4872" w:type="dxa"/>
            <w:vAlign w:val="center"/>
          </w:tcPr>
          <w:p>
            <w:pPr>
              <w:spacing w:before="0" w:after="0"/>
              <w:jc w:val="left"/>
            </w:pPr>
            <w:r>
              <w:rPr>
                <w:b/>
                <w:sz w:val="18"/>
                <w:szCs w:val="18"/>
              </w:rPr>
              <w:t xml:space="preserve">Cash flows from investing activities</w:t>
            </w:r>
          </w:p>
        </w:tc>
        <w:tc>
          <w:tcPr>
            <w:tcW w:w="800" w:type="dxa"/>
            <w:vAlign w:val="center"/>
          </w:tcPr>
          <w:p>
            <w:pPr>
              <w:spacing w:before="0" w:after="0"/>
              <w:jc w:val="left"/>
            </w:pPr>
            <w:r>
              <w:rPr>
                <w:b/>
                <w:sz w:val="18"/>
                <w:szCs w:val="18"/>
              </w:rPr>
              <w:t xml:space="preserve"/>
            </w:r>
          </w:p>
        </w:tc>
        <w:tc>
          <w:tcPr>
            <w:tcW w:w="1700" w:type="dxa"/>
            <w:vAlign w:val="center"/>
          </w:tcPr>
          <w:p>
            <w:pPr>
              <w:spacing w:before="0" w:after="0"/>
              <w:jc w:val="right"/>
            </w:pPr>
            <w:r>
              <w:rPr>
                <w:b/>
                <w:sz w:val="18"/>
                <w:szCs w:val="18"/>
              </w:rPr>
              <w:t xml:space="preserve"/>
            </w:r>
          </w:p>
        </w:tc>
        <w:tc>
          <w:tcPr>
            <w:tcW w:w="1700" w:type="dxa"/>
            <w:vAlign w:val="center"/>
          </w:tcPr>
          <w:p>
            <w:pPr>
              <w:spacing w:before="0" w:after="0"/>
              <w:jc w:val="right"/>
            </w:pPr>
            <w:r>
              <w:rPr>
                <w:b/>
                <w:sz w:val="18"/>
                <w:szCs w:val="18"/>
              </w:rPr>
              <w:t xml:space="preserve"/>
            </w:r>
          </w:p>
        </w:tc>
      </w:tr>
      <w:tr>
        <w:tc>
          <w:tcPr>
            <w:tcW w:w="4872" w:type="dxa"/>
            <w:vAlign w:val="center"/>
          </w:tcPr>
          <w:p>
            <w:pPr>
              <w:spacing w:before="0" w:after="0"/>
              <w:jc w:val="left"/>
            </w:pPr>
            <w:r>
              <w:rPr>
                <w:sz w:val="18"/>
                <w:szCs w:val="18"/>
              </w:rPr>
              <w:t xml:space="preserve">Purchases of property and equipment</w:t>
            </w:r>
          </w:p>
        </w:tc>
        <w:tc>
          <w:tcPr>
            <w:tcW w:w="800" w:type="dxa"/>
            <w:vAlign w:val="center"/>
          </w:tcPr>
          <w:p>
            <w:pPr>
              <w:spacing w:before="0" w:after="0"/>
              <w:jc w:val="left"/>
            </w:pPr>
            <w:r>
              <w:rPr>
                <w:sz w:val="18"/>
                <w:szCs w:val="18"/>
              </w:rPr>
              <w:t xml:space="preserve"/>
            </w:r>
          </w:p>
        </w:tc>
        <w:tc>
          <w:tcPr>
            <w:tcW w:w="1700" w:type="dxa"/>
            <w:vAlign w:val="center"/>
          </w:tcPr>
          <w:p>
            <w:pPr>
              <w:spacing w:before="0" w:after="0"/>
              <w:jc w:val="right"/>
            </w:pPr>
            <w:r>
              <w:rPr>
                <w:sz w:val="18"/>
                <w:szCs w:val="18"/>
              </w:rPr>
              <w:t xml:space="preserve">(21,424)</w:t>
            </w:r>
          </w:p>
        </w:tc>
        <w:tc>
          <w:tcPr>
            <w:tcW w:w="1700" w:type="dxa"/>
            <w:vAlign w:val="center"/>
          </w:tcPr>
          <w:p>
            <w:pPr>
              <w:spacing w:before="0" w:after="0"/>
              <w:jc w:val="right"/>
            </w:pPr>
            <w:r>
              <w:rPr>
                <w:sz w:val="18"/>
                <w:szCs w:val="18"/>
              </w:rPr>
              <w:t xml:space="preserve">(21,445)</w:t>
            </w:r>
          </w:p>
        </w:tc>
      </w:tr>
      <w:tr>
        <w:tc>
          <w:tcPr>
            <w:tcW w:w="4872" w:type="dxa"/>
            <w:vAlign w:val="center"/>
          </w:tcPr>
          <w:p>
            <w:pPr>
              <w:spacing w:before="0" w:after="0"/>
              <w:jc w:val="left"/>
            </w:pPr>
            <w:r>
              <w:rPr>
                <w:sz w:val="18"/>
                <w:szCs w:val="18"/>
              </w:rPr>
              <w:t xml:space="preserve">Purchases of roasting equipment</w:t>
            </w:r>
          </w:p>
        </w:tc>
        <w:tc>
          <w:tcPr>
            <w:tcW w:w="800" w:type="dxa"/>
            <w:vAlign w:val="center"/>
          </w:tcPr>
          <w:p>
            <w:pPr>
              <w:spacing w:before="0" w:after="0"/>
              <w:jc w:val="left"/>
            </w:pPr>
            <w:r>
              <w:rPr>
                <w:sz w:val="18"/>
                <w:szCs w:val="18"/>
              </w:rPr>
              <w:t xml:space="preserve"/>
            </w:r>
          </w:p>
        </w:tc>
        <w:tc>
          <w:tcPr>
            <w:tcW w:w="1700" w:type="dxa"/>
            <w:vAlign w:val="center"/>
          </w:tcPr>
          <w:p>
            <w:pPr>
              <w:spacing w:before="0" w:after="0"/>
              <w:jc w:val="right"/>
            </w:pPr>
            <w:r>
              <w:rPr>
                <w:sz w:val="18"/>
                <w:szCs w:val="18"/>
              </w:rPr>
              <w:t xml:space="preserve">(4,222)</w:t>
            </w:r>
          </w:p>
        </w:tc>
        <w:tc>
          <w:tcPr>
            <w:tcW w:w="1700" w:type="dxa"/>
            <w:vAlign w:val="center"/>
          </w:tcPr>
          <w:p>
            <w:pPr>
              <w:spacing w:before="0" w:after="0"/>
              <w:jc w:val="right"/>
            </w:pPr>
            <w:r>
              <w:rPr>
                <w:sz w:val="18"/>
                <w:szCs w:val="18"/>
              </w:rPr>
              <w:t xml:space="preserve">(4,441)</w:t>
            </w:r>
          </w:p>
        </w:tc>
      </w:tr>
      <w:tr>
        <w:tc>
          <w:tcPr>
            <w:tcW w:w="4872" w:type="dxa"/>
            <w:vAlign w:val="center"/>
          </w:tcPr>
          <w:p>
            <w:pPr>
              <w:spacing w:before="0" w:after="0"/>
              <w:jc w:val="left"/>
            </w:pPr>
            <w:r>
              <w:rPr>
                <w:sz w:val="18"/>
                <w:szCs w:val="18"/>
              </w:rPr>
              <w:t xml:space="preserve">Purchases of short-term investments</w:t>
            </w:r>
          </w:p>
        </w:tc>
        <w:tc>
          <w:tcPr>
            <w:tcW w:w="800" w:type="dxa"/>
            <w:vAlign w:val="center"/>
          </w:tcPr>
          <w:p>
            <w:pPr>
              <w:spacing w:before="0" w:after="0"/>
              <w:jc w:val="left"/>
            </w:pPr>
            <w:r>
              <w:rPr>
                <w:sz w:val="18"/>
                <w:szCs w:val="18"/>
              </w:rPr>
              <w:t xml:space="preserve"/>
            </w:r>
          </w:p>
        </w:tc>
        <w:tc>
          <w:tcPr>
            <w:tcW w:w="1700" w:type="dxa"/>
            <w:vAlign w:val="center"/>
          </w:tcPr>
          <w:p>
            <w:pPr>
              <w:spacing w:before="0" w:after="0"/>
              <w:jc w:val="right"/>
            </w:pPr>
            <w:r>
              <w:rPr>
                <w:sz w:val="18"/>
                <w:szCs w:val="18"/>
              </w:rPr>
              <w:t xml:space="preserve">(4,217)</w:t>
            </w:r>
          </w:p>
        </w:tc>
        <w:tc>
          <w:tcPr>
            <w:tcW w:w="1700" w:type="dxa"/>
            <w:vAlign w:val="center"/>
          </w:tcPr>
          <w:p>
            <w:pPr>
              <w:spacing w:before="0" w:after="0"/>
              <w:jc w:val="right"/>
            </w:pPr>
            <w:r>
              <w:rPr>
                <w:sz w:val="18"/>
                <w:szCs w:val="18"/>
              </w:rPr>
              <w:t xml:space="preserve">(3,489)</w:t>
            </w:r>
          </w:p>
        </w:tc>
      </w:tr>
      <w:tr>
        <w:tc>
          <w:tcPr>
            <w:tcW w:w="4872" w:type="dxa"/>
            <w:vAlign w:val="center"/>
          </w:tcPr>
          <w:p>
            <w:pPr>
              <w:spacing w:before="0" w:after="0"/>
              <w:jc w:val="left"/>
            </w:pPr>
            <w:r>
              <w:rPr>
                <w:sz w:val="18"/>
                <w:szCs w:val="18"/>
              </w:rPr>
              <w:t xml:space="preserve">Maturities of short-term investments</w:t>
            </w:r>
          </w:p>
        </w:tc>
        <w:tc>
          <w:tcPr>
            <w:tcW w:w="800" w:type="dxa"/>
            <w:vAlign w:val="center"/>
          </w:tcPr>
          <w:p>
            <w:pPr>
              <w:spacing w:before="0" w:after="0"/>
              <w:jc w:val="left"/>
            </w:pPr>
            <w:r>
              <w:rPr>
                <w:sz w:val="18"/>
                <w:szCs w:val="18"/>
              </w:rPr>
              <w:t xml:space="preserve"/>
            </w:r>
          </w:p>
        </w:tc>
        <w:tc>
          <w:tcPr>
            <w:tcW w:w="1700" w:type="dxa"/>
            <w:vAlign w:val="center"/>
          </w:tcPr>
          <w:p>
            <w:pPr>
              <w:spacing w:before="0" w:after="0"/>
              <w:jc w:val="right"/>
            </w:pPr>
            <w:r>
              <w:rPr>
                <w:sz w:val="18"/>
                <w:szCs w:val="18"/>
              </w:rPr>
              <w:t xml:space="preserve">3,496</w:t>
            </w:r>
          </w:p>
        </w:tc>
        <w:tc>
          <w:tcPr>
            <w:tcW w:w="1700" w:type="dxa"/>
            <w:vAlign w:val="center"/>
          </w:tcPr>
          <w:p>
            <w:pPr>
              <w:spacing w:before="0" w:after="0"/>
              <w:jc w:val="right"/>
            </w:pPr>
            <w:r>
              <w:rPr>
                <w:sz w:val="18"/>
                <w:szCs w:val="18"/>
              </w:rPr>
              <w:t xml:space="preserve">4,233</w:t>
            </w:r>
          </w:p>
        </w:tc>
      </w:tr>
      <w:tr>
        <w:tc>
          <w:tcPr>
            <w:tcW w:w="4872" w:type="dxa"/>
            <w:vAlign w:val="center"/>
          </w:tcPr>
          <w:p>
            <w:pPr>
              <w:spacing w:before="0" w:after="0"/>
              <w:jc w:val="left"/>
            </w:pPr>
            <w:r>
              <w:rPr>
                <w:b/>
                <w:sz w:val="18"/>
                <w:szCs w:val="18"/>
              </w:rPr>
              <w:t xml:space="preserve">Net cash used in investing activities</w:t>
            </w:r>
          </w:p>
        </w:tc>
        <w:tc>
          <w:tcPr>
            <w:tcW w:w="800" w:type="dxa"/>
            <w:vAlign w:val="center"/>
          </w:tcPr>
          <w:p>
            <w:pPr>
              <w:spacing w:before="0" w:after="0"/>
              <w:jc w:val="left"/>
            </w:pPr>
            <w:r>
              <w:rPr>
                <w:b/>
                <w:sz w:val="18"/>
                <w:szCs w:val="18"/>
              </w:rPr>
              <w:t xml:space="preserve"/>
            </w:r>
          </w:p>
        </w:tc>
        <w:tc>
          <w:tcPr>
            <w:tcW w:w="1700" w:type="dxa"/>
            <w:vAlign w:val="center"/>
          </w:tcPr>
          <w:p>
            <w:pPr>
              <w:spacing w:before="0" w:after="0"/>
              <w:jc w:val="right"/>
            </w:pPr>
            <w:r>
              <w:rPr>
                <w:b/>
                <w:sz w:val="18"/>
                <w:szCs w:val="18"/>
              </w:rPr>
              <w:t xml:space="preserve">(26,367)</w:t>
            </w:r>
          </w:p>
        </w:tc>
        <w:tc>
          <w:tcPr>
            <w:tcW w:w="1700" w:type="dxa"/>
            <w:vAlign w:val="center"/>
          </w:tcPr>
          <w:p>
            <w:pPr>
              <w:spacing w:before="0" w:after="0"/>
              <w:jc w:val="right"/>
            </w:pPr>
            <w:r>
              <w:rPr>
                <w:b/>
                <w:sz w:val="18"/>
                <w:szCs w:val="18"/>
              </w:rPr>
              <w:t xml:space="preserve">(25,143)</w:t>
            </w:r>
          </w:p>
        </w:tc>
      </w:tr>
      <w:tr>
        <w:tc>
          <w:tcPr>
            <w:tcW w:w="4872" w:type="dxa"/>
            <w:vAlign w:val="center"/>
          </w:tcPr>
          <w:p>
            <w:pPr>
              <w:spacing w:before="0" w:after="0"/>
              <w:jc w:val="left"/>
            </w:pPr>
            <w:r>
              <w:rPr>
                <w:b/>
                <w:sz w:val="18"/>
                <w:szCs w:val="18"/>
              </w:rPr>
              <w:t xml:space="preserve">Cash flows from financing activities</w:t>
            </w:r>
          </w:p>
        </w:tc>
        <w:tc>
          <w:tcPr>
            <w:tcW w:w="800" w:type="dxa"/>
            <w:vAlign w:val="center"/>
          </w:tcPr>
          <w:p>
            <w:pPr>
              <w:spacing w:before="0" w:after="0"/>
              <w:jc w:val="left"/>
            </w:pPr>
            <w:r>
              <w:rPr>
                <w:b/>
                <w:sz w:val="18"/>
                <w:szCs w:val="18"/>
              </w:rPr>
              <w:t xml:space="preserve"/>
            </w:r>
          </w:p>
        </w:tc>
        <w:tc>
          <w:tcPr>
            <w:tcW w:w="1700" w:type="dxa"/>
            <w:vAlign w:val="center"/>
          </w:tcPr>
          <w:p>
            <w:pPr>
              <w:spacing w:before="0" w:after="0"/>
              <w:jc w:val="right"/>
            </w:pPr>
            <w:r>
              <w:rPr>
                <w:b/>
                <w:sz w:val="18"/>
                <w:szCs w:val="18"/>
              </w:rPr>
              <w:t xml:space="preserve"/>
            </w:r>
          </w:p>
        </w:tc>
        <w:tc>
          <w:tcPr>
            <w:tcW w:w="1700" w:type="dxa"/>
            <w:vAlign w:val="center"/>
          </w:tcPr>
          <w:p>
            <w:pPr>
              <w:spacing w:before="0" w:after="0"/>
              <w:jc w:val="right"/>
            </w:pPr>
            <w:r>
              <w:rPr>
                <w:b/>
                <w:sz w:val="18"/>
                <w:szCs w:val="18"/>
              </w:rPr>
              <w:t xml:space="preserve"/>
            </w:r>
          </w:p>
        </w:tc>
      </w:tr>
      <w:tr>
        <w:tc>
          <w:tcPr>
            <w:tcW w:w="4872" w:type="dxa"/>
            <w:vAlign w:val="center"/>
          </w:tcPr>
          <w:p>
            <w:pPr>
              <w:spacing w:before="0" w:after="0"/>
              <w:jc w:val="left"/>
            </w:pPr>
            <w:r>
              <w:rPr>
                <w:sz w:val="18"/>
                <w:szCs w:val="18"/>
              </w:rPr>
              <w:t xml:space="preserve">Proceeds from borrowings under the credit facility</w:t>
            </w:r>
          </w:p>
        </w:tc>
        <w:tc>
          <w:tcPr>
            <w:tcW w:w="800" w:type="dxa"/>
            <w:vAlign w:val="center"/>
          </w:tcPr>
          <w:p>
            <w:pPr>
              <w:spacing w:before="0" w:after="0"/>
              <w:jc w:val="left"/>
            </w:pPr>
            <w:r>
              <w:rPr>
                <w:sz w:val="18"/>
                <w:szCs w:val="18"/>
              </w:rPr>
              <w:t xml:space="preserve"/>
            </w:r>
          </w:p>
        </w:tc>
        <w:tc>
          <w:tcPr>
            <w:tcW w:w="1700" w:type="dxa"/>
            <w:vAlign w:val="center"/>
          </w:tcPr>
          <w:p>
            <w:pPr>
              <w:spacing w:before="0" w:after="0"/>
              <w:jc w:val="right"/>
            </w:pPr>
            <w:r>
              <w:rPr>
                <w:sz w:val="18"/>
                <w:szCs w:val="18"/>
              </w:rPr>
              <w:t xml:space="preserve">1,792</w:t>
            </w:r>
          </w:p>
        </w:tc>
        <w:tc>
          <w:tcPr>
            <w:tcW w:w="1700" w:type="dxa"/>
            <w:vAlign w:val="center"/>
          </w:tcPr>
          <w:p>
            <w:pPr>
              <w:spacing w:before="0" w:after="0"/>
              <w:jc w:val="right"/>
            </w:pPr>
            <w:r>
              <w:rPr>
                <w:sz w:val="18"/>
                <w:szCs w:val="18"/>
              </w:rPr>
              <w:t xml:space="preserve">2,195</w:t>
            </w:r>
          </w:p>
        </w:tc>
      </w:tr>
      <w:tr>
        <w:tc>
          <w:tcPr>
            <w:tcW w:w="4872" w:type="dxa"/>
            <w:vAlign w:val="center"/>
          </w:tcPr>
          <w:p>
            <w:pPr>
              <w:spacing w:before="0" w:after="0"/>
              <w:jc w:val="left"/>
            </w:pPr>
            <w:r>
              <w:rPr>
                <w:sz w:val="18"/>
                <w:szCs w:val="18"/>
              </w:rPr>
              <w:t xml:space="preserve">Repayments of long-term debt</w:t>
            </w:r>
          </w:p>
        </w:tc>
        <w:tc>
          <w:tcPr>
            <w:tcW w:w="800" w:type="dxa"/>
            <w:vAlign w:val="center"/>
          </w:tcPr>
          <w:p>
            <w:pPr>
              <w:spacing w:before="0" w:after="0"/>
              <w:jc w:val="left"/>
            </w:pPr>
            <w:r>
              <w:rPr>
                <w:sz w:val="18"/>
                <w:szCs w:val="18"/>
              </w:rPr>
              <w:t xml:space="preserve"/>
            </w:r>
          </w:p>
        </w:tc>
        <w:tc>
          <w:tcPr>
            <w:tcW w:w="1700" w:type="dxa"/>
            <w:vAlign w:val="center"/>
          </w:tcPr>
          <w:p>
            <w:pPr>
              <w:spacing w:before="0" w:after="0"/>
              <w:jc w:val="right"/>
            </w:pPr>
            <w:r>
              <w:rPr>
                <w:sz w:val="18"/>
                <w:szCs w:val="18"/>
              </w:rPr>
              <w:t xml:space="preserve">(4,117)</w:t>
            </w:r>
          </w:p>
        </w:tc>
        <w:tc>
          <w:tcPr>
            <w:tcW w:w="1700" w:type="dxa"/>
            <w:vAlign w:val="center"/>
          </w:tcPr>
          <w:p>
            <w:pPr>
              <w:spacing w:before="0" w:after="0"/>
              <w:jc w:val="right"/>
            </w:pPr>
            <w:r>
              <w:rPr>
                <w:sz w:val="18"/>
                <w:szCs w:val="18"/>
              </w:rPr>
              <w:t xml:space="preserve">(4,081)</w:t>
            </w:r>
          </w:p>
        </w:tc>
      </w:tr>
      <w:tr>
        <w:tc>
          <w:tcPr>
            <w:tcW w:w="4872" w:type="dxa"/>
            <w:vAlign w:val="center"/>
          </w:tcPr>
          <w:p>
            <w:pPr>
              <w:spacing w:before="0" w:after="0"/>
              <w:jc w:val="left"/>
            </w:pPr>
            <w:r>
              <w:rPr>
                <w:sz w:val="18"/>
                <w:szCs w:val="18"/>
              </w:rPr>
              <w:t xml:space="preserve">Dividends paid</w:t>
            </w:r>
          </w:p>
        </w:tc>
        <w:tc>
          <w:tcPr>
            <w:tcW w:w="800" w:type="dxa"/>
            <w:vAlign w:val="center"/>
          </w:tcPr>
          <w:p>
            <w:pPr>
              <w:spacing w:before="0" w:after="0"/>
              <w:jc w:val="left"/>
            </w:pPr>
            <w:r>
              <w:rPr>
                <w:sz w:val="18"/>
                <w:szCs w:val="18"/>
              </w:rPr>
              <w:t xml:space="preserve"/>
            </w:r>
          </w:p>
        </w:tc>
        <w:tc>
          <w:tcPr>
            <w:tcW w:w="1700" w:type="dxa"/>
            <w:vAlign w:val="center"/>
          </w:tcPr>
          <w:p>
            <w:pPr>
              <w:spacing w:before="0" w:after="0"/>
              <w:jc w:val="right"/>
            </w:pPr>
            <w:r>
              <w:rPr>
                <w:sz w:val="18"/>
                <w:szCs w:val="18"/>
              </w:rPr>
              <w:t xml:space="preserve">(2,662)</w:t>
            </w:r>
          </w:p>
        </w:tc>
        <w:tc>
          <w:tcPr>
            <w:tcW w:w="1700" w:type="dxa"/>
            <w:vAlign w:val="center"/>
          </w:tcPr>
          <w:p>
            <w:pPr>
              <w:spacing w:before="0" w:after="0"/>
              <w:jc w:val="right"/>
            </w:pPr>
            <w:r>
              <w:rPr>
                <w:sz w:val="18"/>
                <w:szCs w:val="18"/>
              </w:rPr>
              <w:t xml:space="preserve">(2,892)</w:t>
            </w:r>
          </w:p>
        </w:tc>
      </w:tr>
      <w:tr>
        <w:tc>
          <w:tcPr>
            <w:tcW w:w="4872" w:type="dxa"/>
            <w:vAlign w:val="center"/>
          </w:tcPr>
          <w:p>
            <w:pPr>
              <w:spacing w:before="0" w:after="0"/>
              <w:jc w:val="left"/>
            </w:pPr>
            <w:r>
              <w:rPr>
                <w:sz w:val="18"/>
                <w:szCs w:val="18"/>
              </w:rPr>
              <w:t xml:space="preserve">Proceeds from exercise of stock options</w:t>
            </w:r>
          </w:p>
        </w:tc>
        <w:tc>
          <w:tcPr>
            <w:tcW w:w="800" w:type="dxa"/>
            <w:vAlign w:val="center"/>
          </w:tcPr>
          <w:p>
            <w:pPr>
              <w:spacing w:before="0" w:after="0"/>
              <w:jc w:val="left"/>
            </w:pPr>
            <w:r>
              <w:rPr>
                <w:sz w:val="18"/>
                <w:szCs w:val="18"/>
              </w:rPr>
              <w:t xml:space="preserve"/>
            </w:r>
          </w:p>
        </w:tc>
        <w:tc>
          <w:tcPr>
            <w:tcW w:w="1700" w:type="dxa"/>
            <w:vAlign w:val="center"/>
          </w:tcPr>
          <w:p>
            <w:pPr>
              <w:spacing w:before="0" w:after="0"/>
              <w:jc w:val="right"/>
            </w:pPr>
            <w:r>
              <w:rPr>
                <w:sz w:val="18"/>
                <w:szCs w:val="18"/>
              </w:rPr>
              <w:t xml:space="preserve">315</w:t>
            </w:r>
          </w:p>
        </w:tc>
        <w:tc>
          <w:tcPr>
            <w:tcW w:w="1700" w:type="dxa"/>
            <w:vAlign w:val="center"/>
          </w:tcPr>
          <w:p>
            <w:pPr>
              <w:spacing w:before="0" w:after="0"/>
              <w:jc w:val="right"/>
            </w:pPr>
            <w:r>
              <w:rPr>
                <w:sz w:val="18"/>
                <w:szCs w:val="18"/>
              </w:rPr>
              <w:t xml:space="preserve">645</w:t>
            </w:r>
          </w:p>
        </w:tc>
      </w:tr>
      <w:tr>
        <w:tc>
          <w:tcPr>
            <w:tcW w:w="4872" w:type="dxa"/>
            <w:vAlign w:val="center"/>
          </w:tcPr>
          <w:p>
            <w:pPr>
              <w:spacing w:before="0" w:after="0"/>
              <w:jc w:val="left"/>
            </w:pPr>
            <w:r>
              <w:rPr>
                <w:b/>
                <w:sz w:val="18"/>
                <w:szCs w:val="18"/>
              </w:rPr>
              <w:t xml:space="preserve">Net cash used in financing activities</w:t>
            </w:r>
          </w:p>
        </w:tc>
        <w:tc>
          <w:tcPr>
            <w:tcW w:w="800" w:type="dxa"/>
            <w:vAlign w:val="center"/>
          </w:tcPr>
          <w:p>
            <w:pPr>
              <w:spacing w:before="0" w:after="0"/>
              <w:jc w:val="left"/>
            </w:pPr>
            <w:r>
              <w:rPr>
                <w:b/>
                <w:sz w:val="18"/>
                <w:szCs w:val="18"/>
              </w:rPr>
              <w:t xml:space="preserve"/>
            </w:r>
          </w:p>
        </w:tc>
        <w:tc>
          <w:tcPr>
            <w:tcW w:w="1700" w:type="dxa"/>
            <w:vAlign w:val="center"/>
          </w:tcPr>
          <w:p>
            <w:pPr>
              <w:spacing w:before="0" w:after="0"/>
              <w:jc w:val="right"/>
            </w:pPr>
            <w:r>
              <w:rPr>
                <w:b/>
                <w:sz w:val="18"/>
                <w:szCs w:val="18"/>
              </w:rPr>
              <w:t xml:space="preserve">(4,672)</w:t>
            </w:r>
          </w:p>
        </w:tc>
        <w:tc>
          <w:tcPr>
            <w:tcW w:w="1700" w:type="dxa"/>
            <w:vAlign w:val="center"/>
          </w:tcPr>
          <w:p>
            <w:pPr>
              <w:spacing w:before="0" w:after="0"/>
              <w:jc w:val="right"/>
            </w:pPr>
            <w:r>
              <w:rPr>
                <w:b/>
                <w:sz w:val="18"/>
                <w:szCs w:val="18"/>
              </w:rPr>
              <w:t xml:space="preserve">(4,133)</w:t>
            </w:r>
          </w:p>
        </w:tc>
      </w:tr>
      <w:tr>
        <w:tc>
          <w:tcPr>
            <w:tcW w:w="4872" w:type="dxa"/>
            <w:vAlign w:val="center"/>
          </w:tcPr>
          <w:p>
            <w:pPr>
              <w:spacing w:before="0" w:after="0"/>
              <w:jc w:val="left"/>
            </w:pPr>
            <w:r>
              <w:rPr>
                <w:b/>
                <w:sz w:val="18"/>
                <w:szCs w:val="18"/>
              </w:rPr>
              <w:t xml:space="preserve">Net increase (decrease) in cash and cash equivalents</w:t>
            </w:r>
          </w:p>
        </w:tc>
        <w:tc>
          <w:tcPr>
            <w:tcW w:w="800" w:type="dxa"/>
            <w:vAlign w:val="center"/>
          </w:tcPr>
          <w:p>
            <w:pPr>
              <w:spacing w:before="0" w:after="0"/>
              <w:jc w:val="left"/>
            </w:pPr>
            <w:r>
              <w:rPr>
                <w:b/>
                <w:sz w:val="18"/>
                <w:szCs w:val="18"/>
              </w:rPr>
              <w:t xml:space="preserve"/>
            </w:r>
          </w:p>
        </w:tc>
        <w:tc>
          <w:tcPr>
            <w:tcW w:w="1700" w:type="dxa"/>
            <w:vAlign w:val="center"/>
          </w:tcPr>
          <w:p>
            <w:pPr>
              <w:spacing w:before="0" w:after="0"/>
              <w:jc w:val="right"/>
            </w:pPr>
            <w:r>
              <w:rPr>
                <w:b/>
                <w:sz w:val="18"/>
                <w:szCs w:val="18"/>
              </w:rPr>
              <w:t xml:space="preserve">3,010</w:t>
            </w:r>
          </w:p>
        </w:tc>
        <w:tc>
          <w:tcPr>
            <w:tcW w:w="1700" w:type="dxa"/>
            <w:vAlign w:val="center"/>
          </w:tcPr>
          <w:p>
            <w:pPr>
              <w:spacing w:before="0" w:after="0"/>
              <w:jc w:val="right"/>
            </w:pPr>
            <w:r>
              <w:rPr>
                <w:b/>
                <w:sz w:val="18"/>
                <w:szCs w:val="18"/>
              </w:rPr>
              <w:t xml:space="preserve">5,504</w:t>
            </w:r>
          </w:p>
        </w:tc>
      </w:tr>
      <w:tr>
        <w:tc>
          <w:tcPr>
            <w:tcW w:w="4872" w:type="dxa"/>
            <w:vAlign w:val="center"/>
          </w:tcPr>
          <w:p>
            <w:pPr>
              <w:spacing w:before="0" w:after="0"/>
              <w:jc w:val="left"/>
            </w:pPr>
            <w:r>
              <w:rPr>
                <w:sz w:val="18"/>
                <w:szCs w:val="18"/>
              </w:rPr>
              <w:t xml:space="preserve">Cash and cash equivalents at beginning of period</w:t>
            </w:r>
          </w:p>
        </w:tc>
        <w:tc>
          <w:tcPr>
            <w:tcW w:w="800" w:type="dxa"/>
            <w:vAlign w:val="center"/>
          </w:tcPr>
          <w:p>
            <w:pPr>
              <w:spacing w:before="0" w:after="0"/>
              <w:jc w:val="left"/>
            </w:pPr>
            <w:r>
              <w:rPr>
                <w:sz w:val="18"/>
                <w:szCs w:val="18"/>
              </w:rPr>
              <w:t xml:space="preserve"/>
            </w:r>
          </w:p>
        </w:tc>
        <w:tc>
          <w:tcPr>
            <w:tcW w:w="1700" w:type="dxa"/>
            <w:vAlign w:val="center"/>
          </w:tcPr>
          <w:p>
            <w:pPr>
              <w:spacing w:before="0" w:after="0"/>
              <w:jc w:val="right"/>
            </w:pPr>
            <w:r>
              <w:rPr>
                <w:sz w:val="18"/>
                <w:szCs w:val="18"/>
              </w:rPr>
              <w:t xml:space="preserve">22,807</w:t>
            </w:r>
          </w:p>
        </w:tc>
        <w:tc>
          <w:tcPr>
            <w:tcW w:w="1700" w:type="dxa"/>
            <w:vAlign w:val="center"/>
          </w:tcPr>
          <w:p>
            <w:pPr>
              <w:spacing w:before="0" w:after="0"/>
              <w:jc w:val="right"/>
            </w:pPr>
            <w:r>
              <w:rPr>
                <w:sz w:val="18"/>
                <w:szCs w:val="18"/>
              </w:rPr>
              <w:t xml:space="preserve">22,918</w:t>
            </w:r>
          </w:p>
        </w:tc>
      </w:tr>
      <w:tr>
        <w:tc>
          <w:tcPr>
            <w:tcW w:w="4872" w:type="dxa"/>
            <w:vAlign w:val="center"/>
          </w:tcPr>
          <w:p>
            <w:pPr>
              <w:spacing w:before="0" w:after="0"/>
              <w:jc w:val="left"/>
            </w:pPr>
            <w:r>
              <w:rPr>
                <w:b/>
                <w:sz w:val="18"/>
                <w:szCs w:val="18"/>
              </w:rPr>
              <w:t xml:space="preserve">Cash and cash equivalents at end of period</w:t>
            </w:r>
          </w:p>
        </w:tc>
        <w:tc>
          <w:tcPr>
            <w:tcW w:w="800" w:type="dxa"/>
            <w:vAlign w:val="center"/>
          </w:tcPr>
          <w:p>
            <w:pPr>
              <w:spacing w:before="0" w:after="0"/>
              <w:jc w:val="left"/>
            </w:pPr>
            <w:r>
              <w:rPr>
                <w:b/>
                <w:sz w:val="18"/>
                <w:szCs w:val="18"/>
              </w:rPr>
              <w:t xml:space="preserve"/>
            </w:r>
          </w:p>
        </w:tc>
        <w:tc>
          <w:tcPr>
            <w:tcW w:w="1700" w:type="dxa"/>
            <w:vAlign w:val="center"/>
          </w:tcPr>
          <w:p>
            <w:pPr>
              <w:spacing w:before="0" w:after="0"/>
              <w:jc w:val="right"/>
            </w:pPr>
            <w:r>
              <w:rPr>
                <w:b/>
                <w:sz w:val="18"/>
                <w:szCs w:val="18"/>
              </w:rPr>
              <w:t xml:space="preserve">25,817</w:t>
            </w:r>
          </w:p>
        </w:tc>
        <w:tc>
          <w:tcPr>
            <w:tcW w:w="1700" w:type="dxa"/>
            <w:vAlign w:val="center"/>
          </w:tcPr>
          <w:p>
            <w:pPr>
              <w:spacing w:before="0" w:after="0"/>
              <w:jc w:val="right"/>
            </w:pPr>
            <w:r>
              <w:rPr>
                <w:b/>
                <w:sz w:val="18"/>
                <w:szCs w:val="18"/>
              </w:rPr>
              <w:t xml:space="preserve">28,422</w:t>
            </w:r>
          </w:p>
        </w:tc>
      </w:tr>
    </w:tbl>
    <w:p>
      <w:pPr/>
    </w:p>
    <w:p>
      <w:pPr>
        <w:pStyle w:val="Heading3"/>
        <w:keepNext/>
      </w:pPr>
      <w:r>
        <w:t xml:space="preserve">Notes to the Financial Statements</w:t>
      </w:r>
    </w:p>
    <w:p>
      <w:pPr>
        <w:keepNext/>
      </w:pPr>
      <w:r>
        <w:rPr>
          <w:b/>
        </w:rPr>
        <w:t xml:space="preserve">1. Summary of significant accounting policies</w:t>
      </w:r>
    </w:p>
    <w:p>
      <w:pPr>
        <w:ind w:left="0" w:firstLine="360"/>
      </w:pPr>
      <w:r>
        <w:t xml:space="preserve">The price of green coffee is volatile, and a sustained increase could reduce gross margin if Nimbus Coffee is unable to pass the cost on to customers through menu prices. Each store is managed by a store manager who reports to a district manager, and district managers report to the director for their region. Energy use per store decreased 15.3% compared with the prior year, as older espresso machines and refrigerators were replaced with more efficient models. Revenue from the Merchandise category increased 4.1% compared with the prior year, while its share of total revenue was little changed.</w:t>
      </w:r>
    </w:p>
    <w:p>
      <w:pPr>
        <w:ind w:left="0" w:firstLine="360"/>
      </w:pPr>
      <w:r>
        <w:t xml:space="preserve">The Company buys 18.3% of its green coffee by volume from farms certified under recognized sustainability standards. The price of green coffee is volatile, and a sustained increase could reduce gross margin if Nimbus Coffee is unable to pass the cost on to customers through menu prices. Orders placed through the online store, including orders for pickup in store and home delivery of whole beans, accounted for 34.1% of revenue in the Beverages and Beans categories. Orders placed through the online store, including orders for pickup in store and home delivery of whole beans, accounted for 48.3% of revenue in the Beverages and Beans categories.</w:t>
      </w:r>
    </w:p>
    <w:p>
      <w:pPr>
        <w:ind w:left="0" w:firstLine="360"/>
      </w:pPr>
      <w:r>
        <w:t xml:space="preserve">Net cash provided by operating activities was $147,871 thousand, mainly reflecting net income and depreciation and amortization. Green coffee is purchased from exporters and cooperatives in Central America, South America and East Africa under fixed-price contracts that generally cover the next nine to twelve months of expected needs. Orders placed through the online store, including orders for pickup in store and home delivery of whole beans, accounted for 39.6% of revenue in the Beverages and Beans categories. The ability of the Group to open new stores depends on finding suitable sites on acceptable lease terms and on hiring and training store managers. Baristas complete a four-week training course before working on the floor, and store managers complete a further course at the Northfield training center. Green coffee is purchased from exporters and cooperatives in Central America, South America and East Africa under fixed-price contracts that generally cover the next nine to twelve months of expected needs.</w:t>
      </w:r>
    </w:p>
    <w:tbl>
      <w:tblPr>
        <w:tblW w:w="907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72" w:type="dxa"/>
          <w:right w:w="72" w:type="dxa"/>
        </w:tblCellMar>
      </w:tblPr>
      <w:tblGrid>
        <w:gridCol w:w="4072"/>
        <w:gridCol w:w="2500"/>
        <w:gridCol w:w="2500"/>
      </w:tblGrid>
      <w:tr>
        <w:trPr>
          <w:tblHeader/>
        </w:trPr>
        <w:tc>
          <w:tcPr>
            <w:tcW w:w="4072" w:type="dxa"/>
            <w:shd w:val="clear" w:color="auto" w:fill="DDEBF7"/>
            <w:vAlign w:val="center"/>
          </w:tcPr>
          <w:p>
            <w:pPr>
              <w:spacing w:before="0" w:after="0"/>
              <w:jc w:val="center"/>
            </w:pPr>
            <w:r>
              <w:rPr>
                <w:b/>
                <w:sz w:val="18"/>
                <w:szCs w:val="18"/>
              </w:rPr>
              <w:t xml:space="preserve">Item</w:t>
            </w:r>
          </w:p>
        </w:tc>
        <w:tc>
          <w:tcPr>
            <w:tcW w:w="2500" w:type="dxa"/>
            <w:shd w:val="clear" w:color="auto" w:fill="DDEBF7"/>
            <w:vAlign w:val="center"/>
          </w:tcPr>
          <w:p>
            <w:pPr>
              <w:spacing w:before="0" w:after="0"/>
              <w:jc w:val="center"/>
            </w:pPr>
            <w:r>
              <w:rPr>
                <w:b/>
                <w:sz w:val="18"/>
                <w:szCs w:val="18"/>
              </w:rPr>
              <w:t xml:space="preserve">FY2023</w:t>
            </w:r>
          </w:p>
        </w:tc>
        <w:tc>
          <w:tcPr>
            <w:tcW w:w="2500" w:type="dxa"/>
            <w:shd w:val="clear" w:color="auto" w:fill="DDEBF7"/>
            <w:vAlign w:val="center"/>
          </w:tcPr>
          <w:p>
            <w:pPr>
              <w:spacing w:before="0" w:after="0"/>
              <w:jc w:val="center"/>
            </w:pPr>
            <w:r>
              <w:rPr>
                <w:b/>
                <w:sz w:val="18"/>
                <w:szCs w:val="18"/>
              </w:rPr>
              <w:t xml:space="preserve">FY2024</w:t>
            </w:r>
          </w:p>
        </w:tc>
      </w:tr>
      <w:tr>
        <w:tc>
          <w:tcPr>
            <w:tcW w:w="4072" w:type="dxa"/>
            <w:vAlign w:val="center"/>
          </w:tcPr>
          <w:p>
            <w:pPr>
              <w:spacing w:before="0" w:after="0"/>
              <w:jc w:val="left"/>
            </w:pPr>
            <w:r>
              <w:rPr>
                <w:sz w:val="18"/>
                <w:szCs w:val="18"/>
              </w:rPr>
              <w:t xml:space="preserve">Accounts receivable, net</w:t>
            </w:r>
          </w:p>
        </w:tc>
        <w:tc>
          <w:tcPr>
            <w:tcW w:w="2500" w:type="dxa"/>
            <w:vAlign w:val="center"/>
          </w:tcPr>
          <w:p>
            <w:pPr>
              <w:spacing w:before="0" w:after="0"/>
              <w:jc w:val="right"/>
            </w:pPr>
            <w:r>
              <w:rPr>
                <w:sz w:val="18"/>
                <w:szCs w:val="18"/>
              </w:rPr>
              <w:t xml:space="preserve">18,339</w:t>
            </w:r>
          </w:p>
        </w:tc>
        <w:tc>
          <w:tcPr>
            <w:tcW w:w="2500" w:type="dxa"/>
            <w:vAlign w:val="center"/>
          </w:tcPr>
          <w:p>
            <w:pPr>
              <w:spacing w:before="0" w:after="0"/>
              <w:jc w:val="right"/>
            </w:pPr>
            <w:r>
              <w:rPr>
                <w:sz w:val="18"/>
                <w:szCs w:val="18"/>
              </w:rPr>
              <w:t xml:space="preserve">20,670</w:t>
            </w:r>
          </w:p>
        </w:tc>
      </w:tr>
      <w:tr>
        <w:tc>
          <w:tcPr>
            <w:tcW w:w="4072" w:type="dxa"/>
            <w:vAlign w:val="center"/>
          </w:tcPr>
          <w:p>
            <w:pPr>
              <w:spacing w:before="0" w:after="0"/>
              <w:jc w:val="left"/>
            </w:pPr>
            <w:r>
              <w:rPr>
                <w:sz w:val="18"/>
                <w:szCs w:val="18"/>
              </w:rPr>
              <w:t xml:space="preserve">Other intangible assets, net</w:t>
            </w:r>
          </w:p>
        </w:tc>
        <w:tc>
          <w:tcPr>
            <w:tcW w:w="2500" w:type="dxa"/>
            <w:vAlign w:val="center"/>
          </w:tcPr>
          <w:p>
            <w:pPr>
              <w:spacing w:before="0" w:after="0"/>
              <w:jc w:val="right"/>
            </w:pPr>
            <w:r>
              <w:rPr>
                <w:sz w:val="18"/>
                <w:szCs w:val="18"/>
              </w:rPr>
              <w:t xml:space="preserve">3,424</w:t>
            </w:r>
          </w:p>
        </w:tc>
        <w:tc>
          <w:tcPr>
            <w:tcW w:w="2500" w:type="dxa"/>
            <w:vAlign w:val="center"/>
          </w:tcPr>
          <w:p>
            <w:pPr>
              <w:spacing w:before="0" w:after="0"/>
              <w:jc w:val="right"/>
            </w:pPr>
            <w:r>
              <w:rPr>
                <w:sz w:val="18"/>
                <w:szCs w:val="18"/>
              </w:rPr>
              <w:t xml:space="preserve">3,667</w:t>
            </w:r>
          </w:p>
        </w:tc>
      </w:tr>
      <w:tr>
        <w:tc>
          <w:tcPr>
            <w:tcW w:w="4072" w:type="dxa"/>
            <w:vAlign w:val="center"/>
          </w:tcPr>
          <w:p>
            <w:pPr>
              <w:spacing w:before="0" w:after="0"/>
              <w:jc w:val="left"/>
            </w:pPr>
            <w:r>
              <w:rPr>
                <w:sz w:val="18"/>
                <w:szCs w:val="18"/>
              </w:rPr>
              <w:t xml:space="preserve">Deferred revenue (gift cards and loyalty)</w:t>
            </w:r>
          </w:p>
        </w:tc>
        <w:tc>
          <w:tcPr>
            <w:tcW w:w="2500" w:type="dxa"/>
            <w:vAlign w:val="center"/>
          </w:tcPr>
          <w:p>
            <w:pPr>
              <w:spacing w:before="0" w:after="0"/>
              <w:jc w:val="right"/>
            </w:pPr>
            <w:r>
              <w:rPr>
                <w:sz w:val="18"/>
                <w:szCs w:val="18"/>
              </w:rPr>
              <w:t xml:space="preserve">5,146</w:t>
            </w:r>
          </w:p>
        </w:tc>
        <w:tc>
          <w:tcPr>
            <w:tcW w:w="2500" w:type="dxa"/>
            <w:vAlign w:val="center"/>
          </w:tcPr>
          <w:p>
            <w:pPr>
              <w:spacing w:before="0" w:after="0"/>
              <w:jc w:val="right"/>
            </w:pPr>
            <w:r>
              <w:rPr>
                <w:sz w:val="18"/>
                <w:szCs w:val="18"/>
              </w:rPr>
              <w:t xml:space="preserve">5,637</w:t>
            </w:r>
          </w:p>
        </w:tc>
      </w:tr>
      <w:tr>
        <w:tc>
          <w:tcPr>
            <w:tcW w:w="4072" w:type="dxa"/>
            <w:vAlign w:val="center"/>
          </w:tcPr>
          <w:p>
            <w:pPr>
              <w:spacing w:before="0" w:after="0"/>
              <w:jc w:val="left"/>
            </w:pPr>
            <w:r>
              <w:rPr>
                <w:sz w:val="18"/>
                <w:szCs w:val="18"/>
              </w:rPr>
              <w:t xml:space="preserve">Goodwill</w:t>
            </w:r>
          </w:p>
        </w:tc>
        <w:tc>
          <w:tcPr>
            <w:tcW w:w="2500" w:type="dxa"/>
            <w:vAlign w:val="center"/>
          </w:tcPr>
          <w:p>
            <w:pPr>
              <w:spacing w:before="0" w:after="0"/>
              <w:jc w:val="right"/>
            </w:pPr>
            <w:r>
              <w:rPr>
                <w:sz w:val="18"/>
                <w:szCs w:val="18"/>
              </w:rPr>
              <w:t xml:space="preserve">17,830</w:t>
            </w:r>
          </w:p>
        </w:tc>
        <w:tc>
          <w:tcPr>
            <w:tcW w:w="2500" w:type="dxa"/>
            <w:vAlign w:val="center"/>
          </w:tcPr>
          <w:p>
            <w:pPr>
              <w:spacing w:before="0" w:after="0"/>
              <w:jc w:val="right"/>
            </w:pPr>
            <w:r>
              <w:rPr>
                <w:sz w:val="18"/>
                <w:szCs w:val="18"/>
              </w:rPr>
              <w:t xml:space="preserve">20,674</w:t>
            </w:r>
          </w:p>
        </w:tc>
      </w:tr>
      <w:tr>
        <w:tc>
          <w:tcPr>
            <w:tcW w:w="4072" w:type="dxa"/>
            <w:vAlign w:val="center"/>
          </w:tcPr>
          <w:p>
            <w:pPr>
              <w:spacing w:before="0" w:after="0"/>
              <w:jc w:val="left"/>
            </w:pPr>
            <w:r>
              <w:rPr>
                <w:sz w:val="18"/>
                <w:szCs w:val="18"/>
              </w:rPr>
              <w:t xml:space="preserve">Accounts payable</w:t>
            </w:r>
          </w:p>
        </w:tc>
        <w:tc>
          <w:tcPr>
            <w:tcW w:w="2500" w:type="dxa"/>
            <w:vAlign w:val="center"/>
          </w:tcPr>
          <w:p>
            <w:pPr>
              <w:spacing w:before="0" w:after="0"/>
              <w:jc w:val="right"/>
            </w:pPr>
            <w:r>
              <w:rPr>
                <w:sz w:val="18"/>
                <w:szCs w:val="18"/>
              </w:rPr>
              <w:t xml:space="preserve">22,584</w:t>
            </w:r>
          </w:p>
        </w:tc>
        <w:tc>
          <w:tcPr>
            <w:tcW w:w="2500" w:type="dxa"/>
            <w:vAlign w:val="center"/>
          </w:tcPr>
          <w:p>
            <w:pPr>
              <w:spacing w:before="0" w:after="0"/>
              <w:jc w:val="right"/>
            </w:pPr>
            <w:r>
              <w:rPr>
                <w:sz w:val="18"/>
                <w:szCs w:val="18"/>
              </w:rPr>
              <w:t xml:space="preserve">25,737</w:t>
            </w:r>
          </w:p>
        </w:tc>
      </w:tr>
      <w:tr>
        <w:tc>
          <w:tcPr>
            <w:tcW w:w="4072" w:type="dxa"/>
            <w:vAlign w:val="center"/>
          </w:tcPr>
          <w:p>
            <w:pPr>
              <w:spacing w:before="0" w:after="0"/>
              <w:jc w:val="left"/>
            </w:pPr>
            <w:r>
              <w:rPr>
                <w:sz w:val="18"/>
                <w:szCs w:val="18"/>
              </w:rPr>
              <w:t xml:space="preserve">Short-term investments</w:t>
            </w:r>
          </w:p>
        </w:tc>
        <w:tc>
          <w:tcPr>
            <w:tcW w:w="2500" w:type="dxa"/>
            <w:vAlign w:val="center"/>
          </w:tcPr>
          <w:p>
            <w:pPr>
              <w:spacing w:before="0" w:after="0"/>
              <w:jc w:val="right"/>
            </w:pPr>
            <w:r>
              <w:rPr>
                <w:sz w:val="18"/>
                <w:szCs w:val="18"/>
              </w:rPr>
              <w:t xml:space="preserve">16,838</w:t>
            </w:r>
          </w:p>
        </w:tc>
        <w:tc>
          <w:tcPr>
            <w:tcW w:w="2500" w:type="dxa"/>
            <w:vAlign w:val="center"/>
          </w:tcPr>
          <w:p>
            <w:pPr>
              <w:spacing w:before="0" w:after="0"/>
              <w:jc w:val="right"/>
            </w:pPr>
            <w:r>
              <w:rPr>
                <w:sz w:val="18"/>
                <w:szCs w:val="18"/>
              </w:rPr>
              <w:t xml:space="preserve">17,893</w:t>
            </w:r>
          </w:p>
        </w:tc>
      </w:tr>
    </w:tbl>
    <w:p>
      <w:pPr/>
    </w:p>
    <w:p>
      <w:pPr>
        <w:keepNext/>
      </w:pPr>
      <w:r>
        <w:rPr>
          <w:b/>
        </w:rPr>
        <w:t xml:space="preserve">2. Revenue recognition</w:t>
      </w:r>
    </w:p>
    <w:p>
      <w:pPr>
        <w:ind w:left="0" w:firstLine="360"/>
      </w:pPr>
      <w:r>
        <w:t xml:space="preserve">Occupancy costs increased to $30,924 thousand, reflecting rent for new stores and scheduled rent increases at existing locations. Green coffee is purchased from exporters and cooperatives in Central America, South America and East Africa under fixed-price contracts that generally cover the next nine to twelve months of expected needs. Orders placed through the online store, including orders for pickup in store and home delivery of whole beans, accounted for 60.2% of revenue in the Beverages and Beans categories. Net cash provided by operating activities was $245,007 thousand, mainly reflecting net income and depreciation and amortization. The roastery produced 1,110 thousand pounds of roasted coffee during the fiscal year, of which 56.1% was sold through company-operated stores. During the fiscal year, the Group opened 9 new stores and closed 5 stores whose leases expired.</w:t>
      </w:r>
    </w:p>
    <w:p>
      <w:pPr>
        <w:ind w:left="0" w:firstLine="360"/>
      </w:pPr>
      <w:r>
        <w:t xml:space="preserve">Capital expenditures totaled $4,545 thousand and consisted mainly of the build-out of new stores, the remodeling of existing stores and a second roasting line at the Northfield roastery. Occupancy costs increased to $36,877 thousand, reflecting rent for new stores and scheduled rent increases at existing locations. Net cash used in financing activities was $16,165 thousand, reflecting repayments of the term loan and dividends paid. Total assets at the end of the fiscal year were $168,513 thousand, an increase of $6,335 thousand from the end of the prior fiscal year. The Group leases all of its store premises under operating leases with initial terms of ten years, most of which include options to renew. Net cash used in financing activities was $21,350 thousand, reflecting repayments of the term loan and dividends paid.</w:t>
      </w:r>
    </w:p>
    <w:p>
      <w:pPr>
        <w:keepNext/>
      </w:pPr>
      <w:r>
        <w:rPr>
          <w:b/>
        </w:rPr>
        <w:t xml:space="preserve">3. Leases</w:t>
      </w:r>
    </w:p>
    <w:p>
      <w:pPr>
        <w:ind w:left="0" w:firstLine="360"/>
      </w:pPr>
      <w:r>
        <w:t xml:space="preserve">These forward-looking statements are based on information available as of the date of this statement, and actual results may differ materially because of many factors. Occupancy costs increased to $26,155 thousand, reflecting rent for new stores and scheduled rent increases at existing locations. Occupancy costs increased to $33,026 thousand, reflecting rent for new stores and scheduled rent increases at existing locations.</w:t>
      </w:r>
    </w:p>
    <w:p>
      <w:pPr>
        <w:ind w:left="0" w:firstLine="360"/>
      </w:pPr>
      <w:r>
        <w:t xml:space="preserve">New stores generally reach the sales level of a mature store within eighteen to twenty-four months of opening. Revenue from stores in the Lakeside region was $49,808 thousand, or 40.5% of total revenue. Merchandise sales, consisting of mugs, brewing equipment and seasonal gift sets, are highest in the fourth quarter of each year. Nimbus Coffee buys 20.7% of its green coffee by volume from farms certified under recognized sustainability standards. The roastery produced 297 thousand pounds of roasted coffee during the fiscal year, of which 55.5% was sold through company-operated stores.</w:t>
      </w:r>
    </w:p>
    <w:tbl>
      <w:tblPr>
        <w:tblW w:w="907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72" w:type="dxa"/>
          <w:right w:w="72" w:type="dxa"/>
        </w:tblCellMar>
      </w:tblPr>
      <w:tblGrid>
        <w:gridCol w:w="4072"/>
        <w:gridCol w:w="2500"/>
        <w:gridCol w:w="2500"/>
      </w:tblGrid>
      <w:tr>
        <w:trPr>
          <w:tblHeader/>
        </w:trPr>
        <w:tc>
          <w:tcPr>
            <w:tcW w:w="4072" w:type="dxa"/>
            <w:shd w:val="clear" w:color="auto" w:fill="DDEBF7"/>
            <w:vAlign w:val="center"/>
          </w:tcPr>
          <w:p>
            <w:pPr>
              <w:spacing w:before="0" w:after="0"/>
              <w:jc w:val="center"/>
            </w:pPr>
            <w:r>
              <w:rPr>
                <w:b/>
                <w:sz w:val="18"/>
                <w:szCs w:val="18"/>
              </w:rPr>
              <w:t xml:space="preserve">Item</w:t>
            </w:r>
          </w:p>
        </w:tc>
        <w:tc>
          <w:tcPr>
            <w:tcW w:w="2500" w:type="dxa"/>
            <w:shd w:val="clear" w:color="auto" w:fill="DDEBF7"/>
            <w:vAlign w:val="center"/>
          </w:tcPr>
          <w:p>
            <w:pPr>
              <w:spacing w:before="0" w:after="0"/>
              <w:jc w:val="center"/>
            </w:pPr>
            <w:r>
              <w:rPr>
                <w:b/>
                <w:sz w:val="18"/>
                <w:szCs w:val="18"/>
              </w:rPr>
              <w:t xml:space="preserve">FY2023</w:t>
            </w:r>
          </w:p>
        </w:tc>
        <w:tc>
          <w:tcPr>
            <w:tcW w:w="2500" w:type="dxa"/>
            <w:shd w:val="clear" w:color="auto" w:fill="DDEBF7"/>
            <w:vAlign w:val="center"/>
          </w:tcPr>
          <w:p>
            <w:pPr>
              <w:spacing w:before="0" w:after="0"/>
              <w:jc w:val="center"/>
            </w:pPr>
            <w:r>
              <w:rPr>
                <w:b/>
                <w:sz w:val="18"/>
                <w:szCs w:val="18"/>
              </w:rPr>
              <w:t xml:space="preserve">FY2024</w:t>
            </w:r>
          </w:p>
        </w:tc>
      </w:tr>
      <w:tr>
        <w:tc>
          <w:tcPr>
            <w:tcW w:w="4072" w:type="dxa"/>
            <w:vAlign w:val="center"/>
          </w:tcPr>
          <w:p>
            <w:pPr>
              <w:spacing w:before="0" w:after="0"/>
              <w:jc w:val="left"/>
            </w:pPr>
            <w:r>
              <w:rPr>
                <w:sz w:val="18"/>
                <w:szCs w:val="18"/>
              </w:rPr>
              <w:t xml:space="preserve">Goodwill</w:t>
            </w:r>
          </w:p>
        </w:tc>
        <w:tc>
          <w:tcPr>
            <w:tcW w:w="2500" w:type="dxa"/>
            <w:vAlign w:val="center"/>
          </w:tcPr>
          <w:p>
            <w:pPr>
              <w:spacing w:before="0" w:after="0"/>
              <w:jc w:val="right"/>
            </w:pPr>
            <w:r>
              <w:rPr>
                <w:sz w:val="18"/>
                <w:szCs w:val="18"/>
              </w:rPr>
              <w:t xml:space="preserve">22,969</w:t>
            </w:r>
          </w:p>
        </w:tc>
        <w:tc>
          <w:tcPr>
            <w:tcW w:w="2500" w:type="dxa"/>
            <w:vAlign w:val="center"/>
          </w:tcPr>
          <w:p>
            <w:pPr>
              <w:spacing w:before="0" w:after="0"/>
              <w:jc w:val="right"/>
            </w:pPr>
            <w:r>
              <w:rPr>
                <w:sz w:val="18"/>
                <w:szCs w:val="18"/>
              </w:rPr>
              <w:t xml:space="preserve">25,779</w:t>
            </w:r>
          </w:p>
        </w:tc>
      </w:tr>
      <w:tr>
        <w:tc>
          <w:tcPr>
            <w:tcW w:w="4072" w:type="dxa"/>
            <w:vAlign w:val="center"/>
          </w:tcPr>
          <w:p>
            <w:pPr>
              <w:spacing w:before="0" w:after="0"/>
              <w:jc w:val="left"/>
            </w:pPr>
            <w:r>
              <w:rPr>
                <w:sz w:val="18"/>
                <w:szCs w:val="18"/>
              </w:rPr>
              <w:t xml:space="preserve">Inventories</w:t>
            </w:r>
          </w:p>
        </w:tc>
        <w:tc>
          <w:tcPr>
            <w:tcW w:w="2500" w:type="dxa"/>
            <w:vAlign w:val="center"/>
          </w:tcPr>
          <w:p>
            <w:pPr>
              <w:spacing w:before="0" w:after="0"/>
              <w:jc w:val="right"/>
            </w:pPr>
            <w:r>
              <w:rPr>
                <w:sz w:val="18"/>
                <w:szCs w:val="18"/>
              </w:rPr>
              <w:t xml:space="preserve">27,802</w:t>
            </w:r>
          </w:p>
        </w:tc>
        <w:tc>
          <w:tcPr>
            <w:tcW w:w="2500" w:type="dxa"/>
            <w:vAlign w:val="center"/>
          </w:tcPr>
          <w:p>
            <w:pPr>
              <w:spacing w:before="0" w:after="0"/>
              <w:jc w:val="right"/>
            </w:pPr>
            <w:r>
              <w:rPr>
                <w:sz w:val="18"/>
                <w:szCs w:val="18"/>
              </w:rPr>
              <w:t xml:space="preserve">30,988</w:t>
            </w:r>
          </w:p>
        </w:tc>
      </w:tr>
      <w:tr>
        <w:tc>
          <w:tcPr>
            <w:tcW w:w="4072" w:type="dxa"/>
            <w:vAlign w:val="center"/>
          </w:tcPr>
          <w:p>
            <w:pPr>
              <w:spacing w:before="0" w:after="0"/>
              <w:jc w:val="left"/>
            </w:pPr>
            <w:r>
              <w:rPr>
                <w:sz w:val="18"/>
                <w:szCs w:val="18"/>
              </w:rPr>
              <w:t xml:space="preserve">Accounts payable</w:t>
            </w:r>
          </w:p>
        </w:tc>
        <w:tc>
          <w:tcPr>
            <w:tcW w:w="2500" w:type="dxa"/>
            <w:vAlign w:val="center"/>
          </w:tcPr>
          <w:p>
            <w:pPr>
              <w:spacing w:before="0" w:after="0"/>
              <w:jc w:val="right"/>
            </w:pPr>
            <w:r>
              <w:rPr>
                <w:sz w:val="18"/>
                <w:szCs w:val="18"/>
              </w:rPr>
              <w:t xml:space="preserve">24,960</w:t>
            </w:r>
          </w:p>
        </w:tc>
        <w:tc>
          <w:tcPr>
            <w:tcW w:w="2500" w:type="dxa"/>
            <w:vAlign w:val="center"/>
          </w:tcPr>
          <w:p>
            <w:pPr>
              <w:spacing w:before="0" w:after="0"/>
              <w:jc w:val="right"/>
            </w:pPr>
            <w:r>
              <w:rPr>
                <w:sz w:val="18"/>
                <w:szCs w:val="18"/>
              </w:rPr>
              <w:t xml:space="preserve">28,287</w:t>
            </w:r>
          </w:p>
        </w:tc>
      </w:tr>
      <w:tr>
        <w:tc>
          <w:tcPr>
            <w:tcW w:w="4072" w:type="dxa"/>
            <w:vAlign w:val="center"/>
          </w:tcPr>
          <w:p>
            <w:pPr>
              <w:spacing w:before="0" w:after="0"/>
              <w:jc w:val="left"/>
            </w:pPr>
            <w:r>
              <w:rPr>
                <w:sz w:val="18"/>
                <w:szCs w:val="18"/>
              </w:rPr>
              <w:t xml:space="preserve">Accounts payable</w:t>
            </w:r>
          </w:p>
        </w:tc>
        <w:tc>
          <w:tcPr>
            <w:tcW w:w="2500" w:type="dxa"/>
            <w:vAlign w:val="center"/>
          </w:tcPr>
          <w:p>
            <w:pPr>
              <w:spacing w:before="0" w:after="0"/>
              <w:jc w:val="right"/>
            </w:pPr>
            <w:r>
              <w:rPr>
                <w:sz w:val="18"/>
                <w:szCs w:val="18"/>
              </w:rPr>
              <w:t xml:space="preserve">26,056</w:t>
            </w:r>
          </w:p>
        </w:tc>
        <w:tc>
          <w:tcPr>
            <w:tcW w:w="2500" w:type="dxa"/>
            <w:vAlign w:val="center"/>
          </w:tcPr>
          <w:p>
            <w:pPr>
              <w:spacing w:before="0" w:after="0"/>
              <w:jc w:val="right"/>
            </w:pPr>
            <w:r>
              <w:rPr>
                <w:sz w:val="18"/>
                <w:szCs w:val="18"/>
              </w:rPr>
              <w:t xml:space="preserve">27,536</w:t>
            </w:r>
          </w:p>
        </w:tc>
      </w:tr>
      <w:tr>
        <w:tc>
          <w:tcPr>
            <w:tcW w:w="4072" w:type="dxa"/>
            <w:vAlign w:val="center"/>
          </w:tcPr>
          <w:p>
            <w:pPr>
              <w:spacing w:before="0" w:after="0"/>
              <w:jc w:val="left"/>
            </w:pPr>
            <w:r>
              <w:rPr>
                <w:sz w:val="18"/>
                <w:szCs w:val="18"/>
              </w:rPr>
              <w:t xml:space="preserve">Inventories</w:t>
            </w:r>
          </w:p>
        </w:tc>
        <w:tc>
          <w:tcPr>
            <w:tcW w:w="2500" w:type="dxa"/>
            <w:vAlign w:val="center"/>
          </w:tcPr>
          <w:p>
            <w:pPr>
              <w:spacing w:before="0" w:after="0"/>
              <w:jc w:val="right"/>
            </w:pPr>
            <w:r>
              <w:rPr>
                <w:sz w:val="18"/>
                <w:szCs w:val="18"/>
              </w:rPr>
              <w:t xml:space="preserve">13,581</w:t>
            </w:r>
          </w:p>
        </w:tc>
        <w:tc>
          <w:tcPr>
            <w:tcW w:w="2500" w:type="dxa"/>
            <w:vAlign w:val="center"/>
          </w:tcPr>
          <w:p>
            <w:pPr>
              <w:spacing w:before="0" w:after="0"/>
              <w:jc w:val="right"/>
            </w:pPr>
            <w:r>
              <w:rPr>
                <w:sz w:val="18"/>
                <w:szCs w:val="18"/>
              </w:rPr>
              <w:t xml:space="preserve">15,435</w:t>
            </w:r>
          </w:p>
        </w:tc>
      </w:tr>
      <w:tr>
        <w:tc>
          <w:tcPr>
            <w:tcW w:w="4072" w:type="dxa"/>
            <w:vAlign w:val="center"/>
          </w:tcPr>
          <w:p>
            <w:pPr>
              <w:spacing w:before="0" w:after="0"/>
              <w:jc w:val="left"/>
            </w:pPr>
            <w:r>
              <w:rPr>
                <w:sz w:val="18"/>
                <w:szCs w:val="18"/>
              </w:rPr>
              <w:t xml:space="preserve">Property and equipment, net</w:t>
            </w:r>
          </w:p>
        </w:tc>
        <w:tc>
          <w:tcPr>
            <w:tcW w:w="2500" w:type="dxa"/>
            <w:vAlign w:val="center"/>
          </w:tcPr>
          <w:p>
            <w:pPr>
              <w:spacing w:before="0" w:after="0"/>
              <w:jc w:val="right"/>
            </w:pPr>
            <w:r>
              <w:rPr>
                <w:sz w:val="18"/>
                <w:szCs w:val="18"/>
              </w:rPr>
              <w:t xml:space="preserve">17,947</w:t>
            </w:r>
          </w:p>
        </w:tc>
        <w:tc>
          <w:tcPr>
            <w:tcW w:w="2500" w:type="dxa"/>
            <w:vAlign w:val="center"/>
          </w:tcPr>
          <w:p>
            <w:pPr>
              <w:spacing w:before="0" w:after="0"/>
              <w:jc w:val="right"/>
            </w:pPr>
            <w:r>
              <w:rPr>
                <w:sz w:val="18"/>
                <w:szCs w:val="18"/>
              </w:rPr>
              <w:t xml:space="preserve">18,941</w:t>
            </w:r>
          </w:p>
        </w:tc>
      </w:tr>
    </w:tbl>
    <w:p>
      <w:pPr/>
    </w:p>
    <w:p>
      <w:pPr>
        <w:keepNext/>
      </w:pPr>
      <w:r>
        <w:rPr>
          <w:b/>
        </w:rPr>
        <w:t xml:space="preserve">4. Fair value measurements</w:t>
      </w:r>
    </w:p>
    <w:p>
      <w:pPr>
        <w:ind w:left="0" w:firstLine="360"/>
      </w:pPr>
      <w:r>
        <w:t xml:space="preserve">Each store is managed by a store manager who reports to a district manager, and district managers report to the director for their region. Labor costs are affected by minimum wage laws in the regions where the stores are located, and further increases could reduce store margins. Merchandise sales, consisting of mugs, brewing equipment and seasonal gift sets, are highest in the fourth quarter of each year. These forward-looking statements are based on information available as of the date of this statement, and actual results may differ materially because of many factors. Inventories consist of green coffee, roasted coffee, packaging, food and merchandise, and are stated at the lower of cost and net realizable value.</w:t>
      </w:r>
    </w:p>
    <w:p>
      <w:pPr>
        <w:ind w:left="0" w:firstLine="360"/>
      </w:pPr>
      <w:r>
        <w:t xml:space="preserve">Net cash used in investing activities was $17,075 thousand, primarily for purchases of property and equipment. Net cash used in financing activities was $10,540 thousand, reflecting repayments of the term loan and dividends paid. Capital expenditures totaled $14,311 thousand and consisted mainly of the build-out of new stores, the remodeling of existing stores and a second roasting line at the Northfield roastery. Baristas complete a four-week training course before working on the floor, and store managers complete a further course at the Northfield training center. Total assets at the end of the fiscal year were $209,694 thousand, an increase of $37,846 thousand from the end of the prior fiscal year.</w:t>
      </w:r>
    </w:p>
    <w:p>
      <w:pPr>
        <w:keepNext/>
      </w:pPr>
      <w:r>
        <w:rPr>
          <w:b/>
        </w:rPr>
        <w:t xml:space="preserve">5. Inventories</w:t>
      </w:r>
    </w:p>
    <w:p>
      <w:pPr>
        <w:ind w:left="0" w:firstLine="360"/>
      </w:pPr>
      <w:r>
        <w:t xml:space="preserve">New stores generally reach the sales level of a mature store within eighteen to twenty-four months of opening. Inventories consist of green coffee, roasted coffee, packaging, food and merchandise, and are stated at the lower of cost and net realizable value. Net cash used in financing activities was $21,732 thousand, reflecting repayments of the term loan and dividends paid. Revenue from the online store increased 4.2% compared with the prior year, while its share of total revenue was little changed.</w:t>
      </w:r>
    </w:p>
    <w:p>
      <w:pPr>
        <w:ind w:left="0" w:firstLine="360"/>
      </w:pPr>
      <w:r>
        <w:t xml:space="preserve">The loyalty program had 455 thousand active members at the end of the fiscal year, and purchases by members accounted for 49.0% of store revenue. Green coffee is purchased from exporters and cooperatives in Central America, South America and East Africa under fixed-price contracts that generally cover the next nine to twelve months of expected needs. Baristas complete a four-week training course before working on the floor, and store managers complete a further course at the Northfield training center.</w:t>
      </w:r>
    </w:p>
    <w:p>
      <w:pPr>
        <w:ind w:left="0" w:firstLine="360"/>
      </w:pPr>
      <w:r>
        <w:t xml:space="preserve">Nimbus Coffee operates specialty coffee shops under the Nimbus Coffee name and roasts all of the coffee it serves at its own roastery in Northfield. Net cash used in investing activities was $15,673 thousand, primarily for purchases of property and equipment. Wholesale revenue comes from sales of roasted beans to restaurants, hotels and grocery stores in the regions where the Group operates. During the fiscal year, the Group opened 18 new stores and closed 5 stores whose leases expired. New stores generally reach the sales level of a mature store within eighteen to twenty-four months of opening. The Company operates specialty coffee shops under the Nimbus Coffee name and roasts all of the coffee it serves at its own roastery in Northfield.</w:t>
      </w:r>
    </w:p>
    <w:tbl>
      <w:tblPr>
        <w:tblW w:w="907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72" w:type="dxa"/>
          <w:right w:w="72" w:type="dxa"/>
        </w:tblCellMar>
      </w:tblPr>
      <w:tblGrid>
        <w:gridCol w:w="4072"/>
        <w:gridCol w:w="2500"/>
        <w:gridCol w:w="2500"/>
      </w:tblGrid>
      <w:tr>
        <w:trPr>
          <w:tblHeader/>
        </w:trPr>
        <w:tc>
          <w:tcPr>
            <w:tcW w:w="4072" w:type="dxa"/>
            <w:shd w:val="clear" w:color="auto" w:fill="DDEBF7"/>
            <w:vAlign w:val="center"/>
          </w:tcPr>
          <w:p>
            <w:pPr>
              <w:spacing w:before="0" w:after="0"/>
              <w:jc w:val="center"/>
            </w:pPr>
            <w:r>
              <w:rPr>
                <w:b/>
                <w:sz w:val="18"/>
                <w:szCs w:val="18"/>
              </w:rPr>
              <w:t xml:space="preserve">Item</w:t>
            </w:r>
          </w:p>
        </w:tc>
        <w:tc>
          <w:tcPr>
            <w:tcW w:w="2500" w:type="dxa"/>
            <w:shd w:val="clear" w:color="auto" w:fill="DDEBF7"/>
            <w:vAlign w:val="center"/>
          </w:tcPr>
          <w:p>
            <w:pPr>
              <w:spacing w:before="0" w:after="0"/>
              <w:jc w:val="center"/>
            </w:pPr>
            <w:r>
              <w:rPr>
                <w:b/>
                <w:sz w:val="18"/>
                <w:szCs w:val="18"/>
              </w:rPr>
              <w:t xml:space="preserve">FY2023</w:t>
            </w:r>
          </w:p>
        </w:tc>
        <w:tc>
          <w:tcPr>
            <w:tcW w:w="2500" w:type="dxa"/>
            <w:shd w:val="clear" w:color="auto" w:fill="DDEBF7"/>
            <w:vAlign w:val="center"/>
          </w:tcPr>
          <w:p>
            <w:pPr>
              <w:spacing w:before="0" w:after="0"/>
              <w:jc w:val="center"/>
            </w:pPr>
            <w:r>
              <w:rPr>
                <w:b/>
                <w:sz w:val="18"/>
                <w:szCs w:val="18"/>
              </w:rPr>
              <w:t xml:space="preserve">FY2024</w:t>
            </w:r>
          </w:p>
        </w:tc>
      </w:tr>
      <w:tr>
        <w:tc>
          <w:tcPr>
            <w:tcW w:w="4072" w:type="dxa"/>
            <w:vAlign w:val="center"/>
          </w:tcPr>
          <w:p>
            <w:pPr>
              <w:spacing w:before="0" w:after="0"/>
              <w:jc w:val="left"/>
            </w:pPr>
            <w:r>
              <w:rPr>
                <w:sz w:val="18"/>
                <w:szCs w:val="18"/>
              </w:rPr>
              <w:t xml:space="preserve">Cash and cash equivalents</w:t>
            </w:r>
          </w:p>
        </w:tc>
        <w:tc>
          <w:tcPr>
            <w:tcW w:w="2500" w:type="dxa"/>
            <w:vAlign w:val="center"/>
          </w:tcPr>
          <w:p>
            <w:pPr>
              <w:spacing w:before="0" w:after="0"/>
              <w:jc w:val="right"/>
            </w:pPr>
            <w:r>
              <w:rPr>
                <w:sz w:val="18"/>
                <w:szCs w:val="18"/>
              </w:rPr>
              <w:t xml:space="preserve">21,943</w:t>
            </w:r>
          </w:p>
        </w:tc>
        <w:tc>
          <w:tcPr>
            <w:tcW w:w="2500" w:type="dxa"/>
            <w:vAlign w:val="center"/>
          </w:tcPr>
          <w:p>
            <w:pPr>
              <w:spacing w:before="0" w:after="0"/>
              <w:jc w:val="right"/>
            </w:pPr>
            <w:r>
              <w:rPr>
                <w:sz w:val="18"/>
                <w:szCs w:val="18"/>
              </w:rPr>
              <w:t xml:space="preserve">25,427</w:t>
            </w:r>
          </w:p>
        </w:tc>
      </w:tr>
      <w:tr>
        <w:tc>
          <w:tcPr>
            <w:tcW w:w="4072" w:type="dxa"/>
            <w:vAlign w:val="center"/>
          </w:tcPr>
          <w:p>
            <w:pPr>
              <w:spacing w:before="0" w:after="0"/>
              <w:jc w:val="left"/>
            </w:pPr>
            <w:r>
              <w:rPr>
                <w:sz w:val="18"/>
                <w:szCs w:val="18"/>
              </w:rPr>
              <w:t xml:space="preserve">Income taxes payable</w:t>
            </w:r>
          </w:p>
        </w:tc>
        <w:tc>
          <w:tcPr>
            <w:tcW w:w="2500" w:type="dxa"/>
            <w:vAlign w:val="center"/>
          </w:tcPr>
          <w:p>
            <w:pPr>
              <w:spacing w:before="0" w:after="0"/>
              <w:jc w:val="right"/>
            </w:pPr>
            <w:r>
              <w:rPr>
                <w:sz w:val="18"/>
                <w:szCs w:val="18"/>
              </w:rPr>
              <w:t xml:space="preserve">3,214</w:t>
            </w:r>
          </w:p>
        </w:tc>
        <w:tc>
          <w:tcPr>
            <w:tcW w:w="2500" w:type="dxa"/>
            <w:vAlign w:val="center"/>
          </w:tcPr>
          <w:p>
            <w:pPr>
              <w:spacing w:before="0" w:after="0"/>
              <w:jc w:val="right"/>
            </w:pPr>
            <w:r>
              <w:rPr>
                <w:sz w:val="18"/>
                <w:szCs w:val="18"/>
              </w:rPr>
              <w:t xml:space="preserve">3,415</w:t>
            </w:r>
          </w:p>
        </w:tc>
      </w:tr>
      <w:tr>
        <w:tc>
          <w:tcPr>
            <w:tcW w:w="4072" w:type="dxa"/>
            <w:vAlign w:val="center"/>
          </w:tcPr>
          <w:p>
            <w:pPr>
              <w:spacing w:before="0" w:after="0"/>
              <w:jc w:val="left"/>
            </w:pPr>
            <w:r>
              <w:rPr>
                <w:sz w:val="18"/>
                <w:szCs w:val="18"/>
              </w:rPr>
              <w:t xml:space="preserve">Operating lease right-of-use assets</w:t>
            </w:r>
          </w:p>
        </w:tc>
        <w:tc>
          <w:tcPr>
            <w:tcW w:w="2500" w:type="dxa"/>
            <w:vAlign w:val="center"/>
          </w:tcPr>
          <w:p>
            <w:pPr>
              <w:spacing w:before="0" w:after="0"/>
              <w:jc w:val="right"/>
            </w:pPr>
            <w:r>
              <w:rPr>
                <w:sz w:val="18"/>
                <w:szCs w:val="18"/>
              </w:rPr>
              <w:t xml:space="preserve">13,313</w:t>
            </w:r>
          </w:p>
        </w:tc>
        <w:tc>
          <w:tcPr>
            <w:tcW w:w="2500" w:type="dxa"/>
            <w:vAlign w:val="center"/>
          </w:tcPr>
          <w:p>
            <w:pPr>
              <w:spacing w:before="0" w:after="0"/>
              <w:jc w:val="right"/>
            </w:pPr>
            <w:r>
              <w:rPr>
                <w:sz w:val="18"/>
                <w:szCs w:val="18"/>
              </w:rPr>
              <w:t xml:space="preserve">15,366</w:t>
            </w:r>
          </w:p>
        </w:tc>
      </w:tr>
      <w:tr>
        <w:tc>
          <w:tcPr>
            <w:tcW w:w="4072" w:type="dxa"/>
            <w:vAlign w:val="center"/>
          </w:tcPr>
          <w:p>
            <w:pPr>
              <w:spacing w:before="0" w:after="0"/>
              <w:jc w:val="left"/>
            </w:pPr>
            <w:r>
              <w:rPr>
                <w:sz w:val="18"/>
                <w:szCs w:val="18"/>
              </w:rPr>
              <w:t xml:space="preserve">Long-term debt, net of current portion</w:t>
            </w:r>
          </w:p>
        </w:tc>
        <w:tc>
          <w:tcPr>
            <w:tcW w:w="2500" w:type="dxa"/>
            <w:vAlign w:val="center"/>
          </w:tcPr>
          <w:p>
            <w:pPr>
              <w:spacing w:before="0" w:after="0"/>
              <w:jc w:val="right"/>
            </w:pPr>
            <w:r>
              <w:rPr>
                <w:sz w:val="18"/>
                <w:szCs w:val="18"/>
              </w:rPr>
              <w:t xml:space="preserve">13,054</w:t>
            </w:r>
          </w:p>
        </w:tc>
        <w:tc>
          <w:tcPr>
            <w:tcW w:w="2500" w:type="dxa"/>
            <w:vAlign w:val="center"/>
          </w:tcPr>
          <w:p>
            <w:pPr>
              <w:spacing w:before="0" w:after="0"/>
              <w:jc w:val="right"/>
            </w:pPr>
            <w:r>
              <w:rPr>
                <w:sz w:val="18"/>
                <w:szCs w:val="18"/>
              </w:rPr>
              <w:t xml:space="preserve">15,212</w:t>
            </w:r>
          </w:p>
        </w:tc>
      </w:tr>
      <w:tr>
        <w:tc>
          <w:tcPr>
            <w:tcW w:w="4072" w:type="dxa"/>
            <w:vAlign w:val="center"/>
          </w:tcPr>
          <w:p>
            <w:pPr>
              <w:spacing w:before="0" w:after="0"/>
              <w:jc w:val="left"/>
            </w:pPr>
            <w:r>
              <w:rPr>
                <w:sz w:val="18"/>
                <w:szCs w:val="18"/>
              </w:rPr>
              <w:t xml:space="preserve">Current portion of operating lease liabilities</w:t>
            </w:r>
          </w:p>
        </w:tc>
        <w:tc>
          <w:tcPr>
            <w:tcW w:w="2500" w:type="dxa"/>
            <w:vAlign w:val="center"/>
          </w:tcPr>
          <w:p>
            <w:pPr>
              <w:spacing w:before="0" w:after="0"/>
              <w:jc w:val="right"/>
            </w:pPr>
            <w:r>
              <w:rPr>
                <w:sz w:val="18"/>
                <w:szCs w:val="18"/>
              </w:rPr>
              <w:t xml:space="preserve">9,681</w:t>
            </w:r>
          </w:p>
        </w:tc>
        <w:tc>
          <w:tcPr>
            <w:tcW w:w="2500" w:type="dxa"/>
            <w:vAlign w:val="center"/>
          </w:tcPr>
          <w:p>
            <w:pPr>
              <w:spacing w:before="0" w:after="0"/>
              <w:jc w:val="right"/>
            </w:pPr>
            <w:r>
              <w:rPr>
                <w:sz w:val="18"/>
                <w:szCs w:val="18"/>
              </w:rPr>
              <w:t xml:space="preserve">10,768</w:t>
            </w:r>
          </w:p>
        </w:tc>
      </w:tr>
      <w:tr>
        <w:tc>
          <w:tcPr>
            <w:tcW w:w="4072" w:type="dxa"/>
            <w:vAlign w:val="center"/>
          </w:tcPr>
          <w:p>
            <w:pPr>
              <w:spacing w:before="0" w:after="0"/>
              <w:jc w:val="left"/>
            </w:pPr>
            <w:r>
              <w:rPr>
                <w:sz w:val="18"/>
                <w:szCs w:val="18"/>
              </w:rPr>
              <w:t xml:space="preserve">Cash and cash equivalents</w:t>
            </w:r>
          </w:p>
        </w:tc>
        <w:tc>
          <w:tcPr>
            <w:tcW w:w="2500" w:type="dxa"/>
            <w:vAlign w:val="center"/>
          </w:tcPr>
          <w:p>
            <w:pPr>
              <w:spacing w:before="0" w:after="0"/>
              <w:jc w:val="right"/>
            </w:pPr>
            <w:r>
              <w:rPr>
                <w:sz w:val="18"/>
                <w:szCs w:val="18"/>
              </w:rPr>
              <w:t xml:space="preserve">17,091</w:t>
            </w:r>
          </w:p>
        </w:tc>
        <w:tc>
          <w:tcPr>
            <w:tcW w:w="2500" w:type="dxa"/>
            <w:vAlign w:val="center"/>
          </w:tcPr>
          <w:p>
            <w:pPr>
              <w:spacing w:before="0" w:after="0"/>
              <w:jc w:val="right"/>
            </w:pPr>
            <w:r>
              <w:rPr>
                <w:sz w:val="18"/>
                <w:szCs w:val="18"/>
              </w:rPr>
              <w:t xml:space="preserve">19,047</w:t>
            </w:r>
          </w:p>
        </w:tc>
      </w:tr>
    </w:tbl>
    <w:p>
      <w:pPr/>
    </w:p>
    <w:p>
      <w:pPr>
        <w:keepNext/>
      </w:pPr>
      <w:r>
        <w:rPr>
          <w:b/>
        </w:rPr>
        <w:t xml:space="preserve">6. Property and equipment</w:t>
      </w:r>
    </w:p>
    <w:p>
      <w:pPr>
        <w:ind w:left="0" w:firstLine="360"/>
      </w:pPr>
      <w:r>
        <w:t xml:space="preserve">Energy use per store decreased 17.0% compared with the prior year, as older espresso machines and refrigerators were replaced with more efficient models. Revenue from the Beverages category increased 17.3% compared with the prior year, while its share of total revenue was little changed. The Group leases all of its store premises under operating leases with initial terms of ten years, most of which include options to renew. The Company holds no derivatives other than coffee futures contracts used to fix the price of part of its future green coffee purchases. Occupancy costs increased to $25,837 thousand, reflecting rent for new stores and scheduled rent increases at existing locations. Capital expenditures totaled $12,626 thousand and consisted mainly of the build-out of new stores, the remodeling of existing stores and a second roasting line at the Northfield roastery.</w:t>
      </w:r>
    </w:p>
    <w:p>
      <w:pPr>
        <w:ind w:left="0" w:firstLine="360"/>
      </w:pPr>
      <w:r>
        <w:t xml:space="preserve">The price of green coffee is volatile, and a sustained increase could reduce gross margin if the Company is unable to pass the cost on to customers through menu prices. Energy use per store decreased 15.8% compared with the prior year, as older espresso machines and refrigerators were replaced with more efficient models. Green coffee is purchased from exporters and cooperatives in Central America, South America and East Africa under fixed-price contracts that generally cover the next nine to twelve months of expected needs. The ability of Nimbus Coffee to open new stores depends on finding suitable sites on acceptable lease terms and on hiring and training store managers. Inventories consist of green coffee, roasted coffee, packaging, food and merchandise, and are stated at the lower of cost and net realizable value. Inventories consist of green coffee, roasted coffee, packaging, food and merchandise, and are stated at the lower of cost and net realizable value.</w:t>
      </w:r>
    </w:p>
    <w:p>
      <w:pPr>
        <w:keepNext/>
      </w:pPr>
      <w:r>
        <w:rPr>
          <w:b/>
        </w:rPr>
        <w:t xml:space="preserve">7. Goodwill and other intangible assets</w:t>
      </w:r>
    </w:p>
    <w:p>
      <w:pPr>
        <w:ind w:left="0" w:firstLine="360"/>
      </w:pPr>
      <w:r>
        <w:t xml:space="preserve">At the end of the fiscal year, the Group operated 166 company-operated stores in eight regions: Northfield, Eastbay, Southport, Westridge, Lakeside, Hillcrest, Riverside and Harborview. Wholesale revenue comes from sales of roasted beans to restaurants, hotels and grocery stores in the regions where the Group operates. The Company leases all of its store premises under operating leases with initial terms of ten years, most of which include options to renew. Inventories consist of green coffee, roasted coffee, packaging, food and merchandise, and are stated at the lower of cost and net realizable value. Inventories consist of green coffee, roasted coffee, packaging, food and merchandise, and are stated at the lower of cost and net realizable value. Revenue from loyalty rewards is deferred until the reward is redeemed or expires.</w:t>
      </w:r>
    </w:p>
    <w:p>
      <w:pPr>
        <w:ind w:left="0" w:firstLine="360"/>
      </w:pPr>
      <w:r>
        <w:t xml:space="preserve">Each store is managed by a store manager who reports to a district manager, and district managers report to the director for their region. Net cash provided by operating activities was $202,326 thousand, mainly reflecting net income and depreciation and amortization. Green coffee is purchased from exporters and cooperatives in Central America, South America and East Africa under fixed-price contracts that generally cover the next nine to twelve months of expected needs.</w:t>
      </w:r>
    </w:p>
    <w:tbl>
      <w:tblPr>
        <w:tblW w:w="907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72" w:type="dxa"/>
          <w:right w:w="72" w:type="dxa"/>
        </w:tblCellMar>
      </w:tblPr>
      <w:tblGrid>
        <w:gridCol w:w="4072"/>
        <w:gridCol w:w="2500"/>
        <w:gridCol w:w="2500"/>
      </w:tblGrid>
      <w:tr>
        <w:trPr>
          <w:tblHeader/>
        </w:trPr>
        <w:tc>
          <w:tcPr>
            <w:tcW w:w="4072" w:type="dxa"/>
            <w:shd w:val="clear" w:color="auto" w:fill="DDEBF7"/>
            <w:vAlign w:val="center"/>
          </w:tcPr>
          <w:p>
            <w:pPr>
              <w:spacing w:before="0" w:after="0"/>
              <w:jc w:val="center"/>
            </w:pPr>
            <w:r>
              <w:rPr>
                <w:b/>
                <w:sz w:val="18"/>
                <w:szCs w:val="18"/>
              </w:rPr>
              <w:t xml:space="preserve">Item</w:t>
            </w:r>
          </w:p>
        </w:tc>
        <w:tc>
          <w:tcPr>
            <w:tcW w:w="2500" w:type="dxa"/>
            <w:shd w:val="clear" w:color="auto" w:fill="DDEBF7"/>
            <w:vAlign w:val="center"/>
          </w:tcPr>
          <w:p>
            <w:pPr>
              <w:spacing w:before="0" w:after="0"/>
              <w:jc w:val="center"/>
            </w:pPr>
            <w:r>
              <w:rPr>
                <w:b/>
                <w:sz w:val="18"/>
                <w:szCs w:val="18"/>
              </w:rPr>
              <w:t xml:space="preserve">FY2023</w:t>
            </w:r>
          </w:p>
        </w:tc>
        <w:tc>
          <w:tcPr>
            <w:tcW w:w="2500" w:type="dxa"/>
            <w:shd w:val="clear" w:color="auto" w:fill="DDEBF7"/>
            <w:vAlign w:val="center"/>
          </w:tcPr>
          <w:p>
            <w:pPr>
              <w:spacing w:before="0" w:after="0"/>
              <w:jc w:val="center"/>
            </w:pPr>
            <w:r>
              <w:rPr>
                <w:b/>
                <w:sz w:val="18"/>
                <w:szCs w:val="18"/>
              </w:rPr>
              <w:t xml:space="preserve">FY2024</w:t>
            </w:r>
          </w:p>
        </w:tc>
      </w:tr>
      <w:tr>
        <w:tc>
          <w:tcPr>
            <w:tcW w:w="4072" w:type="dxa"/>
            <w:vAlign w:val="center"/>
          </w:tcPr>
          <w:p>
            <w:pPr>
              <w:spacing w:before="0" w:after="0"/>
              <w:jc w:val="left"/>
            </w:pPr>
            <w:r>
              <w:rPr>
                <w:sz w:val="18"/>
                <w:szCs w:val="18"/>
              </w:rPr>
              <w:t xml:space="preserve">Cash and cash equivalents</w:t>
            </w:r>
          </w:p>
        </w:tc>
        <w:tc>
          <w:tcPr>
            <w:tcW w:w="2500" w:type="dxa"/>
            <w:vAlign w:val="center"/>
          </w:tcPr>
          <w:p>
            <w:pPr>
              <w:spacing w:before="0" w:after="0"/>
              <w:jc w:val="right"/>
            </w:pPr>
            <w:r>
              <w:rPr>
                <w:sz w:val="18"/>
                <w:szCs w:val="18"/>
              </w:rPr>
              <w:t xml:space="preserve">23,394</w:t>
            </w:r>
          </w:p>
        </w:tc>
        <w:tc>
          <w:tcPr>
            <w:tcW w:w="2500" w:type="dxa"/>
            <w:vAlign w:val="center"/>
          </w:tcPr>
          <w:p>
            <w:pPr>
              <w:spacing w:before="0" w:after="0"/>
              <w:jc w:val="right"/>
            </w:pPr>
            <w:r>
              <w:rPr>
                <w:sz w:val="18"/>
                <w:szCs w:val="18"/>
              </w:rPr>
              <w:t xml:space="preserve">24,419</w:t>
            </w:r>
          </w:p>
        </w:tc>
      </w:tr>
      <w:tr>
        <w:tc>
          <w:tcPr>
            <w:tcW w:w="4072" w:type="dxa"/>
            <w:vAlign w:val="center"/>
          </w:tcPr>
          <w:p>
            <w:pPr>
              <w:spacing w:before="0" w:after="0"/>
              <w:jc w:val="left"/>
            </w:pPr>
            <w:r>
              <w:rPr>
                <w:sz w:val="18"/>
                <w:szCs w:val="18"/>
              </w:rPr>
              <w:t xml:space="preserve">Other accrued liabilities</w:t>
            </w:r>
          </w:p>
        </w:tc>
        <w:tc>
          <w:tcPr>
            <w:tcW w:w="2500" w:type="dxa"/>
            <w:vAlign w:val="center"/>
          </w:tcPr>
          <w:p>
            <w:pPr>
              <w:spacing w:before="0" w:after="0"/>
              <w:jc w:val="right"/>
            </w:pPr>
            <w:r>
              <w:rPr>
                <w:sz w:val="18"/>
                <w:szCs w:val="18"/>
              </w:rPr>
              <w:t xml:space="preserve">23,497</w:t>
            </w:r>
          </w:p>
        </w:tc>
        <w:tc>
          <w:tcPr>
            <w:tcW w:w="2500" w:type="dxa"/>
            <w:vAlign w:val="center"/>
          </w:tcPr>
          <w:p>
            <w:pPr>
              <w:spacing w:before="0" w:after="0"/>
              <w:jc w:val="right"/>
            </w:pPr>
            <w:r>
              <w:rPr>
                <w:sz w:val="18"/>
                <w:szCs w:val="18"/>
              </w:rPr>
              <w:t xml:space="preserve">25,127</w:t>
            </w:r>
          </w:p>
        </w:tc>
      </w:tr>
      <w:tr>
        <w:tc>
          <w:tcPr>
            <w:tcW w:w="4072" w:type="dxa"/>
            <w:vAlign w:val="center"/>
          </w:tcPr>
          <w:p>
            <w:pPr>
              <w:spacing w:before="0" w:after="0"/>
              <w:jc w:val="left"/>
            </w:pPr>
            <w:r>
              <w:rPr>
                <w:sz w:val="18"/>
                <w:szCs w:val="18"/>
              </w:rPr>
              <w:t xml:space="preserve">Accrued payroll and benefits</w:t>
            </w:r>
          </w:p>
        </w:tc>
        <w:tc>
          <w:tcPr>
            <w:tcW w:w="2500" w:type="dxa"/>
            <w:vAlign w:val="center"/>
          </w:tcPr>
          <w:p>
            <w:pPr>
              <w:spacing w:before="0" w:after="0"/>
              <w:jc w:val="right"/>
            </w:pPr>
            <w:r>
              <w:rPr>
                <w:sz w:val="18"/>
                <w:szCs w:val="18"/>
              </w:rPr>
              <w:t xml:space="preserve">10,045</w:t>
            </w:r>
          </w:p>
        </w:tc>
        <w:tc>
          <w:tcPr>
            <w:tcW w:w="2500" w:type="dxa"/>
            <w:vAlign w:val="center"/>
          </w:tcPr>
          <w:p>
            <w:pPr>
              <w:spacing w:before="0" w:after="0"/>
              <w:jc w:val="right"/>
            </w:pPr>
            <w:r>
              <w:rPr>
                <w:sz w:val="18"/>
                <w:szCs w:val="18"/>
              </w:rPr>
              <w:t xml:space="preserve">11,410</w:t>
            </w:r>
          </w:p>
        </w:tc>
      </w:tr>
      <w:tr>
        <w:tc>
          <w:tcPr>
            <w:tcW w:w="4072" w:type="dxa"/>
            <w:vAlign w:val="center"/>
          </w:tcPr>
          <w:p>
            <w:pPr>
              <w:spacing w:before="0" w:after="0"/>
              <w:jc w:val="left"/>
            </w:pPr>
            <w:r>
              <w:rPr>
                <w:sz w:val="18"/>
                <w:szCs w:val="18"/>
              </w:rPr>
              <w:t xml:space="preserve">Income taxes payable</w:t>
            </w:r>
          </w:p>
        </w:tc>
        <w:tc>
          <w:tcPr>
            <w:tcW w:w="2500" w:type="dxa"/>
            <w:vAlign w:val="center"/>
          </w:tcPr>
          <w:p>
            <w:pPr>
              <w:spacing w:before="0" w:after="0"/>
              <w:jc w:val="right"/>
            </w:pPr>
            <w:r>
              <w:rPr>
                <w:sz w:val="18"/>
                <w:szCs w:val="18"/>
              </w:rPr>
              <w:t xml:space="preserve">16,206</w:t>
            </w:r>
          </w:p>
        </w:tc>
        <w:tc>
          <w:tcPr>
            <w:tcW w:w="2500" w:type="dxa"/>
            <w:vAlign w:val="center"/>
          </w:tcPr>
          <w:p>
            <w:pPr>
              <w:spacing w:before="0" w:after="0"/>
              <w:jc w:val="right"/>
            </w:pPr>
            <w:r>
              <w:rPr>
                <w:sz w:val="18"/>
                <w:szCs w:val="18"/>
              </w:rPr>
              <w:t xml:space="preserve">16,839</w:t>
            </w:r>
          </w:p>
        </w:tc>
      </w:tr>
      <w:tr>
        <w:tc>
          <w:tcPr>
            <w:tcW w:w="4072" w:type="dxa"/>
            <w:vAlign w:val="center"/>
          </w:tcPr>
          <w:p>
            <w:pPr>
              <w:spacing w:before="0" w:after="0"/>
              <w:jc w:val="left"/>
            </w:pPr>
            <w:r>
              <w:rPr>
                <w:sz w:val="18"/>
                <w:szCs w:val="18"/>
              </w:rPr>
              <w:t xml:space="preserve">Operating lease right-of-use assets</w:t>
            </w:r>
          </w:p>
        </w:tc>
        <w:tc>
          <w:tcPr>
            <w:tcW w:w="2500" w:type="dxa"/>
            <w:vAlign w:val="center"/>
          </w:tcPr>
          <w:p>
            <w:pPr>
              <w:spacing w:before="0" w:after="0"/>
              <w:jc w:val="right"/>
            </w:pPr>
            <w:r>
              <w:rPr>
                <w:sz w:val="18"/>
                <w:szCs w:val="18"/>
              </w:rPr>
              <w:t xml:space="preserve">14,078</w:t>
            </w:r>
          </w:p>
        </w:tc>
        <w:tc>
          <w:tcPr>
            <w:tcW w:w="2500" w:type="dxa"/>
            <w:vAlign w:val="center"/>
          </w:tcPr>
          <w:p>
            <w:pPr>
              <w:spacing w:before="0" w:after="0"/>
              <w:jc w:val="right"/>
            </w:pPr>
            <w:r>
              <w:rPr>
                <w:sz w:val="18"/>
                <w:szCs w:val="18"/>
              </w:rPr>
              <w:t xml:space="preserve">16,416</w:t>
            </w:r>
          </w:p>
        </w:tc>
      </w:tr>
      <w:tr>
        <w:tc>
          <w:tcPr>
            <w:tcW w:w="4072" w:type="dxa"/>
            <w:vAlign w:val="center"/>
          </w:tcPr>
          <w:p>
            <w:pPr>
              <w:spacing w:before="0" w:after="0"/>
              <w:jc w:val="left"/>
            </w:pPr>
            <w:r>
              <w:rPr>
                <w:sz w:val="18"/>
                <w:szCs w:val="18"/>
              </w:rPr>
              <w:t xml:space="preserve">Deferred income taxes</w:t>
            </w:r>
          </w:p>
        </w:tc>
        <w:tc>
          <w:tcPr>
            <w:tcW w:w="2500" w:type="dxa"/>
            <w:vAlign w:val="center"/>
          </w:tcPr>
          <w:p>
            <w:pPr>
              <w:spacing w:before="0" w:after="0"/>
              <w:jc w:val="right"/>
            </w:pPr>
            <w:r>
              <w:rPr>
                <w:sz w:val="18"/>
                <w:szCs w:val="18"/>
              </w:rPr>
              <w:t xml:space="preserve">27,026</w:t>
            </w:r>
          </w:p>
        </w:tc>
        <w:tc>
          <w:tcPr>
            <w:tcW w:w="2500" w:type="dxa"/>
            <w:vAlign w:val="center"/>
          </w:tcPr>
          <w:p>
            <w:pPr>
              <w:spacing w:before="0" w:after="0"/>
              <w:jc w:val="right"/>
            </w:pPr>
            <w:r>
              <w:rPr>
                <w:sz w:val="18"/>
                <w:szCs w:val="18"/>
              </w:rPr>
              <w:t xml:space="preserve">30,773</w:t>
            </w:r>
          </w:p>
        </w:tc>
      </w:tr>
    </w:tbl>
    <w:p>
      <w:pPr/>
    </w:p>
    <w:p>
      <w:pPr>
        <w:keepNext/>
      </w:pPr>
      <w:r>
        <w:rPr>
          <w:b/>
        </w:rPr>
        <w:t xml:space="preserve">8. Debt</w:t>
      </w:r>
    </w:p>
    <w:p>
      <w:pPr>
        <w:ind w:left="0" w:firstLine="360"/>
      </w:pPr>
      <w:r>
        <w:t xml:space="preserve">Inventories consist of green coffee, roasted coffee, packaging, food and merchandise, and are stated at the lower of cost and net realizable value. Revenue from loyalty rewards is deferred until the reward is redeemed or expires. The Company intends to pay dividends out of retained earnings while keeping sufficient funds to finance the opening of new stores. The roastery produced 1,078 thousand pounds of roasted coffee during the fiscal year, of which 13.4% was sold through company-operated stores. Energy use per store decreased 14.0% compared with the prior year, as older espresso machines and refrigerators were replaced with more efficient models.</w:t>
      </w:r>
    </w:p>
    <w:p>
      <w:pPr>
        <w:ind w:left="0" w:firstLine="360"/>
      </w:pPr>
      <w:r>
        <w:t xml:space="preserve">Energy use per store decreased 1.4% compared with the prior year, as older espresso machines and refrigerators were replaced with more efficient models. Nimbus Coffee depends on a small number of dairy and bakery suppliers in each region, and an interruption in their deliveries could affect sales at the stores they serve. Nimbus Coffee buys 12.7% of its green coffee by volume from farms certified under recognized sustainability standards. The ability of the Company to open new stores depends on finding suitable sites on acceptable lease terms and on hiring and training store managers. Occupancy costs increased to $19,725 thousand, reflecting rent for new stores and scheduled rent increases at existing locations. Each store is managed by a store manager who reports to a district manager, and district managers report to the director for their region.</w:t>
      </w:r>
    </w:p>
    <w:p>
      <w:pPr>
        <w:keepNext/>
      </w:pPr>
      <w:r>
        <w:rPr>
          <w:b/>
        </w:rPr>
        <w:t xml:space="preserve">9. Stock-based compensation</w:t>
      </w:r>
    </w:p>
    <w:p>
      <w:pPr>
        <w:ind w:left="0" w:firstLine="360"/>
      </w:pPr>
      <w:r>
        <w:t xml:space="preserve">The ability of Nimbus Coffee to open new stores depends on finding suitable sites on acceptable lease terms and on hiring and training store managers. Food safety incidents, whether or not they occur at our stores, could harm the reputation of the Nimbus Coffee brand and reduce customer traffic. Wholesale revenue comes from sales of roasted beans to restaurants, hotels and grocery stores in the regions where the Group operates. Net cash used in financing activities was $19,750 thousand, reflecting repayments of the term loan and dividends paid.</w:t>
      </w:r>
    </w:p>
    <w:p>
      <w:pPr>
        <w:ind w:left="0" w:firstLine="360"/>
      </w:pPr>
      <w:r>
        <w:t xml:space="preserve">Revenue from loyalty rewards is deferred until the reward is redeemed or expires. Comparable store sales increased 5.5%, driven by a 4.6% increase in average ticket and a 2.5% increase in transactions. The roastery produced 637 thousand pounds of roasted coffee during the fiscal year, of which 22.2% was sold through company-operated stores. Total assets at the end of the fiscal year were $109,921 thousand, an increase of $17,486 thousand from the end of the prior fiscal year. Nimbus Coffee holds no derivatives other than coffee futures contracts used to fix the price of part of its future green coffee purchases.</w:t>
      </w:r>
    </w:p>
    <w:p>
      <w:pPr>
        <w:ind w:left="0" w:firstLine="360"/>
      </w:pPr>
      <w:r>
        <w:t xml:space="preserve">Total revenue for the fiscal year was $42,623 thousand, an increase of 9.6% over the prior year, and operating income was $34,828 thousand, an increase of 12.7%. Nimbus Coffee buys 11.3% of its green coffee by volume from farms certified under recognized sustainability standards. New stores generally reach the sales level of a mature store within eighteen to twenty-four months of opening.</w:t>
      </w:r>
    </w:p>
    <w:tbl>
      <w:tblPr>
        <w:tblW w:w="907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72" w:type="dxa"/>
          <w:right w:w="72" w:type="dxa"/>
        </w:tblCellMar>
      </w:tblPr>
      <w:tblGrid>
        <w:gridCol w:w="4072"/>
        <w:gridCol w:w="2500"/>
        <w:gridCol w:w="2500"/>
      </w:tblGrid>
      <w:tr>
        <w:trPr>
          <w:tblHeader/>
        </w:trPr>
        <w:tc>
          <w:tcPr>
            <w:tcW w:w="4072" w:type="dxa"/>
            <w:shd w:val="clear" w:color="auto" w:fill="DDEBF7"/>
            <w:vAlign w:val="center"/>
          </w:tcPr>
          <w:p>
            <w:pPr>
              <w:spacing w:before="0" w:after="0"/>
              <w:jc w:val="center"/>
            </w:pPr>
            <w:r>
              <w:rPr>
                <w:b/>
                <w:sz w:val="18"/>
                <w:szCs w:val="18"/>
              </w:rPr>
              <w:t xml:space="preserve">Item</w:t>
            </w:r>
          </w:p>
        </w:tc>
        <w:tc>
          <w:tcPr>
            <w:tcW w:w="2500" w:type="dxa"/>
            <w:shd w:val="clear" w:color="auto" w:fill="DDEBF7"/>
            <w:vAlign w:val="center"/>
          </w:tcPr>
          <w:p>
            <w:pPr>
              <w:spacing w:before="0" w:after="0"/>
              <w:jc w:val="center"/>
            </w:pPr>
            <w:r>
              <w:rPr>
                <w:b/>
                <w:sz w:val="18"/>
                <w:szCs w:val="18"/>
              </w:rPr>
              <w:t xml:space="preserve">FY2023</w:t>
            </w:r>
          </w:p>
        </w:tc>
        <w:tc>
          <w:tcPr>
            <w:tcW w:w="2500" w:type="dxa"/>
            <w:shd w:val="clear" w:color="auto" w:fill="DDEBF7"/>
            <w:vAlign w:val="center"/>
          </w:tcPr>
          <w:p>
            <w:pPr>
              <w:spacing w:before="0" w:after="0"/>
              <w:jc w:val="center"/>
            </w:pPr>
            <w:r>
              <w:rPr>
                <w:b/>
                <w:sz w:val="18"/>
                <w:szCs w:val="18"/>
              </w:rPr>
              <w:t xml:space="preserve">FY2024</w:t>
            </w:r>
          </w:p>
        </w:tc>
      </w:tr>
      <w:tr>
        <w:tc>
          <w:tcPr>
            <w:tcW w:w="4072" w:type="dxa"/>
            <w:vAlign w:val="center"/>
          </w:tcPr>
          <w:p>
            <w:pPr>
              <w:spacing w:before="0" w:after="0"/>
              <w:jc w:val="left"/>
            </w:pPr>
            <w:r>
              <w:rPr>
                <w:sz w:val="18"/>
                <w:szCs w:val="18"/>
              </w:rPr>
              <w:t xml:space="preserve">Cash and cash equivalents</w:t>
            </w:r>
          </w:p>
        </w:tc>
        <w:tc>
          <w:tcPr>
            <w:tcW w:w="2500" w:type="dxa"/>
            <w:vAlign w:val="center"/>
          </w:tcPr>
          <w:p>
            <w:pPr>
              <w:spacing w:before="0" w:after="0"/>
              <w:jc w:val="right"/>
            </w:pPr>
            <w:r>
              <w:rPr>
                <w:sz w:val="18"/>
                <w:szCs w:val="18"/>
              </w:rPr>
              <w:t xml:space="preserve">24,487</w:t>
            </w:r>
          </w:p>
        </w:tc>
        <w:tc>
          <w:tcPr>
            <w:tcW w:w="2500" w:type="dxa"/>
            <w:vAlign w:val="center"/>
          </w:tcPr>
          <w:p>
            <w:pPr>
              <w:spacing w:before="0" w:after="0"/>
              <w:jc w:val="right"/>
            </w:pPr>
            <w:r>
              <w:rPr>
                <w:sz w:val="18"/>
                <w:szCs w:val="18"/>
              </w:rPr>
              <w:t xml:space="preserve">25,537</w:t>
            </w:r>
          </w:p>
        </w:tc>
      </w:tr>
      <w:tr>
        <w:tc>
          <w:tcPr>
            <w:tcW w:w="4072" w:type="dxa"/>
            <w:vAlign w:val="center"/>
          </w:tcPr>
          <w:p>
            <w:pPr>
              <w:spacing w:before="0" w:after="0"/>
              <w:jc w:val="left"/>
            </w:pPr>
            <w:r>
              <w:rPr>
                <w:sz w:val="18"/>
                <w:szCs w:val="18"/>
              </w:rPr>
              <w:t xml:space="preserve">Current portion of operating lease liabilities</w:t>
            </w:r>
          </w:p>
        </w:tc>
        <w:tc>
          <w:tcPr>
            <w:tcW w:w="2500" w:type="dxa"/>
            <w:vAlign w:val="center"/>
          </w:tcPr>
          <w:p>
            <w:pPr>
              <w:spacing w:before="0" w:after="0"/>
              <w:jc w:val="right"/>
            </w:pPr>
            <w:r>
              <w:rPr>
                <w:sz w:val="18"/>
                <w:szCs w:val="18"/>
              </w:rPr>
              <w:t xml:space="preserve">7,142</w:t>
            </w:r>
          </w:p>
        </w:tc>
        <w:tc>
          <w:tcPr>
            <w:tcW w:w="2500" w:type="dxa"/>
            <w:vAlign w:val="center"/>
          </w:tcPr>
          <w:p>
            <w:pPr>
              <w:spacing w:before="0" w:after="0"/>
              <w:jc w:val="right"/>
            </w:pPr>
            <w:r>
              <w:rPr>
                <w:sz w:val="18"/>
                <w:szCs w:val="18"/>
              </w:rPr>
              <w:t xml:space="preserve">7,520</w:t>
            </w:r>
          </w:p>
        </w:tc>
      </w:tr>
      <w:tr>
        <w:tc>
          <w:tcPr>
            <w:tcW w:w="4072" w:type="dxa"/>
            <w:vAlign w:val="center"/>
          </w:tcPr>
          <w:p>
            <w:pPr>
              <w:spacing w:before="0" w:after="0"/>
              <w:jc w:val="left"/>
            </w:pPr>
            <w:r>
              <w:rPr>
                <w:sz w:val="18"/>
                <w:szCs w:val="18"/>
              </w:rPr>
              <w:t xml:space="preserve">Current portion of long-term debt</w:t>
            </w:r>
          </w:p>
        </w:tc>
        <w:tc>
          <w:tcPr>
            <w:tcW w:w="2500" w:type="dxa"/>
            <w:vAlign w:val="center"/>
          </w:tcPr>
          <w:p>
            <w:pPr>
              <w:spacing w:before="0" w:after="0"/>
              <w:jc w:val="right"/>
            </w:pPr>
            <w:r>
              <w:rPr>
                <w:sz w:val="18"/>
                <w:szCs w:val="18"/>
              </w:rPr>
              <w:t xml:space="preserve">17,528</w:t>
            </w:r>
          </w:p>
        </w:tc>
        <w:tc>
          <w:tcPr>
            <w:tcW w:w="2500" w:type="dxa"/>
            <w:vAlign w:val="center"/>
          </w:tcPr>
          <w:p>
            <w:pPr>
              <w:spacing w:before="0" w:after="0"/>
              <w:jc w:val="right"/>
            </w:pPr>
            <w:r>
              <w:rPr>
                <w:sz w:val="18"/>
                <w:szCs w:val="18"/>
              </w:rPr>
              <w:t xml:space="preserve">19,007</w:t>
            </w:r>
          </w:p>
        </w:tc>
      </w:tr>
      <w:tr>
        <w:tc>
          <w:tcPr>
            <w:tcW w:w="4072" w:type="dxa"/>
            <w:vAlign w:val="center"/>
          </w:tcPr>
          <w:p>
            <w:pPr>
              <w:spacing w:before="0" w:after="0"/>
              <w:jc w:val="left"/>
            </w:pPr>
            <w:r>
              <w:rPr>
                <w:sz w:val="18"/>
                <w:szCs w:val="18"/>
              </w:rPr>
              <w:t xml:space="preserve">Prepaid expenses and other current assets</w:t>
            </w:r>
          </w:p>
        </w:tc>
        <w:tc>
          <w:tcPr>
            <w:tcW w:w="2500" w:type="dxa"/>
            <w:vAlign w:val="center"/>
          </w:tcPr>
          <w:p>
            <w:pPr>
              <w:spacing w:before="0" w:after="0"/>
              <w:jc w:val="right"/>
            </w:pPr>
            <w:r>
              <w:rPr>
                <w:sz w:val="18"/>
                <w:szCs w:val="18"/>
              </w:rPr>
              <w:t xml:space="preserve">15,833</w:t>
            </w:r>
          </w:p>
        </w:tc>
        <w:tc>
          <w:tcPr>
            <w:tcW w:w="2500" w:type="dxa"/>
            <w:vAlign w:val="center"/>
          </w:tcPr>
          <w:p>
            <w:pPr>
              <w:spacing w:before="0" w:after="0"/>
              <w:jc w:val="right"/>
            </w:pPr>
            <w:r>
              <w:rPr>
                <w:sz w:val="18"/>
                <w:szCs w:val="18"/>
              </w:rPr>
              <w:t xml:space="preserve">17,251</w:t>
            </w:r>
          </w:p>
        </w:tc>
      </w:tr>
      <w:tr>
        <w:tc>
          <w:tcPr>
            <w:tcW w:w="4072" w:type="dxa"/>
            <w:vAlign w:val="center"/>
          </w:tcPr>
          <w:p>
            <w:pPr>
              <w:spacing w:before="0" w:after="0"/>
              <w:jc w:val="left"/>
            </w:pPr>
            <w:r>
              <w:rPr>
                <w:sz w:val="18"/>
                <w:szCs w:val="18"/>
              </w:rPr>
              <w:t xml:space="preserve">Prepaid expenses and other current assets</w:t>
            </w:r>
          </w:p>
        </w:tc>
        <w:tc>
          <w:tcPr>
            <w:tcW w:w="2500" w:type="dxa"/>
            <w:vAlign w:val="center"/>
          </w:tcPr>
          <w:p>
            <w:pPr>
              <w:spacing w:before="0" w:after="0"/>
              <w:jc w:val="right"/>
            </w:pPr>
            <w:r>
              <w:rPr>
                <w:sz w:val="18"/>
                <w:szCs w:val="18"/>
              </w:rPr>
              <w:t xml:space="preserve">11,292</w:t>
            </w:r>
          </w:p>
        </w:tc>
        <w:tc>
          <w:tcPr>
            <w:tcW w:w="2500" w:type="dxa"/>
            <w:vAlign w:val="center"/>
          </w:tcPr>
          <w:p>
            <w:pPr>
              <w:spacing w:before="0" w:after="0"/>
              <w:jc w:val="right"/>
            </w:pPr>
            <w:r>
              <w:rPr>
                <w:sz w:val="18"/>
                <w:szCs w:val="18"/>
              </w:rPr>
              <w:t xml:space="preserve">12,510</w:t>
            </w:r>
          </w:p>
        </w:tc>
      </w:tr>
      <w:tr>
        <w:tc>
          <w:tcPr>
            <w:tcW w:w="4072" w:type="dxa"/>
            <w:vAlign w:val="center"/>
          </w:tcPr>
          <w:p>
            <w:pPr>
              <w:spacing w:before="0" w:after="0"/>
              <w:jc w:val="left"/>
            </w:pPr>
            <w:r>
              <w:rPr>
                <w:sz w:val="18"/>
                <w:szCs w:val="18"/>
              </w:rPr>
              <w:t xml:space="preserve">Property and equipment, net</w:t>
            </w:r>
          </w:p>
        </w:tc>
        <w:tc>
          <w:tcPr>
            <w:tcW w:w="2500" w:type="dxa"/>
            <w:vAlign w:val="center"/>
          </w:tcPr>
          <w:p>
            <w:pPr>
              <w:spacing w:before="0" w:after="0"/>
              <w:jc w:val="right"/>
            </w:pPr>
            <w:r>
              <w:rPr>
                <w:sz w:val="18"/>
                <w:szCs w:val="18"/>
              </w:rPr>
              <w:t xml:space="preserve">12,128</w:t>
            </w:r>
          </w:p>
        </w:tc>
        <w:tc>
          <w:tcPr>
            <w:tcW w:w="2500" w:type="dxa"/>
            <w:vAlign w:val="center"/>
          </w:tcPr>
          <w:p>
            <w:pPr>
              <w:spacing w:before="0" w:after="0"/>
              <w:jc w:val="right"/>
            </w:pPr>
            <w:r>
              <w:rPr>
                <w:sz w:val="18"/>
                <w:szCs w:val="18"/>
              </w:rPr>
              <w:t xml:space="preserve">14,017</w:t>
            </w:r>
          </w:p>
        </w:tc>
      </w:tr>
    </w:tbl>
    <w:p>
      <w:pPr/>
    </w:p>
    <w:p>
      <w:pPr>
        <w:keepNext/>
      </w:pPr>
      <w:r>
        <w:rPr>
          <w:b/>
        </w:rPr>
        <w:t xml:space="preserve">10. Income taxes</w:t>
      </w:r>
    </w:p>
    <w:p>
      <w:pPr>
        <w:ind w:left="0" w:firstLine="360"/>
      </w:pPr>
      <w:r>
        <w:t xml:space="preserve">Wholesale revenue comes from sales of roasted beans to restaurants, hotels and grocery stores in the regions where the Group operates. Revenue from loyalty rewards is deferred until the reward is redeemed or expires. Baristas complete a four-week training course before working on the floor, and store managers complete a further course at the Northfield training center. Revenue from loyalty rewards is deferred until the reward is redeemed or expires. Net cash provided by operating activities was $280,483 thousand, mainly reflecting net income and depreciation and amortization. Revenue from company-operated stores increased 2.7% compared with the prior year, while its share of total revenue was little changed.</w:t>
      </w:r>
    </w:p>
    <w:p>
      <w:pPr>
        <w:ind w:left="0" w:firstLine="360"/>
      </w:pPr>
      <w:r>
        <w:t xml:space="preserve">The Group intends to pay dividends out of retained earnings while keeping sufficient funds to finance the opening of new stores. Net cash provided by operating activities was $77,694 thousand, mainly reflecting net income and depreciation and amortization. Inventories consist of green coffee, roasted coffee, packaging, food and merchandise, and are stated at the lower of cost and net realizable value. Nimbus Coffee leases all of its store premises under operating leases with initial terms of ten years, most of which include options to renew. Inventories consist of green coffee, roasted coffee, packaging, food and merchandise, and are stated at the lower of cost and net realizable value.</w:t>
      </w:r>
    </w:p>
    <w:p>
      <w:pPr>
        <w:keepNext/>
      </w:pPr>
      <w:r>
        <w:rPr>
          <w:b/>
        </w:rPr>
        <w:t xml:space="preserve">11. Segment reporting</w:t>
      </w:r>
    </w:p>
    <w:p>
      <w:pPr>
        <w:ind w:left="0" w:firstLine="360"/>
      </w:pPr>
      <w:r>
        <w:t xml:space="preserve">These forward-looking statements are based on information available as of the date of this statement, and actual results may differ materially because of many factors. Merchandise sales, consisting of mugs, brewing equipment and seasonal gift sets, are highest in the fourth quarter of each year. Green coffee is purchased from exporters and cooperatives in Central America, South America and East Africa under fixed-price contracts that generally cover the next nine to twelve months of expected needs. At the end of the fiscal year, the Company operated 194 company-operated stores in eight regions: Northfield, Eastbay, Southport, Westridge, Lakeside, Hillcrest, Riverside and Harborview. The Group holds no derivatives other than coffee futures contracts used to fix the price of part of its future green coffee purchases. Revenue from loyalty rewards is deferred until the reward is redeemed or expires.</w:t>
      </w:r>
    </w:p>
    <w:p>
      <w:pPr>
        <w:ind w:left="0" w:firstLine="360"/>
      </w:pPr>
      <w:r>
        <w:t xml:space="preserve">Occupancy costs increased to $5,676 thousand, reflecting rent for new stores and scheduled rent increases at existing locations. New stores generally reach the sales level of a mature store within eighteen to twenty-four months of opening. Revenue from the Beans category increased 9.5% compared with the prior year, while its share of total revenue was little changed. Total revenue for the fiscal year was $85,440 thousand, an increase of 14.0% over the prior year, and operating income was $16,051 thousand, an increase of 20.6%. Total assets at the end of the fiscal year were $148,112 thousand, an increase of $31,187 thousand from the end of the prior fiscal year.</w:t>
      </w:r>
    </w:p>
    <w:tbl>
      <w:tblPr>
        <w:tblW w:w="907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72" w:type="dxa"/>
          <w:right w:w="72" w:type="dxa"/>
        </w:tblCellMar>
      </w:tblPr>
      <w:tblGrid>
        <w:gridCol w:w="4072"/>
        <w:gridCol w:w="2500"/>
        <w:gridCol w:w="2500"/>
      </w:tblGrid>
      <w:tr>
        <w:trPr>
          <w:tblHeader/>
        </w:trPr>
        <w:tc>
          <w:tcPr>
            <w:tcW w:w="4072" w:type="dxa"/>
            <w:shd w:val="clear" w:color="auto" w:fill="DDEBF7"/>
            <w:vAlign w:val="center"/>
          </w:tcPr>
          <w:p>
            <w:pPr>
              <w:spacing w:before="0" w:after="0"/>
              <w:jc w:val="center"/>
            </w:pPr>
            <w:r>
              <w:rPr>
                <w:b/>
                <w:sz w:val="18"/>
                <w:szCs w:val="18"/>
              </w:rPr>
              <w:t xml:space="preserve">Item</w:t>
            </w:r>
          </w:p>
        </w:tc>
        <w:tc>
          <w:tcPr>
            <w:tcW w:w="2500" w:type="dxa"/>
            <w:shd w:val="clear" w:color="auto" w:fill="DDEBF7"/>
            <w:vAlign w:val="center"/>
          </w:tcPr>
          <w:p>
            <w:pPr>
              <w:spacing w:before="0" w:after="0"/>
              <w:jc w:val="center"/>
            </w:pPr>
            <w:r>
              <w:rPr>
                <w:b/>
                <w:sz w:val="18"/>
                <w:szCs w:val="18"/>
              </w:rPr>
              <w:t xml:space="preserve">FY2023</w:t>
            </w:r>
          </w:p>
        </w:tc>
        <w:tc>
          <w:tcPr>
            <w:tcW w:w="2500" w:type="dxa"/>
            <w:shd w:val="clear" w:color="auto" w:fill="DDEBF7"/>
            <w:vAlign w:val="center"/>
          </w:tcPr>
          <w:p>
            <w:pPr>
              <w:spacing w:before="0" w:after="0"/>
              <w:jc w:val="center"/>
            </w:pPr>
            <w:r>
              <w:rPr>
                <w:b/>
                <w:sz w:val="18"/>
                <w:szCs w:val="18"/>
              </w:rPr>
              <w:t xml:space="preserve">FY2024</w:t>
            </w:r>
          </w:p>
        </w:tc>
      </w:tr>
      <w:tr>
        <w:tc>
          <w:tcPr>
            <w:tcW w:w="4072" w:type="dxa"/>
            <w:vAlign w:val="center"/>
          </w:tcPr>
          <w:p>
            <w:pPr>
              <w:spacing w:before="0" w:after="0"/>
              <w:jc w:val="left"/>
            </w:pPr>
            <w:r>
              <w:rPr>
                <w:sz w:val="18"/>
                <w:szCs w:val="18"/>
              </w:rPr>
              <w:t xml:space="preserve">Deferred rent and asset retirement obligations</w:t>
            </w:r>
          </w:p>
        </w:tc>
        <w:tc>
          <w:tcPr>
            <w:tcW w:w="2500" w:type="dxa"/>
            <w:vAlign w:val="center"/>
          </w:tcPr>
          <w:p>
            <w:pPr>
              <w:spacing w:before="0" w:after="0"/>
              <w:jc w:val="right"/>
            </w:pPr>
            <w:r>
              <w:rPr>
                <w:sz w:val="18"/>
                <w:szCs w:val="18"/>
              </w:rPr>
              <w:t xml:space="preserve">9,677</w:t>
            </w:r>
          </w:p>
        </w:tc>
        <w:tc>
          <w:tcPr>
            <w:tcW w:w="2500" w:type="dxa"/>
            <w:vAlign w:val="center"/>
          </w:tcPr>
          <w:p>
            <w:pPr>
              <w:spacing w:before="0" w:after="0"/>
              <w:jc w:val="right"/>
            </w:pPr>
            <w:r>
              <w:rPr>
                <w:sz w:val="18"/>
                <w:szCs w:val="18"/>
              </w:rPr>
              <w:t xml:space="preserve">11,155</w:t>
            </w:r>
          </w:p>
        </w:tc>
      </w:tr>
      <w:tr>
        <w:tc>
          <w:tcPr>
            <w:tcW w:w="4072" w:type="dxa"/>
            <w:vAlign w:val="center"/>
          </w:tcPr>
          <w:p>
            <w:pPr>
              <w:spacing w:before="0" w:after="0"/>
              <w:jc w:val="left"/>
            </w:pPr>
            <w:r>
              <w:rPr>
                <w:sz w:val="18"/>
                <w:szCs w:val="18"/>
              </w:rPr>
              <w:t xml:space="preserve">Inventories</w:t>
            </w:r>
          </w:p>
        </w:tc>
        <w:tc>
          <w:tcPr>
            <w:tcW w:w="2500" w:type="dxa"/>
            <w:vAlign w:val="center"/>
          </w:tcPr>
          <w:p>
            <w:pPr>
              <w:spacing w:before="0" w:after="0"/>
              <w:jc w:val="right"/>
            </w:pPr>
            <w:r>
              <w:rPr>
                <w:sz w:val="18"/>
                <w:szCs w:val="18"/>
              </w:rPr>
              <w:t xml:space="preserve">17,904</w:t>
            </w:r>
          </w:p>
        </w:tc>
        <w:tc>
          <w:tcPr>
            <w:tcW w:w="2500" w:type="dxa"/>
            <w:vAlign w:val="center"/>
          </w:tcPr>
          <w:p>
            <w:pPr>
              <w:spacing w:before="0" w:after="0"/>
              <w:jc w:val="right"/>
            </w:pPr>
            <w:r>
              <w:rPr>
                <w:sz w:val="18"/>
                <w:szCs w:val="18"/>
              </w:rPr>
              <w:t xml:space="preserve">20,161</w:t>
            </w:r>
          </w:p>
        </w:tc>
      </w:tr>
      <w:tr>
        <w:tc>
          <w:tcPr>
            <w:tcW w:w="4072" w:type="dxa"/>
            <w:vAlign w:val="center"/>
          </w:tcPr>
          <w:p>
            <w:pPr>
              <w:spacing w:before="0" w:after="0"/>
              <w:jc w:val="left"/>
            </w:pPr>
            <w:r>
              <w:rPr>
                <w:sz w:val="18"/>
                <w:szCs w:val="18"/>
              </w:rPr>
              <w:t xml:space="preserve">Security deposits</w:t>
            </w:r>
          </w:p>
        </w:tc>
        <w:tc>
          <w:tcPr>
            <w:tcW w:w="2500" w:type="dxa"/>
            <w:vAlign w:val="center"/>
          </w:tcPr>
          <w:p>
            <w:pPr>
              <w:spacing w:before="0" w:after="0"/>
              <w:jc w:val="right"/>
            </w:pPr>
            <w:r>
              <w:rPr>
                <w:sz w:val="18"/>
                <w:szCs w:val="18"/>
              </w:rPr>
              <w:t xml:space="preserve">5,307</w:t>
            </w:r>
          </w:p>
        </w:tc>
        <w:tc>
          <w:tcPr>
            <w:tcW w:w="2500" w:type="dxa"/>
            <w:vAlign w:val="center"/>
          </w:tcPr>
          <w:p>
            <w:pPr>
              <w:spacing w:before="0" w:after="0"/>
              <w:jc w:val="right"/>
            </w:pPr>
            <w:r>
              <w:rPr>
                <w:sz w:val="18"/>
                <w:szCs w:val="18"/>
              </w:rPr>
              <w:t xml:space="preserve">5,770</w:t>
            </w:r>
          </w:p>
        </w:tc>
      </w:tr>
      <w:tr>
        <w:tc>
          <w:tcPr>
            <w:tcW w:w="4072" w:type="dxa"/>
            <w:vAlign w:val="center"/>
          </w:tcPr>
          <w:p>
            <w:pPr>
              <w:spacing w:before="0" w:after="0"/>
              <w:jc w:val="left"/>
            </w:pPr>
            <w:r>
              <w:rPr>
                <w:sz w:val="18"/>
                <w:szCs w:val="18"/>
              </w:rPr>
              <w:t xml:space="preserve">Accrued payroll and benefits</w:t>
            </w:r>
          </w:p>
        </w:tc>
        <w:tc>
          <w:tcPr>
            <w:tcW w:w="2500" w:type="dxa"/>
            <w:vAlign w:val="center"/>
          </w:tcPr>
          <w:p>
            <w:pPr>
              <w:spacing w:before="0" w:after="0"/>
              <w:jc w:val="right"/>
            </w:pPr>
            <w:r>
              <w:rPr>
                <w:sz w:val="18"/>
                <w:szCs w:val="18"/>
              </w:rPr>
              <w:t xml:space="preserve">19,035</w:t>
            </w:r>
          </w:p>
        </w:tc>
        <w:tc>
          <w:tcPr>
            <w:tcW w:w="2500" w:type="dxa"/>
            <w:vAlign w:val="center"/>
          </w:tcPr>
          <w:p>
            <w:pPr>
              <w:spacing w:before="0" w:after="0"/>
              <w:jc w:val="right"/>
            </w:pPr>
            <w:r>
              <w:rPr>
                <w:sz w:val="18"/>
                <w:szCs w:val="18"/>
              </w:rPr>
              <w:t xml:space="preserve">19,282</w:t>
            </w:r>
          </w:p>
        </w:tc>
      </w:tr>
      <w:tr>
        <w:tc>
          <w:tcPr>
            <w:tcW w:w="4072" w:type="dxa"/>
            <w:vAlign w:val="center"/>
          </w:tcPr>
          <w:p>
            <w:pPr>
              <w:spacing w:before="0" w:after="0"/>
              <w:jc w:val="left"/>
            </w:pPr>
            <w:r>
              <w:rPr>
                <w:sz w:val="18"/>
                <w:szCs w:val="18"/>
              </w:rPr>
              <w:t xml:space="preserve">Security deposits</w:t>
            </w:r>
          </w:p>
        </w:tc>
        <w:tc>
          <w:tcPr>
            <w:tcW w:w="2500" w:type="dxa"/>
            <w:vAlign w:val="center"/>
          </w:tcPr>
          <w:p>
            <w:pPr>
              <w:spacing w:before="0" w:after="0"/>
              <w:jc w:val="right"/>
            </w:pPr>
            <w:r>
              <w:rPr>
                <w:sz w:val="18"/>
                <w:szCs w:val="18"/>
              </w:rPr>
              <w:t xml:space="preserve">5,560</w:t>
            </w:r>
          </w:p>
        </w:tc>
        <w:tc>
          <w:tcPr>
            <w:tcW w:w="2500" w:type="dxa"/>
            <w:vAlign w:val="center"/>
          </w:tcPr>
          <w:p>
            <w:pPr>
              <w:spacing w:before="0" w:after="0"/>
              <w:jc w:val="right"/>
            </w:pPr>
            <w:r>
              <w:rPr>
                <w:sz w:val="18"/>
                <w:szCs w:val="18"/>
              </w:rPr>
              <w:t xml:space="preserve">6,325</w:t>
            </w:r>
          </w:p>
        </w:tc>
      </w:tr>
      <w:tr>
        <w:tc>
          <w:tcPr>
            <w:tcW w:w="4072" w:type="dxa"/>
            <w:vAlign w:val="center"/>
          </w:tcPr>
          <w:p>
            <w:pPr>
              <w:spacing w:before="0" w:after="0"/>
              <w:jc w:val="left"/>
            </w:pPr>
            <w:r>
              <w:rPr>
                <w:sz w:val="18"/>
                <w:szCs w:val="18"/>
              </w:rPr>
              <w:t xml:space="preserve">Goodwill</w:t>
            </w:r>
          </w:p>
        </w:tc>
        <w:tc>
          <w:tcPr>
            <w:tcW w:w="2500" w:type="dxa"/>
            <w:vAlign w:val="center"/>
          </w:tcPr>
          <w:p>
            <w:pPr>
              <w:spacing w:before="0" w:after="0"/>
              <w:jc w:val="right"/>
            </w:pPr>
            <w:r>
              <w:rPr>
                <w:sz w:val="18"/>
                <w:szCs w:val="18"/>
              </w:rPr>
              <w:t xml:space="preserve">21,109</w:t>
            </w:r>
          </w:p>
        </w:tc>
        <w:tc>
          <w:tcPr>
            <w:tcW w:w="2500" w:type="dxa"/>
            <w:vAlign w:val="center"/>
          </w:tcPr>
          <w:p>
            <w:pPr>
              <w:spacing w:before="0" w:after="0"/>
              <w:jc w:val="right"/>
            </w:pPr>
            <w:r>
              <w:rPr>
                <w:sz w:val="18"/>
                <w:szCs w:val="18"/>
              </w:rPr>
              <w:t xml:space="preserve">21,601</w:t>
            </w:r>
          </w:p>
        </w:tc>
      </w:tr>
    </w:tbl>
    <w:p>
      <w:pPr/>
    </w:p>
    <w:p>
      <w:pPr>
        <w:keepNext/>
      </w:pPr>
      <w:r>
        <w:rPr>
          <w:b/>
        </w:rPr>
        <w:t xml:space="preserve">12. Related-party transactions</w:t>
      </w:r>
    </w:p>
    <w:p>
      <w:pPr>
        <w:ind w:left="0" w:firstLine="360"/>
      </w:pPr>
      <w:r>
        <w:t xml:space="preserve">Capital expenditures totaled $18,291 thousand and consisted mainly of the build-out of new stores, the remodeling of existing stores and a second roasting line at the Northfield roastery. The Group holds no derivatives other than coffee futures contracts used to fix the price of part of its future green coffee purchases. New stores generally reach the sales level of a mature store within eighteen to twenty-four months of opening. During the fiscal year, the Group opened 16 new stores and closed 4 stores whose leases expired. Net cash used in financing activities was $10,435 thousand, reflecting repayments of the term loan and dividends paid. The Group operates specialty coffee shops under the Nimbus Coffee name and roasts all of the coffee it serves at its own roastery in Northfield.</w:t>
      </w:r>
    </w:p>
    <w:p>
      <w:pPr>
        <w:ind w:left="0" w:firstLine="360"/>
      </w:pPr>
      <w:r>
        <w:t xml:space="preserve">Orders placed through the online store, including orders for pickup in store and home delivery of whole beans, accounted for 5.3% of revenue in the Beverages and Beans categories. Wholesale revenue comes from sales of roasted beans to restaurants, hotels and grocery stores in the regions where the Group operates. New stores generally reach the sales level of a mature store within eighteen to twenty-four months of opening. Energy use per store decreased 9.2% compared with the prior year, as older espresso machines and refrigerators were replaced with more efficient models. Green coffee is purchased from exporters and cooperatives in Central America, South America and East Africa under fixed-price contracts that generally cover the next nine to twelve months of expected needs. Merchandise sales, consisting of mugs, brewing equipment and seasonal gift sets, are highest in the fourth quarter of each year.</w:t>
      </w:r>
    </w:p>
    <w:p>
      <w:pPr>
        <w:keepNext/>
      </w:pPr>
      <w:r>
        <w:rPr>
          <w:b/>
        </w:rPr>
        <w:t xml:space="preserve">13. Earnings per share</w:t>
      </w:r>
    </w:p>
    <w:p>
      <w:pPr>
        <w:ind w:left="0" w:firstLine="360"/>
      </w:pPr>
      <w:r>
        <w:t xml:space="preserve">Nimbus Coffee operates specialty coffee shops under the Nimbus Coffee name and roasts all of the coffee it serves at its own roastery in Northfield. Revenue from company-operated stores was $10,992 thousand, or 36.2% of total revenue. The ability of the Company to open new stores depends on finding suitable sites on acceptable lease terms and on hiring and training store managers.</w:t>
      </w:r>
    </w:p>
    <w:p>
      <w:pPr>
        <w:ind w:left="0" w:firstLine="360"/>
      </w:pPr>
      <w:r>
        <w:t xml:space="preserve">Nimbus Coffee buys 55.2% of its green coffee by volume from farms certified under recognized sustainability standards. Inventories consist of green coffee, roasted coffee, packaging, food and merchandise, and are stated at the lower of cost and net realizable value. Merchandise sales, consisting of mugs, brewing equipment and seasonal gift sets, are highest in the fourth quarter of each year. Green coffee is purchased from exporters and cooperatives in Central America, South America and East Africa under fixed-price contracts that generally cover the next nine to twelve months of expected needs. During the fiscal year, the Group opened 7 new stores and closed 1 stores whose leases expired.</w:t>
      </w:r>
    </w:p>
    <w:p>
      <w:pPr>
        <w:ind w:left="0" w:firstLine="360"/>
      </w:pPr>
      <w:r>
        <w:t xml:space="preserve">Occupancy costs increased to $28,422 thousand, reflecting rent for new stores and scheduled rent increases at existing locations. Net cash used in investing activities was $6,140 thousand, primarily for purchases of property and equipment. These forward-looking statements are based on information available as of the date of this statement, and actual results may differ materially because of many factors.</w:t>
      </w:r>
    </w:p>
    <w:tbl>
      <w:tblPr>
        <w:tblW w:w="907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72" w:type="dxa"/>
          <w:right w:w="72" w:type="dxa"/>
        </w:tblCellMar>
      </w:tblPr>
      <w:tblGrid>
        <w:gridCol w:w="4072"/>
        <w:gridCol w:w="2500"/>
        <w:gridCol w:w="2500"/>
      </w:tblGrid>
      <w:tr>
        <w:trPr>
          <w:tblHeader/>
        </w:trPr>
        <w:tc>
          <w:tcPr>
            <w:tcW w:w="4072" w:type="dxa"/>
            <w:shd w:val="clear" w:color="auto" w:fill="DDEBF7"/>
            <w:vAlign w:val="center"/>
          </w:tcPr>
          <w:p>
            <w:pPr>
              <w:spacing w:before="0" w:after="0"/>
              <w:jc w:val="center"/>
            </w:pPr>
            <w:r>
              <w:rPr>
                <w:b/>
                <w:sz w:val="18"/>
                <w:szCs w:val="18"/>
              </w:rPr>
              <w:t xml:space="preserve">Item</w:t>
            </w:r>
          </w:p>
        </w:tc>
        <w:tc>
          <w:tcPr>
            <w:tcW w:w="2500" w:type="dxa"/>
            <w:shd w:val="clear" w:color="auto" w:fill="DDEBF7"/>
            <w:vAlign w:val="center"/>
          </w:tcPr>
          <w:p>
            <w:pPr>
              <w:spacing w:before="0" w:after="0"/>
              <w:jc w:val="center"/>
            </w:pPr>
            <w:r>
              <w:rPr>
                <w:b/>
                <w:sz w:val="18"/>
                <w:szCs w:val="18"/>
              </w:rPr>
              <w:t xml:space="preserve">FY2023</w:t>
            </w:r>
          </w:p>
        </w:tc>
        <w:tc>
          <w:tcPr>
            <w:tcW w:w="2500" w:type="dxa"/>
            <w:shd w:val="clear" w:color="auto" w:fill="DDEBF7"/>
            <w:vAlign w:val="center"/>
          </w:tcPr>
          <w:p>
            <w:pPr>
              <w:spacing w:before="0" w:after="0"/>
              <w:jc w:val="center"/>
            </w:pPr>
            <w:r>
              <w:rPr>
                <w:b/>
                <w:sz w:val="18"/>
                <w:szCs w:val="18"/>
              </w:rPr>
              <w:t xml:space="preserve">FY2024</w:t>
            </w:r>
          </w:p>
        </w:tc>
      </w:tr>
      <w:tr>
        <w:tc>
          <w:tcPr>
            <w:tcW w:w="4072" w:type="dxa"/>
            <w:vAlign w:val="center"/>
          </w:tcPr>
          <w:p>
            <w:pPr>
              <w:spacing w:before="0" w:after="0"/>
              <w:jc w:val="left"/>
            </w:pPr>
            <w:r>
              <w:rPr>
                <w:sz w:val="18"/>
                <w:szCs w:val="18"/>
              </w:rPr>
              <w:t xml:space="preserve">Current portion of operating lease liabilities</w:t>
            </w:r>
          </w:p>
        </w:tc>
        <w:tc>
          <w:tcPr>
            <w:tcW w:w="2500" w:type="dxa"/>
            <w:vAlign w:val="center"/>
          </w:tcPr>
          <w:p>
            <w:pPr>
              <w:spacing w:before="0" w:after="0"/>
              <w:jc w:val="right"/>
            </w:pPr>
            <w:r>
              <w:rPr>
                <w:sz w:val="18"/>
                <w:szCs w:val="18"/>
              </w:rPr>
              <w:t xml:space="preserve">24,597</w:t>
            </w:r>
          </w:p>
        </w:tc>
        <w:tc>
          <w:tcPr>
            <w:tcW w:w="2500" w:type="dxa"/>
            <w:vAlign w:val="center"/>
          </w:tcPr>
          <w:p>
            <w:pPr>
              <w:spacing w:before="0" w:after="0"/>
              <w:jc w:val="right"/>
            </w:pPr>
            <w:r>
              <w:rPr>
                <w:sz w:val="18"/>
                <w:szCs w:val="18"/>
              </w:rPr>
              <w:t xml:space="preserve">28,185</w:t>
            </w:r>
          </w:p>
        </w:tc>
      </w:tr>
      <w:tr>
        <w:tc>
          <w:tcPr>
            <w:tcW w:w="4072" w:type="dxa"/>
            <w:vAlign w:val="center"/>
          </w:tcPr>
          <w:p>
            <w:pPr>
              <w:spacing w:before="0" w:after="0"/>
              <w:jc w:val="left"/>
            </w:pPr>
            <w:r>
              <w:rPr>
                <w:sz w:val="18"/>
                <w:szCs w:val="18"/>
              </w:rPr>
              <w:t xml:space="preserve">Deferred revenue (gift cards and loyalty)</w:t>
            </w:r>
          </w:p>
        </w:tc>
        <w:tc>
          <w:tcPr>
            <w:tcW w:w="2500" w:type="dxa"/>
            <w:vAlign w:val="center"/>
          </w:tcPr>
          <w:p>
            <w:pPr>
              <w:spacing w:before="0" w:after="0"/>
              <w:jc w:val="right"/>
            </w:pPr>
            <w:r>
              <w:rPr>
                <w:sz w:val="18"/>
                <w:szCs w:val="18"/>
              </w:rPr>
              <w:t xml:space="preserve">7,360</w:t>
            </w:r>
          </w:p>
        </w:tc>
        <w:tc>
          <w:tcPr>
            <w:tcW w:w="2500" w:type="dxa"/>
            <w:vAlign w:val="center"/>
          </w:tcPr>
          <w:p>
            <w:pPr>
              <w:spacing w:before="0" w:after="0"/>
              <w:jc w:val="right"/>
            </w:pPr>
            <w:r>
              <w:rPr>
                <w:sz w:val="18"/>
                <w:szCs w:val="18"/>
              </w:rPr>
              <w:t xml:space="preserve">8,662</w:t>
            </w:r>
          </w:p>
        </w:tc>
      </w:tr>
      <w:tr>
        <w:tc>
          <w:tcPr>
            <w:tcW w:w="4072" w:type="dxa"/>
            <w:vAlign w:val="center"/>
          </w:tcPr>
          <w:p>
            <w:pPr>
              <w:spacing w:before="0" w:after="0"/>
              <w:jc w:val="left"/>
            </w:pPr>
            <w:r>
              <w:rPr>
                <w:sz w:val="18"/>
                <w:szCs w:val="18"/>
              </w:rPr>
              <w:t xml:space="preserve">Deferred income taxes</w:t>
            </w:r>
          </w:p>
        </w:tc>
        <w:tc>
          <w:tcPr>
            <w:tcW w:w="2500" w:type="dxa"/>
            <w:vAlign w:val="center"/>
          </w:tcPr>
          <w:p>
            <w:pPr>
              <w:spacing w:before="0" w:after="0"/>
              <w:jc w:val="right"/>
            </w:pPr>
            <w:r>
              <w:rPr>
                <w:sz w:val="18"/>
                <w:szCs w:val="18"/>
              </w:rPr>
              <w:t xml:space="preserve">23,141</w:t>
            </w:r>
          </w:p>
        </w:tc>
        <w:tc>
          <w:tcPr>
            <w:tcW w:w="2500" w:type="dxa"/>
            <w:vAlign w:val="center"/>
          </w:tcPr>
          <w:p>
            <w:pPr>
              <w:spacing w:before="0" w:after="0"/>
              <w:jc w:val="right"/>
            </w:pPr>
            <w:r>
              <w:rPr>
                <w:sz w:val="18"/>
                <w:szCs w:val="18"/>
              </w:rPr>
              <w:t xml:space="preserve">26,872</w:t>
            </w:r>
          </w:p>
        </w:tc>
      </w:tr>
      <w:tr>
        <w:tc>
          <w:tcPr>
            <w:tcW w:w="4072" w:type="dxa"/>
            <w:vAlign w:val="center"/>
          </w:tcPr>
          <w:p>
            <w:pPr>
              <w:spacing w:before="0" w:after="0"/>
              <w:jc w:val="left"/>
            </w:pPr>
            <w:r>
              <w:rPr>
                <w:sz w:val="18"/>
                <w:szCs w:val="18"/>
              </w:rPr>
              <w:t xml:space="preserve">Deferred revenue (gift cards and loyalty)</w:t>
            </w:r>
          </w:p>
        </w:tc>
        <w:tc>
          <w:tcPr>
            <w:tcW w:w="2500" w:type="dxa"/>
            <w:vAlign w:val="center"/>
          </w:tcPr>
          <w:p>
            <w:pPr>
              <w:spacing w:before="0" w:after="0"/>
              <w:jc w:val="right"/>
            </w:pPr>
            <w:r>
              <w:rPr>
                <w:sz w:val="18"/>
                <w:szCs w:val="18"/>
              </w:rPr>
              <w:t xml:space="preserve">4,249</w:t>
            </w:r>
          </w:p>
        </w:tc>
        <w:tc>
          <w:tcPr>
            <w:tcW w:w="2500" w:type="dxa"/>
            <w:vAlign w:val="center"/>
          </w:tcPr>
          <w:p>
            <w:pPr>
              <w:spacing w:before="0" w:after="0"/>
              <w:jc w:val="right"/>
            </w:pPr>
            <w:r>
              <w:rPr>
                <w:sz w:val="18"/>
                <w:szCs w:val="18"/>
              </w:rPr>
              <w:t xml:space="preserve">4,323</w:t>
            </w:r>
          </w:p>
        </w:tc>
      </w:tr>
      <w:tr>
        <w:tc>
          <w:tcPr>
            <w:tcW w:w="4072" w:type="dxa"/>
            <w:vAlign w:val="center"/>
          </w:tcPr>
          <w:p>
            <w:pPr>
              <w:spacing w:before="0" w:after="0"/>
              <w:jc w:val="left"/>
            </w:pPr>
            <w:r>
              <w:rPr>
                <w:sz w:val="18"/>
                <w:szCs w:val="18"/>
              </w:rPr>
              <w:t xml:space="preserve">Prepaid expenses and other current assets</w:t>
            </w:r>
          </w:p>
        </w:tc>
        <w:tc>
          <w:tcPr>
            <w:tcW w:w="2500" w:type="dxa"/>
            <w:vAlign w:val="center"/>
          </w:tcPr>
          <w:p>
            <w:pPr>
              <w:spacing w:before="0" w:after="0"/>
              <w:jc w:val="right"/>
            </w:pPr>
            <w:r>
              <w:rPr>
                <w:sz w:val="18"/>
                <w:szCs w:val="18"/>
              </w:rPr>
              <w:t xml:space="preserve">8,568</w:t>
            </w:r>
          </w:p>
        </w:tc>
        <w:tc>
          <w:tcPr>
            <w:tcW w:w="2500" w:type="dxa"/>
            <w:vAlign w:val="center"/>
          </w:tcPr>
          <w:p>
            <w:pPr>
              <w:spacing w:before="0" w:after="0"/>
              <w:jc w:val="right"/>
            </w:pPr>
            <w:r>
              <w:rPr>
                <w:sz w:val="18"/>
                <w:szCs w:val="18"/>
              </w:rPr>
              <w:t xml:space="preserve">9,186</w:t>
            </w:r>
          </w:p>
        </w:tc>
      </w:tr>
      <w:tr>
        <w:tc>
          <w:tcPr>
            <w:tcW w:w="4072" w:type="dxa"/>
            <w:vAlign w:val="center"/>
          </w:tcPr>
          <w:p>
            <w:pPr>
              <w:spacing w:before="0" w:after="0"/>
              <w:jc w:val="left"/>
            </w:pPr>
            <w:r>
              <w:rPr>
                <w:sz w:val="18"/>
                <w:szCs w:val="18"/>
              </w:rPr>
              <w:t xml:space="preserve">Operating lease right-of-use assets</w:t>
            </w:r>
          </w:p>
        </w:tc>
        <w:tc>
          <w:tcPr>
            <w:tcW w:w="2500" w:type="dxa"/>
            <w:vAlign w:val="center"/>
          </w:tcPr>
          <w:p>
            <w:pPr>
              <w:spacing w:before="0" w:after="0"/>
              <w:jc w:val="right"/>
            </w:pPr>
            <w:r>
              <w:rPr>
                <w:sz w:val="18"/>
                <w:szCs w:val="18"/>
              </w:rPr>
              <w:t xml:space="preserve">24,688</w:t>
            </w:r>
          </w:p>
        </w:tc>
        <w:tc>
          <w:tcPr>
            <w:tcW w:w="2500" w:type="dxa"/>
            <w:vAlign w:val="center"/>
          </w:tcPr>
          <w:p>
            <w:pPr>
              <w:spacing w:before="0" w:after="0"/>
              <w:jc w:val="right"/>
            </w:pPr>
            <w:r>
              <w:rPr>
                <w:sz w:val="18"/>
                <w:szCs w:val="18"/>
              </w:rPr>
              <w:t xml:space="preserve">26,259</w:t>
            </w:r>
          </w:p>
        </w:tc>
      </w:tr>
    </w:tbl>
    <w:p>
      <w:pPr/>
    </w:p>
    <w:p>
      <w:pPr>
        <w:keepNext/>
      </w:pPr>
      <w:r>
        <w:rPr>
          <w:b/>
        </w:rPr>
        <w:t xml:space="preserve">14. Commitments and contingencies</w:t>
      </w:r>
    </w:p>
    <w:p>
      <w:pPr>
        <w:ind w:left="0" w:firstLine="360"/>
      </w:pPr>
      <w:r>
        <w:t xml:space="preserve">Each store is managed by a store manager who reports to a district manager, and district managers report to the director for their region. The Company buys 57.2% of its green coffee by volume from farms certified under recognized sustainability standards. Wholesale revenue comes from sales of roasted beans to restaurants, hotels and grocery stores in the regions where the Group operates. The Company depends on a small number of dairy and bakery suppliers in each region, and an interruption in their deliveries could affect sales at the stores they serve. During the fiscal year, Nimbus Coffee opened 14 new stores and closed 5 stores whose leases expired. Nimbus Coffee depends on a small number of dairy and bakery suppliers in each region, and an interruption in their deliveries could affect sales at the stores they serve.</w:t>
      </w:r>
    </w:p>
    <w:p>
      <w:pPr>
        <w:ind w:left="0" w:firstLine="360"/>
      </w:pPr>
      <w:r>
        <w:t xml:space="preserve">New stores generally reach the sales level of a mature store within eighteen to twenty-four months of opening. Baristas complete a four-week training course before working on the floor, and store managers complete a further course at the Northfield training center. Wholesale revenue comes from sales of roasted beans to restaurants, hotels and grocery stores in the regions where the Company operates. During the fiscal year, Nimbus Coffee opened 8 new stores and closed 2 stores whose leases expired. Comparable store sales increased 0.6%, driven by a 4.7% increase in average ticket and a 2.2% increase in transactions. Store operating expenses, which consist mainly of wages, benefits and supplies, were 32.2% of revenue, compared with 30.1% in the prior year.</w:t>
      </w:r>
    </w:p>
    <w:p>
      <w:pPr>
        <w:keepNext/>
      </w:pPr>
      <w:r>
        <w:rPr>
          <w:b/>
        </w:rPr>
        <w:t xml:space="preserve">15. Gift cards and the loyalty program</w:t>
      </w:r>
    </w:p>
    <w:p>
      <w:pPr>
        <w:ind w:left="0" w:firstLine="360"/>
      </w:pPr>
      <w:r>
        <w:t xml:space="preserve">Food safety incidents, whether or not they occur at our stores, could harm the reputation of the Nimbus Coffee brand and reduce customer traffic. Orders placed through the online store, including orders for pickup in store and home delivery of whole beans, accounted for 17.1% of revenue in the Beverages and Beans categories. Net cash used in investing activities was $16,714 thousand, primarily for purchases of property and equipment.</w:t>
      </w:r>
    </w:p>
    <w:p>
      <w:pPr>
        <w:ind w:left="0" w:firstLine="360"/>
      </w:pPr>
      <w:r>
        <w:t xml:space="preserve">Labor costs are affected by minimum wage laws in the regions where the stores are located, and further increases could reduce store margins. The Group intends to pay dividends out of retained earnings while keeping sufficient funds to finance the opening of new stores. Total assets at the end of the fiscal year were $106,486 thousand, an increase of $15,158 thousand from the end of the prior fiscal year. Nimbus Coffee intends to pay dividends out of retained earnings while keeping sufficient funds to finance the opening of new stores. During the fiscal year, Nimbus Coffee opened 8 new stores and closed 5 stores whose leases expired. Revenue from loyalty rewards is deferred until the reward is redeemed or expires.</w:t>
      </w:r>
    </w:p>
    <w:tbl>
      <w:tblPr>
        <w:tblW w:w="907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72" w:type="dxa"/>
          <w:right w:w="72" w:type="dxa"/>
        </w:tblCellMar>
      </w:tblPr>
      <w:tblGrid>
        <w:gridCol w:w="4072"/>
        <w:gridCol w:w="2500"/>
        <w:gridCol w:w="2500"/>
      </w:tblGrid>
      <w:tr>
        <w:trPr>
          <w:tblHeader/>
        </w:trPr>
        <w:tc>
          <w:tcPr>
            <w:tcW w:w="4072" w:type="dxa"/>
            <w:shd w:val="clear" w:color="auto" w:fill="DDEBF7"/>
            <w:vAlign w:val="center"/>
          </w:tcPr>
          <w:p>
            <w:pPr>
              <w:spacing w:before="0" w:after="0"/>
              <w:jc w:val="center"/>
            </w:pPr>
            <w:r>
              <w:rPr>
                <w:b/>
                <w:sz w:val="18"/>
                <w:szCs w:val="18"/>
              </w:rPr>
              <w:t xml:space="preserve">Item</w:t>
            </w:r>
          </w:p>
        </w:tc>
        <w:tc>
          <w:tcPr>
            <w:tcW w:w="2500" w:type="dxa"/>
            <w:shd w:val="clear" w:color="auto" w:fill="DDEBF7"/>
            <w:vAlign w:val="center"/>
          </w:tcPr>
          <w:p>
            <w:pPr>
              <w:spacing w:before="0" w:after="0"/>
              <w:jc w:val="center"/>
            </w:pPr>
            <w:r>
              <w:rPr>
                <w:b/>
                <w:sz w:val="18"/>
                <w:szCs w:val="18"/>
              </w:rPr>
              <w:t xml:space="preserve">FY2023</w:t>
            </w:r>
          </w:p>
        </w:tc>
        <w:tc>
          <w:tcPr>
            <w:tcW w:w="2500" w:type="dxa"/>
            <w:shd w:val="clear" w:color="auto" w:fill="DDEBF7"/>
            <w:vAlign w:val="center"/>
          </w:tcPr>
          <w:p>
            <w:pPr>
              <w:spacing w:before="0" w:after="0"/>
              <w:jc w:val="center"/>
            </w:pPr>
            <w:r>
              <w:rPr>
                <w:b/>
                <w:sz w:val="18"/>
                <w:szCs w:val="18"/>
              </w:rPr>
              <w:t xml:space="preserve">FY2024</w:t>
            </w:r>
          </w:p>
        </w:tc>
      </w:tr>
      <w:tr>
        <w:tc>
          <w:tcPr>
            <w:tcW w:w="4072" w:type="dxa"/>
            <w:vAlign w:val="center"/>
          </w:tcPr>
          <w:p>
            <w:pPr>
              <w:spacing w:before="0" w:after="0"/>
              <w:jc w:val="left"/>
            </w:pPr>
            <w:r>
              <w:rPr>
                <w:sz w:val="18"/>
                <w:szCs w:val="18"/>
              </w:rPr>
              <w:t xml:space="preserve">Deferred rent and asset retirement obligations</w:t>
            </w:r>
          </w:p>
        </w:tc>
        <w:tc>
          <w:tcPr>
            <w:tcW w:w="2500" w:type="dxa"/>
            <w:vAlign w:val="center"/>
          </w:tcPr>
          <w:p>
            <w:pPr>
              <w:spacing w:before="0" w:after="0"/>
              <w:jc w:val="right"/>
            </w:pPr>
            <w:r>
              <w:rPr>
                <w:sz w:val="18"/>
                <w:szCs w:val="18"/>
              </w:rPr>
              <w:t xml:space="preserve">20,971</w:t>
            </w:r>
          </w:p>
        </w:tc>
        <w:tc>
          <w:tcPr>
            <w:tcW w:w="2500" w:type="dxa"/>
            <w:vAlign w:val="center"/>
          </w:tcPr>
          <w:p>
            <w:pPr>
              <w:spacing w:before="0" w:after="0"/>
              <w:jc w:val="right"/>
            </w:pPr>
            <w:r>
              <w:rPr>
                <w:sz w:val="18"/>
                <w:szCs w:val="18"/>
              </w:rPr>
              <w:t xml:space="preserve">24,024</w:t>
            </w:r>
          </w:p>
        </w:tc>
      </w:tr>
      <w:tr>
        <w:tc>
          <w:tcPr>
            <w:tcW w:w="4072" w:type="dxa"/>
            <w:vAlign w:val="center"/>
          </w:tcPr>
          <w:p>
            <w:pPr>
              <w:spacing w:before="0" w:after="0"/>
              <w:jc w:val="left"/>
            </w:pPr>
            <w:r>
              <w:rPr>
                <w:sz w:val="18"/>
                <w:szCs w:val="18"/>
              </w:rPr>
              <w:t xml:space="preserve">Accounts payable</w:t>
            </w:r>
          </w:p>
        </w:tc>
        <w:tc>
          <w:tcPr>
            <w:tcW w:w="2500" w:type="dxa"/>
            <w:vAlign w:val="center"/>
          </w:tcPr>
          <w:p>
            <w:pPr>
              <w:spacing w:before="0" w:after="0"/>
              <w:jc w:val="right"/>
            </w:pPr>
            <w:r>
              <w:rPr>
                <w:sz w:val="18"/>
                <w:szCs w:val="18"/>
              </w:rPr>
              <w:t xml:space="preserve">20,214</w:t>
            </w:r>
          </w:p>
        </w:tc>
        <w:tc>
          <w:tcPr>
            <w:tcW w:w="2500" w:type="dxa"/>
            <w:vAlign w:val="center"/>
          </w:tcPr>
          <w:p>
            <w:pPr>
              <w:spacing w:before="0" w:after="0"/>
              <w:jc w:val="right"/>
            </w:pPr>
            <w:r>
              <w:rPr>
                <w:sz w:val="18"/>
                <w:szCs w:val="18"/>
              </w:rPr>
              <w:t xml:space="preserve">21,131</w:t>
            </w:r>
          </w:p>
        </w:tc>
      </w:tr>
      <w:tr>
        <w:tc>
          <w:tcPr>
            <w:tcW w:w="4072" w:type="dxa"/>
            <w:vAlign w:val="center"/>
          </w:tcPr>
          <w:p>
            <w:pPr>
              <w:spacing w:before="0" w:after="0"/>
              <w:jc w:val="left"/>
            </w:pPr>
            <w:r>
              <w:rPr>
                <w:sz w:val="18"/>
                <w:szCs w:val="18"/>
              </w:rPr>
              <w:t xml:space="preserve">Income taxes payable</w:t>
            </w:r>
          </w:p>
        </w:tc>
        <w:tc>
          <w:tcPr>
            <w:tcW w:w="2500" w:type="dxa"/>
            <w:vAlign w:val="center"/>
          </w:tcPr>
          <w:p>
            <w:pPr>
              <w:spacing w:before="0" w:after="0"/>
              <w:jc w:val="right"/>
            </w:pPr>
            <w:r>
              <w:rPr>
                <w:sz w:val="18"/>
                <w:szCs w:val="18"/>
              </w:rPr>
              <w:t xml:space="preserve">18,077</w:t>
            </w:r>
          </w:p>
        </w:tc>
        <w:tc>
          <w:tcPr>
            <w:tcW w:w="2500" w:type="dxa"/>
            <w:vAlign w:val="center"/>
          </w:tcPr>
          <w:p>
            <w:pPr>
              <w:spacing w:before="0" w:after="0"/>
              <w:jc w:val="right"/>
            </w:pPr>
            <w:r>
              <w:rPr>
                <w:sz w:val="18"/>
                <w:szCs w:val="18"/>
              </w:rPr>
              <w:t xml:space="preserve">18,468</w:t>
            </w:r>
          </w:p>
        </w:tc>
      </w:tr>
      <w:tr>
        <w:tc>
          <w:tcPr>
            <w:tcW w:w="4072" w:type="dxa"/>
            <w:vAlign w:val="center"/>
          </w:tcPr>
          <w:p>
            <w:pPr>
              <w:spacing w:before="0" w:after="0"/>
              <w:jc w:val="left"/>
            </w:pPr>
            <w:r>
              <w:rPr>
                <w:sz w:val="18"/>
                <w:szCs w:val="18"/>
              </w:rPr>
              <w:t xml:space="preserve">Current portion of long-term debt</w:t>
            </w:r>
          </w:p>
        </w:tc>
        <w:tc>
          <w:tcPr>
            <w:tcW w:w="2500" w:type="dxa"/>
            <w:vAlign w:val="center"/>
          </w:tcPr>
          <w:p>
            <w:pPr>
              <w:spacing w:before="0" w:after="0"/>
              <w:jc w:val="right"/>
            </w:pPr>
            <w:r>
              <w:rPr>
                <w:sz w:val="18"/>
                <w:szCs w:val="18"/>
              </w:rPr>
              <w:t xml:space="preserve">24,178</w:t>
            </w:r>
          </w:p>
        </w:tc>
        <w:tc>
          <w:tcPr>
            <w:tcW w:w="2500" w:type="dxa"/>
            <w:vAlign w:val="center"/>
          </w:tcPr>
          <w:p>
            <w:pPr>
              <w:spacing w:before="0" w:after="0"/>
              <w:jc w:val="right"/>
            </w:pPr>
            <w:r>
              <w:rPr>
                <w:sz w:val="18"/>
                <w:szCs w:val="18"/>
              </w:rPr>
              <w:t xml:space="preserve">26,641</w:t>
            </w:r>
          </w:p>
        </w:tc>
      </w:tr>
      <w:tr>
        <w:tc>
          <w:tcPr>
            <w:tcW w:w="4072" w:type="dxa"/>
            <w:vAlign w:val="center"/>
          </w:tcPr>
          <w:p>
            <w:pPr>
              <w:spacing w:before="0" w:after="0"/>
              <w:jc w:val="left"/>
            </w:pPr>
            <w:r>
              <w:rPr>
                <w:sz w:val="18"/>
                <w:szCs w:val="18"/>
              </w:rPr>
              <w:t xml:space="preserve">Property and equipment, net</w:t>
            </w:r>
          </w:p>
        </w:tc>
        <w:tc>
          <w:tcPr>
            <w:tcW w:w="2500" w:type="dxa"/>
            <w:vAlign w:val="center"/>
          </w:tcPr>
          <w:p>
            <w:pPr>
              <w:spacing w:before="0" w:after="0"/>
              <w:jc w:val="right"/>
            </w:pPr>
            <w:r>
              <w:rPr>
                <w:sz w:val="18"/>
                <w:szCs w:val="18"/>
              </w:rPr>
              <w:t xml:space="preserve">4,487</w:t>
            </w:r>
          </w:p>
        </w:tc>
        <w:tc>
          <w:tcPr>
            <w:tcW w:w="2500" w:type="dxa"/>
            <w:vAlign w:val="center"/>
          </w:tcPr>
          <w:p>
            <w:pPr>
              <w:spacing w:before="0" w:after="0"/>
              <w:jc w:val="right"/>
            </w:pPr>
            <w:r>
              <w:rPr>
                <w:sz w:val="18"/>
                <w:szCs w:val="18"/>
              </w:rPr>
              <w:t xml:space="preserve">4,867</w:t>
            </w:r>
          </w:p>
        </w:tc>
      </w:tr>
      <w:tr>
        <w:tc>
          <w:tcPr>
            <w:tcW w:w="4072" w:type="dxa"/>
            <w:vAlign w:val="center"/>
          </w:tcPr>
          <w:p>
            <w:pPr>
              <w:spacing w:before="0" w:after="0"/>
              <w:jc w:val="left"/>
            </w:pPr>
            <w:r>
              <w:rPr>
                <w:sz w:val="18"/>
                <w:szCs w:val="18"/>
              </w:rPr>
              <w:t xml:space="preserve">Prepaid expenses and other current assets</w:t>
            </w:r>
          </w:p>
        </w:tc>
        <w:tc>
          <w:tcPr>
            <w:tcW w:w="2500" w:type="dxa"/>
            <w:vAlign w:val="center"/>
          </w:tcPr>
          <w:p>
            <w:pPr>
              <w:spacing w:before="0" w:after="0"/>
              <w:jc w:val="right"/>
            </w:pPr>
            <w:r>
              <w:rPr>
                <w:sz w:val="18"/>
                <w:szCs w:val="18"/>
              </w:rPr>
              <w:t xml:space="preserve">6,296</w:t>
            </w:r>
          </w:p>
        </w:tc>
        <w:tc>
          <w:tcPr>
            <w:tcW w:w="2500" w:type="dxa"/>
            <w:vAlign w:val="center"/>
          </w:tcPr>
          <w:p>
            <w:pPr>
              <w:spacing w:before="0" w:after="0"/>
              <w:jc w:val="right"/>
            </w:pPr>
            <w:r>
              <w:rPr>
                <w:sz w:val="18"/>
                <w:szCs w:val="18"/>
              </w:rPr>
              <w:t xml:space="preserve">6,600</w:t>
            </w:r>
          </w:p>
        </w:tc>
      </w:tr>
    </w:tbl>
    <w:p>
      <w:pPr/>
    </w:p>
    <w:p>
      <w:pPr>
        <w:keepNext/>
      </w:pPr>
      <w:r>
        <w:rPr>
          <w:b/>
        </w:rPr>
        <w:t xml:space="preserve">16. Subsequent events</w:t>
      </w:r>
    </w:p>
    <w:p>
      <w:pPr>
        <w:ind w:left="0" w:firstLine="360"/>
      </w:pPr>
      <w:r>
        <w:t xml:space="preserve">Comparable store sales increased 4.5%, driven by a 1.5% increase in average ticket and a 1.1% increase in transactions. Revenue from stores in the Westridge region increased 11.9% compared with the prior year, while its share of total revenue was little changed. Capital expenditures totaled $12,550 thousand and consisted mainly of the build-out of new stores, the remodeling of existing stores and a second roasting line at the Northfield roastery. Green coffee is purchased from exporters and cooperatives in Central America, South America and East Africa under fixed-price contracts that generally cover the next nine to twelve months of expected needs. Energy use per store decreased 1.6% compared with the prior year, as older espresso machines and refrigerators were replaced with more efficient models. Nimbus Coffee intends to pay dividends out of retained earnings while keeping sufficient funds to finance the opening of new stores.</w:t>
      </w:r>
    </w:p>
    <w:p>
      <w:pPr>
        <w:ind w:left="0" w:firstLine="360"/>
      </w:pPr>
      <w:r>
        <w:t xml:space="preserve">Capital expenditures totaled $9,757 thousand and consisted mainly of the build-out of new stores, the remodeling of existing stores and a second roasting line at the Northfield roastery. Food safety incidents, whether or not they occur at our stores, could harm the reputation of the Nimbus Coffee brand and reduce customer traffic. Total revenue for the fiscal year was $87,234 thousand, an increase of 15.9% over the prior year, and operating income was $29,439 thousand, an increase of 14.8%.</w:t>
      </w:r>
    </w:p>
    <w:p>
      <w:r>
        <w:br w:type="page"/>
      </w:r>
    </w:p>
    <w:p>
      <w:pPr>
        <w:pStyle w:val="Heading3"/>
        <w:keepNext/>
      </w:pPr>
      <w:r>
        <w:t xml:space="preserve">1. Financial Statements (Fiscal year 2025, parent company)</w:t>
      </w:r>
    </w:p>
    <w:p>
      <w:pPr>
        <w:ind w:left="0" w:firstLine="360"/>
      </w:pPr>
      <w:r>
        <w:t xml:space="preserve">Merchandise sales, consisting of mugs, brewing equipment and seasonal gift sets, are highest in the fourth quarter of each year. Baristas complete a four-week training course before working on the floor, and store managers complete a further course at the Northfield training center. Occupancy costs increased to $9,554 thousand, reflecting rent for new stores and scheduled rent increases at existing locations. Store operating expenses, which consist mainly of wages, benefits and supplies, were 32.4% of revenue, compared with 28.8% in the prior year. Nimbus Coffee holds no derivatives other than coffee futures contracts used to fix the price of part of its future green coffee purchases.</w:t>
      </w:r>
    </w:p>
    <w:p>
      <w:pPr>
        <w:ind w:left="0" w:firstLine="360"/>
      </w:pPr>
      <w:r>
        <w:t xml:space="preserve">The roastery produced 1,346 thousand pounds of roasted coffee during the fiscal year, of which 13.2% was sold through company-operated stores. Baristas complete a four-week training course before working on the floor, and store managers complete a further course at the Northfield training center. Net cash provided by operating activities was $140,315 thousand, mainly reflecting net income and depreciation and amortization.</w:t>
      </w:r>
    </w:p>
    <w:p>
      <w:r>
        <w:br w:type="page"/>
      </w:r>
    </w:p>
    <w:p>
      <w:pPr>
        <w:pStyle w:val="Heading3"/>
        <w:keepNext/>
      </w:pPr>
      <w:r>
        <w:t xml:space="preserve">Balance Sheets (Assets)</w:t>
      </w:r>
    </w:p>
    <w:p>
      <w:pPr>
        <w:jc w:val="right"/>
      </w:pPr>
      <w:r>
        <w:rPr>
          <w:sz w:val="18"/>
          <w:szCs w:val="18"/>
        </w:rPr>
        <w:t xml:space="preserve">(In thousands of U.S. dollars)</w:t>
      </w:r>
    </w:p>
    <w:tbl>
      <w:tblPr>
        <w:tblW w:w="907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72" w:type="dxa"/>
          <w:right w:w="72" w:type="dxa"/>
        </w:tblCellMar>
      </w:tblPr>
      <w:tblGrid>
        <w:gridCol w:w="4872"/>
        <w:gridCol w:w="800"/>
        <w:gridCol w:w="1700"/>
        <w:gridCol w:w="1700"/>
      </w:tblGrid>
      <w:tr>
        <w:trPr>
          <w:tblHeader/>
        </w:trPr>
        <w:tc>
          <w:tcPr>
            <w:tcW w:w="4872" w:type="dxa"/>
            <w:shd w:val="clear" w:color="auto" w:fill="DDEBF7"/>
            <w:vAlign w:val="center"/>
          </w:tcPr>
          <w:p>
            <w:pPr>
              <w:spacing w:before="0" w:after="0"/>
              <w:jc w:val="center"/>
            </w:pPr>
            <w:r>
              <w:rPr>
                <w:b/>
                <w:sz w:val="18"/>
                <w:szCs w:val="18"/>
              </w:rPr>
              <w:t xml:space="preserve"/>
            </w:r>
          </w:p>
        </w:tc>
        <w:tc>
          <w:tcPr>
            <w:tcW w:w="800" w:type="dxa"/>
            <w:shd w:val="clear" w:color="auto" w:fill="DDEBF7"/>
            <w:vAlign w:val="center"/>
          </w:tcPr>
          <w:p>
            <w:pPr>
              <w:spacing w:before="0" w:after="0"/>
              <w:jc w:val="center"/>
            </w:pPr>
            <w:r>
              <w:rPr>
                <w:b/>
                <w:sz w:val="18"/>
                <w:szCs w:val="18"/>
              </w:rPr>
              <w:t xml:space="preserve">Note</w:t>
            </w:r>
          </w:p>
        </w:tc>
        <w:tc>
          <w:tcPr>
            <w:tcW w:w="1700" w:type="dxa"/>
            <w:shd w:val="clear" w:color="auto" w:fill="DDEBF7"/>
            <w:vAlign w:val="center"/>
          </w:tcPr>
          <w:p>
            <w:pPr>
              <w:spacing w:before="0" w:after="0"/>
              <w:jc w:val="center"/>
            </w:pPr>
            <w:r>
              <w:rPr>
                <w:b/>
                <w:sz w:val="18"/>
                <w:szCs w:val="18"/>
              </w:rPr>
              <w:t xml:space="preserve">FY2024</w:t>
            </w:r>
          </w:p>
        </w:tc>
        <w:tc>
          <w:tcPr>
            <w:tcW w:w="1700" w:type="dxa"/>
            <w:shd w:val="clear" w:color="auto" w:fill="DDEBF7"/>
            <w:vAlign w:val="center"/>
          </w:tcPr>
          <w:p>
            <w:pPr>
              <w:spacing w:before="0" w:after="0"/>
              <w:jc w:val="center"/>
            </w:pPr>
            <w:r>
              <w:rPr>
                <w:b/>
                <w:sz w:val="18"/>
                <w:szCs w:val="18"/>
              </w:rPr>
              <w:t xml:space="preserve">FY2025</w:t>
            </w:r>
          </w:p>
        </w:tc>
      </w:tr>
      <w:tr>
        <w:tc>
          <w:tcPr>
            <w:tcW w:w="4872" w:type="dxa"/>
            <w:vAlign w:val="center"/>
          </w:tcPr>
          <w:p>
            <w:pPr>
              <w:spacing w:before="0" w:after="0"/>
              <w:jc w:val="left"/>
            </w:pPr>
            <w:r>
              <w:rPr>
                <w:b/>
                <w:sz w:val="18"/>
                <w:szCs w:val="18"/>
              </w:rPr>
              <w:t xml:space="preserve">Current assets</w:t>
            </w:r>
          </w:p>
        </w:tc>
        <w:tc>
          <w:tcPr>
            <w:tcW w:w="800" w:type="dxa"/>
            <w:vAlign w:val="center"/>
          </w:tcPr>
          <w:p>
            <w:pPr>
              <w:spacing w:before="0" w:after="0"/>
              <w:jc w:val="left"/>
            </w:pPr>
            <w:r>
              <w:rPr>
                <w:b/>
                <w:sz w:val="18"/>
                <w:szCs w:val="18"/>
              </w:rPr>
              <w:t xml:space="preserve"/>
            </w:r>
          </w:p>
        </w:tc>
        <w:tc>
          <w:tcPr>
            <w:tcW w:w="1700" w:type="dxa"/>
            <w:vAlign w:val="center"/>
          </w:tcPr>
          <w:p>
            <w:pPr>
              <w:spacing w:before="0" w:after="0"/>
              <w:jc w:val="right"/>
            </w:pPr>
            <w:r>
              <w:rPr>
                <w:b/>
                <w:sz w:val="18"/>
                <w:szCs w:val="18"/>
              </w:rPr>
              <w:t xml:space="preserve"/>
            </w:r>
          </w:p>
        </w:tc>
        <w:tc>
          <w:tcPr>
            <w:tcW w:w="1700" w:type="dxa"/>
            <w:vAlign w:val="center"/>
          </w:tcPr>
          <w:p>
            <w:pPr>
              <w:spacing w:before="0" w:after="0"/>
              <w:jc w:val="right"/>
            </w:pPr>
            <w:r>
              <w:rPr>
                <w:b/>
                <w:sz w:val="18"/>
                <w:szCs w:val="18"/>
              </w:rPr>
              <w:t xml:space="preserve"/>
            </w:r>
          </w:p>
        </w:tc>
      </w:tr>
      <w:tr>
        <w:tc>
          <w:tcPr>
            <w:tcW w:w="4872" w:type="dxa"/>
            <w:vAlign w:val="center"/>
          </w:tcPr>
          <w:p>
            <w:pPr>
              <w:spacing w:before="0" w:after="0"/>
              <w:jc w:val="left"/>
            </w:pPr>
            <w:r>
              <w:rPr>
                <w:sz w:val="18"/>
                <w:szCs w:val="18"/>
              </w:rPr>
              <w:t xml:space="preserve">Cash and cash equivalents</w:t>
            </w:r>
          </w:p>
        </w:tc>
        <w:tc>
          <w:tcPr>
            <w:tcW w:w="800" w:type="dxa"/>
            <w:vAlign w:val="center"/>
          </w:tcPr>
          <w:p>
            <w:pPr>
              <w:spacing w:before="0" w:after="0"/>
              <w:jc w:val="left"/>
            </w:pPr>
            <w:r>
              <w:rPr>
                <w:sz w:val="18"/>
                <w:szCs w:val="18"/>
              </w:rPr>
              <w:t xml:space="preserve"/>
            </w:r>
          </w:p>
        </w:tc>
        <w:tc>
          <w:tcPr>
            <w:tcW w:w="1700" w:type="dxa"/>
            <w:vAlign w:val="center"/>
          </w:tcPr>
          <w:p>
            <w:pPr>
              <w:spacing w:before="0" w:after="0"/>
              <w:jc w:val="right"/>
            </w:pPr>
            <w:r>
              <w:rPr>
                <w:sz w:val="18"/>
                <w:szCs w:val="18"/>
              </w:rPr>
              <w:t xml:space="preserve">47,332</w:t>
            </w:r>
          </w:p>
        </w:tc>
        <w:tc>
          <w:tcPr>
            <w:tcW w:w="1700" w:type="dxa"/>
            <w:vAlign w:val="center"/>
          </w:tcPr>
          <w:p>
            <w:pPr>
              <w:spacing w:before="0" w:after="0"/>
              <w:jc w:val="right"/>
            </w:pPr>
            <w:r>
              <w:rPr>
                <w:sz w:val="18"/>
                <w:szCs w:val="18"/>
              </w:rPr>
              <w:t xml:space="preserve">48,271</w:t>
            </w:r>
          </w:p>
        </w:tc>
      </w:tr>
      <w:tr>
        <w:tc>
          <w:tcPr>
            <w:tcW w:w="4872" w:type="dxa"/>
            <w:vAlign w:val="center"/>
          </w:tcPr>
          <w:p>
            <w:pPr>
              <w:spacing w:before="0" w:after="0"/>
              <w:jc w:val="left"/>
            </w:pPr>
            <w:r>
              <w:rPr>
                <w:sz w:val="18"/>
                <w:szCs w:val="18"/>
              </w:rPr>
              <w:t xml:space="preserve">Short-term investments</w:t>
            </w:r>
          </w:p>
        </w:tc>
        <w:tc>
          <w:tcPr>
            <w:tcW w:w="800" w:type="dxa"/>
            <w:vAlign w:val="center"/>
          </w:tcPr>
          <w:p>
            <w:pPr>
              <w:spacing w:before="0" w:after="0"/>
              <w:jc w:val="left"/>
            </w:pPr>
            <w:r>
              <w:rPr>
                <w:sz w:val="18"/>
                <w:szCs w:val="18"/>
              </w:rPr>
              <w:t xml:space="preserve"/>
            </w:r>
          </w:p>
        </w:tc>
        <w:tc>
          <w:tcPr>
            <w:tcW w:w="1700" w:type="dxa"/>
            <w:vAlign w:val="center"/>
          </w:tcPr>
          <w:p>
            <w:pPr>
              <w:spacing w:before="0" w:after="0"/>
              <w:jc w:val="right"/>
            </w:pPr>
            <w:r>
              <w:rPr>
                <w:sz w:val="18"/>
                <w:szCs w:val="18"/>
              </w:rPr>
              <w:t xml:space="preserve">10,369</w:t>
            </w:r>
          </w:p>
        </w:tc>
        <w:tc>
          <w:tcPr>
            <w:tcW w:w="1700" w:type="dxa"/>
            <w:vAlign w:val="center"/>
          </w:tcPr>
          <w:p>
            <w:pPr>
              <w:spacing w:before="0" w:after="0"/>
              <w:jc w:val="right"/>
            </w:pPr>
            <w:r>
              <w:rPr>
                <w:sz w:val="18"/>
                <w:szCs w:val="18"/>
              </w:rPr>
              <w:t xml:space="preserve">11,938</w:t>
            </w:r>
          </w:p>
        </w:tc>
      </w:tr>
      <w:tr>
        <w:tc>
          <w:tcPr>
            <w:tcW w:w="4872" w:type="dxa"/>
            <w:vAlign w:val="center"/>
          </w:tcPr>
          <w:p>
            <w:pPr>
              <w:spacing w:before="0" w:after="0"/>
              <w:jc w:val="left"/>
            </w:pPr>
            <w:r>
              <w:rPr>
                <w:sz w:val="18"/>
                <w:szCs w:val="18"/>
              </w:rPr>
              <w:t xml:space="preserve">Accounts receivable, net</w:t>
            </w:r>
          </w:p>
        </w:tc>
        <w:tc>
          <w:tcPr>
            <w:tcW w:w="800" w:type="dxa"/>
            <w:vAlign w:val="center"/>
          </w:tcPr>
          <w:p>
            <w:pPr>
              <w:spacing w:before="0" w:after="0"/>
              <w:jc w:val="left"/>
            </w:pPr>
            <w:r>
              <w:rPr>
                <w:sz w:val="18"/>
                <w:szCs w:val="18"/>
              </w:rPr>
              <w:t xml:space="preserve">14</w:t>
            </w:r>
          </w:p>
        </w:tc>
        <w:tc>
          <w:tcPr>
            <w:tcW w:w="1700" w:type="dxa"/>
            <w:vAlign w:val="center"/>
          </w:tcPr>
          <w:p>
            <w:pPr>
              <w:spacing w:before="0" w:after="0"/>
              <w:jc w:val="right"/>
            </w:pPr>
            <w:r>
              <w:rPr>
                <w:sz w:val="18"/>
                <w:szCs w:val="18"/>
              </w:rPr>
              <w:t xml:space="preserve">9,146</w:t>
            </w:r>
          </w:p>
        </w:tc>
        <w:tc>
          <w:tcPr>
            <w:tcW w:w="1700" w:type="dxa"/>
            <w:vAlign w:val="center"/>
          </w:tcPr>
          <w:p>
            <w:pPr>
              <w:spacing w:before="0" w:after="0"/>
              <w:jc w:val="right"/>
            </w:pPr>
            <w:r>
              <w:rPr>
                <w:sz w:val="18"/>
                <w:szCs w:val="18"/>
              </w:rPr>
              <w:t xml:space="preserve">8,687</w:t>
            </w:r>
          </w:p>
        </w:tc>
      </w:tr>
      <w:tr>
        <w:tc>
          <w:tcPr>
            <w:tcW w:w="4872" w:type="dxa"/>
            <w:vAlign w:val="center"/>
          </w:tcPr>
          <w:p>
            <w:pPr>
              <w:spacing w:before="0" w:after="0"/>
              <w:jc w:val="left"/>
            </w:pPr>
            <w:r>
              <w:rPr>
                <w:sz w:val="18"/>
                <w:szCs w:val="18"/>
              </w:rPr>
              <w:t xml:space="preserve">Inventories</w:t>
            </w:r>
          </w:p>
        </w:tc>
        <w:tc>
          <w:tcPr>
            <w:tcW w:w="800" w:type="dxa"/>
            <w:vAlign w:val="center"/>
          </w:tcPr>
          <w:p>
            <w:pPr>
              <w:spacing w:before="0" w:after="0"/>
              <w:jc w:val="left"/>
            </w:pPr>
            <w:r>
              <w:rPr>
                <w:sz w:val="18"/>
                <w:szCs w:val="18"/>
              </w:rPr>
              <w:t xml:space="preserve">6</w:t>
            </w:r>
          </w:p>
        </w:tc>
        <w:tc>
          <w:tcPr>
            <w:tcW w:w="1700" w:type="dxa"/>
            <w:vAlign w:val="center"/>
          </w:tcPr>
          <w:p>
            <w:pPr>
              <w:spacing w:before="0" w:after="0"/>
              <w:jc w:val="right"/>
            </w:pPr>
            <w:r>
              <w:rPr>
                <w:sz w:val="18"/>
                <w:szCs w:val="18"/>
              </w:rPr>
              <w:t xml:space="preserve">20,319</w:t>
            </w:r>
          </w:p>
        </w:tc>
        <w:tc>
          <w:tcPr>
            <w:tcW w:w="1700" w:type="dxa"/>
            <w:vAlign w:val="center"/>
          </w:tcPr>
          <w:p>
            <w:pPr>
              <w:spacing w:before="0" w:after="0"/>
              <w:jc w:val="right"/>
            </w:pPr>
            <w:r>
              <w:rPr>
                <w:sz w:val="18"/>
                <w:szCs w:val="18"/>
              </w:rPr>
              <w:t xml:space="preserve">21,418</w:t>
            </w:r>
          </w:p>
        </w:tc>
      </w:tr>
      <w:tr>
        <w:tc>
          <w:tcPr>
            <w:tcW w:w="4872" w:type="dxa"/>
            <w:vAlign w:val="center"/>
          </w:tcPr>
          <w:p>
            <w:pPr>
              <w:spacing w:before="0" w:after="0"/>
              <w:jc w:val="left"/>
            </w:pPr>
            <w:r>
              <w:rPr>
                <w:sz w:val="18"/>
                <w:szCs w:val="18"/>
              </w:rPr>
              <w:t xml:space="preserve">Prepaid expenses and other current assets</w:t>
            </w:r>
          </w:p>
        </w:tc>
        <w:tc>
          <w:tcPr>
            <w:tcW w:w="800" w:type="dxa"/>
            <w:vAlign w:val="center"/>
          </w:tcPr>
          <w:p>
            <w:pPr>
              <w:spacing w:before="0" w:after="0"/>
              <w:jc w:val="left"/>
            </w:pPr>
            <w:r>
              <w:rPr>
                <w:sz w:val="18"/>
                <w:szCs w:val="18"/>
              </w:rPr>
              <w:t xml:space="preserve"/>
            </w:r>
          </w:p>
        </w:tc>
        <w:tc>
          <w:tcPr>
            <w:tcW w:w="1700" w:type="dxa"/>
            <w:vAlign w:val="center"/>
          </w:tcPr>
          <w:p>
            <w:pPr>
              <w:spacing w:before="0" w:after="0"/>
              <w:jc w:val="right"/>
            </w:pPr>
            <w:r>
              <w:rPr>
                <w:sz w:val="18"/>
                <w:szCs w:val="18"/>
              </w:rPr>
              <w:t xml:space="preserve">6,809</w:t>
            </w:r>
          </w:p>
        </w:tc>
        <w:tc>
          <w:tcPr>
            <w:tcW w:w="1700" w:type="dxa"/>
            <w:vAlign w:val="center"/>
          </w:tcPr>
          <w:p>
            <w:pPr>
              <w:spacing w:before="0" w:after="0"/>
              <w:jc w:val="right"/>
            </w:pPr>
            <w:r>
              <w:rPr>
                <w:sz w:val="18"/>
                <w:szCs w:val="18"/>
              </w:rPr>
              <w:t xml:space="preserve">6,912</w:t>
            </w:r>
          </w:p>
        </w:tc>
      </w:tr>
      <w:tr>
        <w:tc>
          <w:tcPr>
            <w:tcW w:w="4872" w:type="dxa"/>
            <w:vAlign w:val="center"/>
          </w:tcPr>
          <w:p>
            <w:pPr>
              <w:spacing w:before="0" w:after="0"/>
              <w:jc w:val="left"/>
            </w:pPr>
            <w:r>
              <w:rPr>
                <w:b/>
                <w:sz w:val="18"/>
                <w:szCs w:val="18"/>
              </w:rPr>
              <w:t xml:space="preserve">Total current assets</w:t>
            </w:r>
          </w:p>
        </w:tc>
        <w:tc>
          <w:tcPr>
            <w:tcW w:w="800" w:type="dxa"/>
            <w:vAlign w:val="center"/>
          </w:tcPr>
          <w:p>
            <w:pPr>
              <w:spacing w:before="0" w:after="0"/>
              <w:jc w:val="left"/>
            </w:pPr>
            <w:r>
              <w:rPr>
                <w:b/>
                <w:sz w:val="18"/>
                <w:szCs w:val="18"/>
              </w:rPr>
              <w:t xml:space="preserve"/>
            </w:r>
          </w:p>
        </w:tc>
        <w:tc>
          <w:tcPr>
            <w:tcW w:w="1700" w:type="dxa"/>
            <w:vAlign w:val="center"/>
          </w:tcPr>
          <w:p>
            <w:pPr>
              <w:spacing w:before="0" w:after="0"/>
              <w:jc w:val="right"/>
            </w:pPr>
            <w:r>
              <w:rPr>
                <w:b/>
                <w:sz w:val="18"/>
                <w:szCs w:val="18"/>
              </w:rPr>
              <w:t xml:space="preserve">93,975</w:t>
            </w:r>
          </w:p>
        </w:tc>
        <w:tc>
          <w:tcPr>
            <w:tcW w:w="1700" w:type="dxa"/>
            <w:vAlign w:val="center"/>
          </w:tcPr>
          <w:p>
            <w:pPr>
              <w:spacing w:before="0" w:after="0"/>
              <w:jc w:val="right"/>
            </w:pPr>
            <w:r>
              <w:rPr>
                <w:b/>
                <w:sz w:val="18"/>
                <w:szCs w:val="18"/>
              </w:rPr>
              <w:t xml:space="preserve">97,226</w:t>
            </w:r>
          </w:p>
        </w:tc>
      </w:tr>
      <w:tr>
        <w:tc>
          <w:tcPr>
            <w:tcW w:w="4872" w:type="dxa"/>
            <w:vAlign w:val="center"/>
          </w:tcPr>
          <w:p>
            <w:pPr>
              <w:spacing w:before="0" w:after="0"/>
              <w:jc w:val="left"/>
            </w:pPr>
            <w:r>
              <w:rPr>
                <w:b/>
                <w:sz w:val="18"/>
                <w:szCs w:val="18"/>
              </w:rPr>
              <w:t xml:space="preserve">Non-current assets</w:t>
            </w:r>
          </w:p>
        </w:tc>
        <w:tc>
          <w:tcPr>
            <w:tcW w:w="800" w:type="dxa"/>
            <w:vAlign w:val="center"/>
          </w:tcPr>
          <w:p>
            <w:pPr>
              <w:spacing w:before="0" w:after="0"/>
              <w:jc w:val="left"/>
            </w:pPr>
            <w:r>
              <w:rPr>
                <w:b/>
                <w:sz w:val="18"/>
                <w:szCs w:val="18"/>
              </w:rPr>
              <w:t xml:space="preserve"/>
            </w:r>
          </w:p>
        </w:tc>
        <w:tc>
          <w:tcPr>
            <w:tcW w:w="1700" w:type="dxa"/>
            <w:vAlign w:val="center"/>
          </w:tcPr>
          <w:p>
            <w:pPr>
              <w:spacing w:before="0" w:after="0"/>
              <w:jc w:val="right"/>
            </w:pPr>
            <w:r>
              <w:rPr>
                <w:b/>
                <w:sz w:val="18"/>
                <w:szCs w:val="18"/>
              </w:rPr>
              <w:t xml:space="preserve"/>
            </w:r>
          </w:p>
        </w:tc>
        <w:tc>
          <w:tcPr>
            <w:tcW w:w="1700" w:type="dxa"/>
            <w:vAlign w:val="center"/>
          </w:tcPr>
          <w:p>
            <w:pPr>
              <w:spacing w:before="0" w:after="0"/>
              <w:jc w:val="right"/>
            </w:pPr>
            <w:r>
              <w:rPr>
                <w:b/>
                <w:sz w:val="18"/>
                <w:szCs w:val="18"/>
              </w:rPr>
              <w:t xml:space="preserve"/>
            </w:r>
          </w:p>
        </w:tc>
      </w:tr>
      <w:tr>
        <w:tc>
          <w:tcPr>
            <w:tcW w:w="4872" w:type="dxa"/>
            <w:vAlign w:val="center"/>
          </w:tcPr>
          <w:p>
            <w:pPr>
              <w:spacing w:before="0" w:after="0"/>
              <w:jc w:val="left"/>
            </w:pPr>
            <w:r>
              <w:rPr>
                <w:sz w:val="18"/>
                <w:szCs w:val="18"/>
              </w:rPr>
              <w:t xml:space="preserve">Property and equipment, net</w:t>
            </w:r>
          </w:p>
        </w:tc>
        <w:tc>
          <w:tcPr>
            <w:tcW w:w="800" w:type="dxa"/>
            <w:vAlign w:val="center"/>
          </w:tcPr>
          <w:p>
            <w:pPr>
              <w:spacing w:before="0" w:after="0"/>
              <w:jc w:val="left"/>
            </w:pPr>
            <w:r>
              <w:rPr>
                <w:sz w:val="18"/>
                <w:szCs w:val="18"/>
              </w:rPr>
              <w:t xml:space="preserve">10</w:t>
            </w:r>
          </w:p>
        </w:tc>
        <w:tc>
          <w:tcPr>
            <w:tcW w:w="1700" w:type="dxa"/>
            <w:vAlign w:val="center"/>
          </w:tcPr>
          <w:p>
            <w:pPr>
              <w:spacing w:before="0" w:after="0"/>
              <w:jc w:val="right"/>
            </w:pPr>
            <w:r>
              <w:rPr>
                <w:sz w:val="18"/>
                <w:szCs w:val="18"/>
              </w:rPr>
              <w:t xml:space="preserve">107,329</w:t>
            </w:r>
          </w:p>
        </w:tc>
        <w:tc>
          <w:tcPr>
            <w:tcW w:w="1700" w:type="dxa"/>
            <w:vAlign w:val="center"/>
          </w:tcPr>
          <w:p>
            <w:pPr>
              <w:spacing w:before="0" w:after="0"/>
              <w:jc w:val="right"/>
            </w:pPr>
            <w:r>
              <w:rPr>
                <w:sz w:val="18"/>
                <w:szCs w:val="18"/>
              </w:rPr>
              <w:t xml:space="preserve">125,113</w:t>
            </w:r>
          </w:p>
        </w:tc>
      </w:tr>
      <w:tr>
        <w:tc>
          <w:tcPr>
            <w:tcW w:w="4872" w:type="dxa"/>
            <w:vAlign w:val="center"/>
          </w:tcPr>
          <w:p>
            <w:pPr>
              <w:spacing w:before="0" w:after="0"/>
              <w:jc w:val="left"/>
            </w:pPr>
            <w:r>
              <w:rPr>
                <w:sz w:val="18"/>
                <w:szCs w:val="18"/>
              </w:rPr>
              <w:t xml:space="preserve">Operating lease right-of-use assets</w:t>
            </w:r>
          </w:p>
        </w:tc>
        <w:tc>
          <w:tcPr>
            <w:tcW w:w="800" w:type="dxa"/>
            <w:vAlign w:val="center"/>
          </w:tcPr>
          <w:p>
            <w:pPr>
              <w:spacing w:before="0" w:after="0"/>
              <w:jc w:val="left"/>
            </w:pPr>
            <w:r>
              <w:rPr>
                <w:sz w:val="18"/>
                <w:szCs w:val="18"/>
              </w:rPr>
              <w:t xml:space="preserve"/>
            </w:r>
          </w:p>
        </w:tc>
        <w:tc>
          <w:tcPr>
            <w:tcW w:w="1700" w:type="dxa"/>
            <w:vAlign w:val="center"/>
          </w:tcPr>
          <w:p>
            <w:pPr>
              <w:spacing w:before="0" w:after="0"/>
              <w:jc w:val="right"/>
            </w:pPr>
            <w:r>
              <w:rPr>
                <w:sz w:val="18"/>
                <w:szCs w:val="18"/>
              </w:rPr>
              <w:t xml:space="preserve">108,207</w:t>
            </w:r>
          </w:p>
        </w:tc>
        <w:tc>
          <w:tcPr>
            <w:tcW w:w="1700" w:type="dxa"/>
            <w:vAlign w:val="center"/>
          </w:tcPr>
          <w:p>
            <w:pPr>
              <w:spacing w:before="0" w:after="0"/>
              <w:jc w:val="right"/>
            </w:pPr>
            <w:r>
              <w:rPr>
                <w:sz w:val="18"/>
                <w:szCs w:val="18"/>
              </w:rPr>
              <w:t xml:space="preserve">114,661</w:t>
            </w:r>
          </w:p>
        </w:tc>
      </w:tr>
      <w:tr>
        <w:tc>
          <w:tcPr>
            <w:tcW w:w="4872" w:type="dxa"/>
            <w:vAlign w:val="center"/>
          </w:tcPr>
          <w:p>
            <w:pPr>
              <w:spacing w:before="0" w:after="0"/>
              <w:jc w:val="left"/>
            </w:pPr>
            <w:r>
              <w:rPr>
                <w:sz w:val="18"/>
                <w:szCs w:val="18"/>
              </w:rPr>
              <w:t xml:space="preserve">Deferred income taxes</w:t>
            </w:r>
          </w:p>
        </w:tc>
        <w:tc>
          <w:tcPr>
            <w:tcW w:w="800" w:type="dxa"/>
            <w:vAlign w:val="center"/>
          </w:tcPr>
          <w:p>
            <w:pPr>
              <w:spacing w:before="0" w:after="0"/>
              <w:jc w:val="left"/>
            </w:pPr>
            <w:r>
              <w:rPr>
                <w:sz w:val="18"/>
                <w:szCs w:val="18"/>
              </w:rPr>
              <w:t xml:space="preserve"/>
            </w:r>
          </w:p>
        </w:tc>
        <w:tc>
          <w:tcPr>
            <w:tcW w:w="1700" w:type="dxa"/>
            <w:vAlign w:val="center"/>
          </w:tcPr>
          <w:p>
            <w:pPr>
              <w:spacing w:before="0" w:after="0"/>
              <w:jc w:val="right"/>
            </w:pPr>
            <w:r>
              <w:rPr>
                <w:sz w:val="18"/>
                <w:szCs w:val="18"/>
              </w:rPr>
              <w:t xml:space="preserve">4,976</w:t>
            </w:r>
          </w:p>
        </w:tc>
        <w:tc>
          <w:tcPr>
            <w:tcW w:w="1700" w:type="dxa"/>
            <w:vAlign w:val="center"/>
          </w:tcPr>
          <w:p>
            <w:pPr>
              <w:spacing w:before="0" w:after="0"/>
              <w:jc w:val="right"/>
            </w:pPr>
            <w:r>
              <w:rPr>
                <w:sz w:val="18"/>
                <w:szCs w:val="18"/>
              </w:rPr>
              <w:t xml:space="preserve">5,718</w:t>
            </w:r>
          </w:p>
        </w:tc>
      </w:tr>
      <w:tr>
        <w:tc>
          <w:tcPr>
            <w:tcW w:w="4872" w:type="dxa"/>
            <w:vAlign w:val="center"/>
          </w:tcPr>
          <w:p>
            <w:pPr>
              <w:spacing w:before="0" w:after="0"/>
              <w:jc w:val="left"/>
            </w:pPr>
            <w:r>
              <w:rPr>
                <w:sz w:val="18"/>
                <w:szCs w:val="18"/>
              </w:rPr>
              <w:t xml:space="preserve">Goodwill</w:t>
            </w:r>
          </w:p>
        </w:tc>
        <w:tc>
          <w:tcPr>
            <w:tcW w:w="800" w:type="dxa"/>
            <w:vAlign w:val="center"/>
          </w:tcPr>
          <w:p>
            <w:pPr>
              <w:spacing w:before="0" w:after="0"/>
              <w:jc w:val="left"/>
            </w:pPr>
            <w:r>
              <w:rPr>
                <w:sz w:val="18"/>
                <w:szCs w:val="18"/>
              </w:rPr>
              <w:t xml:space="preserve"/>
            </w:r>
          </w:p>
        </w:tc>
        <w:tc>
          <w:tcPr>
            <w:tcW w:w="1700" w:type="dxa"/>
            <w:vAlign w:val="center"/>
          </w:tcPr>
          <w:p>
            <w:pPr>
              <w:spacing w:before="0" w:after="0"/>
              <w:jc w:val="right"/>
            </w:pPr>
            <w:r>
              <w:rPr>
                <w:sz w:val="18"/>
                <w:szCs w:val="18"/>
              </w:rPr>
              <w:t xml:space="preserve">7,437</w:t>
            </w:r>
          </w:p>
        </w:tc>
        <w:tc>
          <w:tcPr>
            <w:tcW w:w="1700" w:type="dxa"/>
            <w:vAlign w:val="center"/>
          </w:tcPr>
          <w:p>
            <w:pPr>
              <w:spacing w:before="0" w:after="0"/>
              <w:jc w:val="right"/>
            </w:pPr>
            <w:r>
              <w:rPr>
                <w:sz w:val="18"/>
                <w:szCs w:val="18"/>
              </w:rPr>
              <w:t xml:space="preserve">7,337</w:t>
            </w:r>
          </w:p>
        </w:tc>
      </w:tr>
      <w:tr>
        <w:tc>
          <w:tcPr>
            <w:tcW w:w="4872" w:type="dxa"/>
            <w:vAlign w:val="center"/>
          </w:tcPr>
          <w:p>
            <w:pPr>
              <w:spacing w:before="0" w:after="0"/>
              <w:jc w:val="left"/>
            </w:pPr>
            <w:r>
              <w:rPr>
                <w:sz w:val="18"/>
                <w:szCs w:val="18"/>
              </w:rPr>
              <w:t xml:space="preserve">Other intangible assets, net</w:t>
            </w:r>
          </w:p>
        </w:tc>
        <w:tc>
          <w:tcPr>
            <w:tcW w:w="800" w:type="dxa"/>
            <w:vAlign w:val="center"/>
          </w:tcPr>
          <w:p>
            <w:pPr>
              <w:spacing w:before="0" w:after="0"/>
              <w:jc w:val="left"/>
            </w:pPr>
            <w:r>
              <w:rPr>
                <w:sz w:val="18"/>
                <w:szCs w:val="18"/>
              </w:rPr>
              <w:t xml:space="preserve"/>
            </w:r>
          </w:p>
        </w:tc>
        <w:tc>
          <w:tcPr>
            <w:tcW w:w="1700" w:type="dxa"/>
            <w:vAlign w:val="center"/>
          </w:tcPr>
          <w:p>
            <w:pPr>
              <w:spacing w:before="0" w:after="0"/>
              <w:jc w:val="right"/>
            </w:pPr>
            <w:r>
              <w:rPr>
                <w:sz w:val="18"/>
                <w:szCs w:val="18"/>
              </w:rPr>
              <w:t xml:space="preserve">3,696</w:t>
            </w:r>
          </w:p>
        </w:tc>
        <w:tc>
          <w:tcPr>
            <w:tcW w:w="1700" w:type="dxa"/>
            <w:vAlign w:val="center"/>
          </w:tcPr>
          <w:p>
            <w:pPr>
              <w:spacing w:before="0" w:after="0"/>
              <w:jc w:val="right"/>
            </w:pPr>
            <w:r>
              <w:rPr>
                <w:sz w:val="18"/>
                <w:szCs w:val="18"/>
              </w:rPr>
              <w:t xml:space="preserve">3,931</w:t>
            </w:r>
          </w:p>
        </w:tc>
      </w:tr>
      <w:tr>
        <w:tc>
          <w:tcPr>
            <w:tcW w:w="4872" w:type="dxa"/>
            <w:vAlign w:val="center"/>
          </w:tcPr>
          <w:p>
            <w:pPr>
              <w:spacing w:before="0" w:after="0"/>
              <w:jc w:val="left"/>
            </w:pPr>
            <w:r>
              <w:rPr>
                <w:sz w:val="18"/>
                <w:szCs w:val="18"/>
              </w:rPr>
              <w:t xml:space="preserve">Security deposits</w:t>
            </w:r>
          </w:p>
        </w:tc>
        <w:tc>
          <w:tcPr>
            <w:tcW w:w="800" w:type="dxa"/>
            <w:vAlign w:val="center"/>
          </w:tcPr>
          <w:p>
            <w:pPr>
              <w:spacing w:before="0" w:after="0"/>
              <w:jc w:val="left"/>
            </w:pPr>
            <w:r>
              <w:rPr>
                <w:sz w:val="18"/>
                <w:szCs w:val="18"/>
              </w:rPr>
              <w:t xml:space="preserve"/>
            </w:r>
          </w:p>
        </w:tc>
        <w:tc>
          <w:tcPr>
            <w:tcW w:w="1700" w:type="dxa"/>
            <w:vAlign w:val="center"/>
          </w:tcPr>
          <w:p>
            <w:pPr>
              <w:spacing w:before="0" w:after="0"/>
              <w:jc w:val="right"/>
            </w:pPr>
            <w:r>
              <w:rPr>
                <w:sz w:val="18"/>
                <w:szCs w:val="18"/>
              </w:rPr>
              <w:t xml:space="preserve">7,317</w:t>
            </w:r>
          </w:p>
        </w:tc>
        <w:tc>
          <w:tcPr>
            <w:tcW w:w="1700" w:type="dxa"/>
            <w:vAlign w:val="center"/>
          </w:tcPr>
          <w:p>
            <w:pPr>
              <w:spacing w:before="0" w:after="0"/>
              <w:jc w:val="right"/>
            </w:pPr>
            <w:r>
              <w:rPr>
                <w:sz w:val="18"/>
                <w:szCs w:val="18"/>
              </w:rPr>
              <w:t xml:space="preserve">7,475</w:t>
            </w:r>
          </w:p>
        </w:tc>
      </w:tr>
      <w:tr>
        <w:tc>
          <w:tcPr>
            <w:tcW w:w="4872" w:type="dxa"/>
            <w:vAlign w:val="center"/>
          </w:tcPr>
          <w:p>
            <w:pPr>
              <w:spacing w:before="0" w:after="0"/>
              <w:jc w:val="left"/>
            </w:pPr>
            <w:r>
              <w:rPr>
                <w:sz w:val="18"/>
                <w:szCs w:val="18"/>
              </w:rPr>
              <w:t xml:space="preserve">Other long-term assets</w:t>
            </w:r>
          </w:p>
        </w:tc>
        <w:tc>
          <w:tcPr>
            <w:tcW w:w="800" w:type="dxa"/>
            <w:vAlign w:val="center"/>
          </w:tcPr>
          <w:p>
            <w:pPr>
              <w:spacing w:before="0" w:after="0"/>
              <w:jc w:val="left"/>
            </w:pPr>
            <w:r>
              <w:rPr>
                <w:sz w:val="18"/>
                <w:szCs w:val="18"/>
              </w:rPr>
              <w:t xml:space="preserve"/>
            </w:r>
          </w:p>
        </w:tc>
        <w:tc>
          <w:tcPr>
            <w:tcW w:w="1700" w:type="dxa"/>
            <w:vAlign w:val="center"/>
          </w:tcPr>
          <w:p>
            <w:pPr>
              <w:spacing w:before="0" w:after="0"/>
              <w:jc w:val="right"/>
            </w:pPr>
            <w:r>
              <w:rPr>
                <w:sz w:val="18"/>
                <w:szCs w:val="18"/>
              </w:rPr>
              <w:t xml:space="preserve">3,261</w:t>
            </w:r>
          </w:p>
        </w:tc>
        <w:tc>
          <w:tcPr>
            <w:tcW w:w="1700" w:type="dxa"/>
            <w:vAlign w:val="center"/>
          </w:tcPr>
          <w:p>
            <w:pPr>
              <w:spacing w:before="0" w:after="0"/>
              <w:jc w:val="right"/>
            </w:pPr>
            <w:r>
              <w:rPr>
                <w:sz w:val="18"/>
                <w:szCs w:val="18"/>
              </w:rPr>
              <w:t xml:space="preserve">3,426</w:t>
            </w:r>
          </w:p>
        </w:tc>
      </w:tr>
      <w:tr>
        <w:tc>
          <w:tcPr>
            <w:tcW w:w="4872" w:type="dxa"/>
            <w:vAlign w:val="center"/>
          </w:tcPr>
          <w:p>
            <w:pPr>
              <w:spacing w:before="0" w:after="0"/>
              <w:jc w:val="left"/>
            </w:pPr>
            <w:r>
              <w:rPr>
                <w:b/>
                <w:sz w:val="18"/>
                <w:szCs w:val="18"/>
              </w:rPr>
              <w:t xml:space="preserve">Total non-current assets</w:t>
            </w:r>
          </w:p>
        </w:tc>
        <w:tc>
          <w:tcPr>
            <w:tcW w:w="800" w:type="dxa"/>
            <w:vAlign w:val="center"/>
          </w:tcPr>
          <w:p>
            <w:pPr>
              <w:spacing w:before="0" w:after="0"/>
              <w:jc w:val="left"/>
            </w:pPr>
            <w:r>
              <w:rPr>
                <w:b/>
                <w:sz w:val="18"/>
                <w:szCs w:val="18"/>
              </w:rPr>
              <w:t xml:space="preserve"/>
            </w:r>
          </w:p>
        </w:tc>
        <w:tc>
          <w:tcPr>
            <w:tcW w:w="1700" w:type="dxa"/>
            <w:vAlign w:val="center"/>
          </w:tcPr>
          <w:p>
            <w:pPr>
              <w:spacing w:before="0" w:after="0"/>
              <w:jc w:val="right"/>
            </w:pPr>
            <w:r>
              <w:rPr>
                <w:b/>
                <w:sz w:val="18"/>
                <w:szCs w:val="18"/>
              </w:rPr>
              <w:t xml:space="preserve">242,223</w:t>
            </w:r>
          </w:p>
        </w:tc>
        <w:tc>
          <w:tcPr>
            <w:tcW w:w="1700" w:type="dxa"/>
            <w:vAlign w:val="center"/>
          </w:tcPr>
          <w:p>
            <w:pPr>
              <w:spacing w:before="0" w:after="0"/>
              <w:jc w:val="right"/>
            </w:pPr>
            <w:r>
              <w:rPr>
                <w:b/>
                <w:sz w:val="18"/>
                <w:szCs w:val="18"/>
              </w:rPr>
              <w:t xml:space="preserve">267,661</w:t>
            </w:r>
          </w:p>
        </w:tc>
      </w:tr>
      <w:tr>
        <w:tc>
          <w:tcPr>
            <w:tcW w:w="4872" w:type="dxa"/>
            <w:vAlign w:val="center"/>
          </w:tcPr>
          <w:p>
            <w:pPr>
              <w:spacing w:before="0" w:after="0"/>
              <w:jc w:val="left"/>
            </w:pPr>
            <w:r>
              <w:rPr>
                <w:b/>
                <w:sz w:val="18"/>
                <w:szCs w:val="18"/>
              </w:rPr>
              <w:t xml:space="preserve">Total assets</w:t>
            </w:r>
          </w:p>
        </w:tc>
        <w:tc>
          <w:tcPr>
            <w:tcW w:w="800" w:type="dxa"/>
            <w:vAlign w:val="center"/>
          </w:tcPr>
          <w:p>
            <w:pPr>
              <w:spacing w:before="0" w:after="0"/>
              <w:jc w:val="left"/>
            </w:pPr>
            <w:r>
              <w:rPr>
                <w:b/>
                <w:sz w:val="18"/>
                <w:szCs w:val="18"/>
              </w:rPr>
              <w:t xml:space="preserve"/>
            </w:r>
          </w:p>
        </w:tc>
        <w:tc>
          <w:tcPr>
            <w:tcW w:w="1700" w:type="dxa"/>
            <w:vAlign w:val="center"/>
          </w:tcPr>
          <w:p>
            <w:pPr>
              <w:spacing w:before="0" w:after="0"/>
              <w:jc w:val="right"/>
            </w:pPr>
            <w:r>
              <w:rPr>
                <w:b/>
                <w:sz w:val="18"/>
                <w:szCs w:val="18"/>
              </w:rPr>
              <w:t xml:space="preserve">336,198</w:t>
            </w:r>
          </w:p>
        </w:tc>
        <w:tc>
          <w:tcPr>
            <w:tcW w:w="1700" w:type="dxa"/>
            <w:vAlign w:val="center"/>
          </w:tcPr>
          <w:p>
            <w:pPr>
              <w:spacing w:before="0" w:after="0"/>
              <w:jc w:val="right"/>
            </w:pPr>
            <w:r>
              <w:rPr>
                <w:b/>
                <w:sz w:val="18"/>
                <w:szCs w:val="18"/>
              </w:rPr>
              <w:t xml:space="preserve">364,887</w:t>
            </w:r>
          </w:p>
        </w:tc>
      </w:tr>
    </w:tbl>
    <w:p>
      <w:pPr/>
    </w:p>
    <w:p>
      <w:r>
        <w:br w:type="page"/>
      </w:r>
    </w:p>
    <w:p>
      <w:pPr>
        <w:pStyle w:val="Heading3"/>
        <w:keepNext/>
      </w:pPr>
      <w:r>
        <w:t xml:space="preserve">Balance Sheets (Liabilities and Stockholders' Equity)</w:t>
      </w:r>
    </w:p>
    <w:p>
      <w:pPr>
        <w:jc w:val="right"/>
      </w:pPr>
      <w:r>
        <w:rPr>
          <w:sz w:val="18"/>
          <w:szCs w:val="18"/>
        </w:rPr>
        <w:t xml:space="preserve">(In thousands of U.S. dollars)</w:t>
      </w:r>
    </w:p>
    <w:tbl>
      <w:tblPr>
        <w:tblW w:w="907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72" w:type="dxa"/>
          <w:right w:w="72" w:type="dxa"/>
        </w:tblCellMar>
      </w:tblPr>
      <w:tblGrid>
        <w:gridCol w:w="4872"/>
        <w:gridCol w:w="800"/>
        <w:gridCol w:w="1700"/>
        <w:gridCol w:w="1700"/>
      </w:tblGrid>
      <w:tr>
        <w:trPr>
          <w:tblHeader/>
        </w:trPr>
        <w:tc>
          <w:tcPr>
            <w:tcW w:w="4872" w:type="dxa"/>
            <w:shd w:val="clear" w:color="auto" w:fill="DDEBF7"/>
            <w:vAlign w:val="center"/>
          </w:tcPr>
          <w:p>
            <w:pPr>
              <w:spacing w:before="0" w:after="0"/>
              <w:jc w:val="center"/>
            </w:pPr>
            <w:r>
              <w:rPr>
                <w:b/>
                <w:sz w:val="18"/>
                <w:szCs w:val="18"/>
              </w:rPr>
              <w:t xml:space="preserve"/>
            </w:r>
          </w:p>
        </w:tc>
        <w:tc>
          <w:tcPr>
            <w:tcW w:w="800" w:type="dxa"/>
            <w:shd w:val="clear" w:color="auto" w:fill="DDEBF7"/>
            <w:vAlign w:val="center"/>
          </w:tcPr>
          <w:p>
            <w:pPr>
              <w:spacing w:before="0" w:after="0"/>
              <w:jc w:val="center"/>
            </w:pPr>
            <w:r>
              <w:rPr>
                <w:b/>
                <w:sz w:val="18"/>
                <w:szCs w:val="18"/>
              </w:rPr>
              <w:t xml:space="preserve">Note</w:t>
            </w:r>
          </w:p>
        </w:tc>
        <w:tc>
          <w:tcPr>
            <w:tcW w:w="1700" w:type="dxa"/>
            <w:shd w:val="clear" w:color="auto" w:fill="DDEBF7"/>
            <w:vAlign w:val="center"/>
          </w:tcPr>
          <w:p>
            <w:pPr>
              <w:spacing w:before="0" w:after="0"/>
              <w:jc w:val="center"/>
            </w:pPr>
            <w:r>
              <w:rPr>
                <w:b/>
                <w:sz w:val="18"/>
                <w:szCs w:val="18"/>
              </w:rPr>
              <w:t xml:space="preserve">FY2024</w:t>
            </w:r>
          </w:p>
        </w:tc>
        <w:tc>
          <w:tcPr>
            <w:tcW w:w="1700" w:type="dxa"/>
            <w:shd w:val="clear" w:color="auto" w:fill="DDEBF7"/>
            <w:vAlign w:val="center"/>
          </w:tcPr>
          <w:p>
            <w:pPr>
              <w:spacing w:before="0" w:after="0"/>
              <w:jc w:val="center"/>
            </w:pPr>
            <w:r>
              <w:rPr>
                <w:b/>
                <w:sz w:val="18"/>
                <w:szCs w:val="18"/>
              </w:rPr>
              <w:t xml:space="preserve">FY2025</w:t>
            </w:r>
          </w:p>
        </w:tc>
      </w:tr>
      <w:tr>
        <w:tc>
          <w:tcPr>
            <w:tcW w:w="4872" w:type="dxa"/>
            <w:vAlign w:val="center"/>
          </w:tcPr>
          <w:p>
            <w:pPr>
              <w:spacing w:before="0" w:after="0"/>
              <w:jc w:val="left"/>
            </w:pPr>
            <w:r>
              <w:rPr>
                <w:b/>
                <w:sz w:val="18"/>
                <w:szCs w:val="18"/>
              </w:rPr>
              <w:t xml:space="preserve">Current liabilities</w:t>
            </w:r>
          </w:p>
        </w:tc>
        <w:tc>
          <w:tcPr>
            <w:tcW w:w="800" w:type="dxa"/>
            <w:vAlign w:val="center"/>
          </w:tcPr>
          <w:p>
            <w:pPr>
              <w:spacing w:before="0" w:after="0"/>
              <w:jc w:val="left"/>
            </w:pPr>
            <w:r>
              <w:rPr>
                <w:b/>
                <w:sz w:val="18"/>
                <w:szCs w:val="18"/>
              </w:rPr>
              <w:t xml:space="preserve"/>
            </w:r>
          </w:p>
        </w:tc>
        <w:tc>
          <w:tcPr>
            <w:tcW w:w="1700" w:type="dxa"/>
            <w:vAlign w:val="center"/>
          </w:tcPr>
          <w:p>
            <w:pPr>
              <w:spacing w:before="0" w:after="0"/>
              <w:jc w:val="right"/>
            </w:pPr>
            <w:r>
              <w:rPr>
                <w:b/>
                <w:sz w:val="18"/>
                <w:szCs w:val="18"/>
              </w:rPr>
              <w:t xml:space="preserve"/>
            </w:r>
          </w:p>
        </w:tc>
        <w:tc>
          <w:tcPr>
            <w:tcW w:w="1700" w:type="dxa"/>
            <w:vAlign w:val="center"/>
          </w:tcPr>
          <w:p>
            <w:pPr>
              <w:spacing w:before="0" w:after="0"/>
              <w:jc w:val="right"/>
            </w:pPr>
            <w:r>
              <w:rPr>
                <w:b/>
                <w:sz w:val="18"/>
                <w:szCs w:val="18"/>
              </w:rPr>
              <w:t xml:space="preserve"/>
            </w:r>
          </w:p>
        </w:tc>
      </w:tr>
      <w:tr>
        <w:tc>
          <w:tcPr>
            <w:tcW w:w="4872" w:type="dxa"/>
            <w:vAlign w:val="center"/>
          </w:tcPr>
          <w:p>
            <w:pPr>
              <w:spacing w:before="0" w:after="0"/>
              <w:jc w:val="left"/>
            </w:pPr>
            <w:r>
              <w:rPr>
                <w:sz w:val="18"/>
                <w:szCs w:val="18"/>
              </w:rPr>
              <w:t xml:space="preserve">Accounts payable</w:t>
            </w:r>
          </w:p>
        </w:tc>
        <w:tc>
          <w:tcPr>
            <w:tcW w:w="800" w:type="dxa"/>
            <w:vAlign w:val="center"/>
          </w:tcPr>
          <w:p>
            <w:pPr>
              <w:spacing w:before="0" w:after="0"/>
              <w:jc w:val="left"/>
            </w:pPr>
            <w:r>
              <w:rPr>
                <w:sz w:val="18"/>
                <w:szCs w:val="18"/>
              </w:rPr>
              <w:t xml:space="preserve"/>
            </w:r>
          </w:p>
        </w:tc>
        <w:tc>
          <w:tcPr>
            <w:tcW w:w="1700" w:type="dxa"/>
            <w:vAlign w:val="center"/>
          </w:tcPr>
          <w:p>
            <w:pPr>
              <w:spacing w:before="0" w:after="0"/>
              <w:jc w:val="right"/>
            </w:pPr>
            <w:r>
              <w:rPr>
                <w:sz w:val="18"/>
                <w:szCs w:val="18"/>
              </w:rPr>
              <w:t xml:space="preserve">14,200</w:t>
            </w:r>
          </w:p>
        </w:tc>
        <w:tc>
          <w:tcPr>
            <w:tcW w:w="1700" w:type="dxa"/>
            <w:vAlign w:val="center"/>
          </w:tcPr>
          <w:p>
            <w:pPr>
              <w:spacing w:before="0" w:after="0"/>
              <w:jc w:val="right"/>
            </w:pPr>
            <w:r>
              <w:rPr>
                <w:sz w:val="18"/>
                <w:szCs w:val="18"/>
              </w:rPr>
              <w:t xml:space="preserve">14,373</w:t>
            </w:r>
          </w:p>
        </w:tc>
      </w:tr>
      <w:tr>
        <w:tc>
          <w:tcPr>
            <w:tcW w:w="4872" w:type="dxa"/>
            <w:vAlign w:val="center"/>
          </w:tcPr>
          <w:p>
            <w:pPr>
              <w:spacing w:before="0" w:after="0"/>
              <w:jc w:val="left"/>
            </w:pPr>
            <w:r>
              <w:rPr>
                <w:sz w:val="18"/>
                <w:szCs w:val="18"/>
              </w:rPr>
              <w:t xml:space="preserve">Accrued payroll and benefits</w:t>
            </w:r>
          </w:p>
        </w:tc>
        <w:tc>
          <w:tcPr>
            <w:tcW w:w="800" w:type="dxa"/>
            <w:vAlign w:val="center"/>
          </w:tcPr>
          <w:p>
            <w:pPr>
              <w:spacing w:before="0" w:after="0"/>
              <w:jc w:val="left"/>
            </w:pPr>
            <w:r>
              <w:rPr>
                <w:sz w:val="18"/>
                <w:szCs w:val="18"/>
              </w:rPr>
              <w:t xml:space="preserve"/>
            </w:r>
          </w:p>
        </w:tc>
        <w:tc>
          <w:tcPr>
            <w:tcW w:w="1700" w:type="dxa"/>
            <w:vAlign w:val="center"/>
          </w:tcPr>
          <w:p>
            <w:pPr>
              <w:spacing w:before="0" w:after="0"/>
              <w:jc w:val="right"/>
            </w:pPr>
            <w:r>
              <w:rPr>
                <w:sz w:val="18"/>
                <w:szCs w:val="18"/>
              </w:rPr>
              <w:t xml:space="preserve">10,442</w:t>
            </w:r>
          </w:p>
        </w:tc>
        <w:tc>
          <w:tcPr>
            <w:tcW w:w="1700" w:type="dxa"/>
            <w:vAlign w:val="center"/>
          </w:tcPr>
          <w:p>
            <w:pPr>
              <w:spacing w:before="0" w:after="0"/>
              <w:jc w:val="right"/>
            </w:pPr>
            <w:r>
              <w:rPr>
                <w:sz w:val="18"/>
                <w:szCs w:val="18"/>
              </w:rPr>
              <w:t xml:space="preserve">11,716</w:t>
            </w:r>
          </w:p>
        </w:tc>
      </w:tr>
      <w:tr>
        <w:tc>
          <w:tcPr>
            <w:tcW w:w="4872" w:type="dxa"/>
            <w:vAlign w:val="center"/>
          </w:tcPr>
          <w:p>
            <w:pPr>
              <w:spacing w:before="0" w:after="0"/>
              <w:jc w:val="left"/>
            </w:pPr>
            <w:r>
              <w:rPr>
                <w:sz w:val="18"/>
                <w:szCs w:val="18"/>
              </w:rPr>
              <w:t xml:space="preserve">Current portion of operating lease liabilities</w:t>
            </w:r>
          </w:p>
        </w:tc>
        <w:tc>
          <w:tcPr>
            <w:tcW w:w="800" w:type="dxa"/>
            <w:vAlign w:val="center"/>
          </w:tcPr>
          <w:p>
            <w:pPr>
              <w:spacing w:before="0" w:after="0"/>
              <w:jc w:val="left"/>
            </w:pPr>
            <w:r>
              <w:rPr>
                <w:sz w:val="18"/>
                <w:szCs w:val="18"/>
              </w:rPr>
              <w:t xml:space="preserve"/>
            </w:r>
          </w:p>
        </w:tc>
        <w:tc>
          <w:tcPr>
            <w:tcW w:w="1700" w:type="dxa"/>
            <w:vAlign w:val="center"/>
          </w:tcPr>
          <w:p>
            <w:pPr>
              <w:spacing w:before="0" w:after="0"/>
              <w:jc w:val="right"/>
            </w:pPr>
            <w:r>
              <w:rPr>
                <w:sz w:val="18"/>
                <w:szCs w:val="18"/>
              </w:rPr>
              <w:t xml:space="preserve">16,558</w:t>
            </w:r>
          </w:p>
        </w:tc>
        <w:tc>
          <w:tcPr>
            <w:tcW w:w="1700" w:type="dxa"/>
            <w:vAlign w:val="center"/>
          </w:tcPr>
          <w:p>
            <w:pPr>
              <w:spacing w:before="0" w:after="0"/>
              <w:jc w:val="right"/>
            </w:pPr>
            <w:r>
              <w:rPr>
                <w:sz w:val="18"/>
                <w:szCs w:val="18"/>
              </w:rPr>
              <w:t xml:space="preserve">15,692</w:t>
            </w:r>
          </w:p>
        </w:tc>
      </w:tr>
      <w:tr>
        <w:tc>
          <w:tcPr>
            <w:tcW w:w="4872" w:type="dxa"/>
            <w:vAlign w:val="center"/>
          </w:tcPr>
          <w:p>
            <w:pPr>
              <w:spacing w:before="0" w:after="0"/>
              <w:jc w:val="left"/>
            </w:pPr>
            <w:r>
              <w:rPr>
                <w:sz w:val="18"/>
                <w:szCs w:val="18"/>
              </w:rPr>
              <w:t xml:space="preserve">Current portion of long-term debt</w:t>
            </w:r>
          </w:p>
        </w:tc>
        <w:tc>
          <w:tcPr>
            <w:tcW w:w="800" w:type="dxa"/>
            <w:vAlign w:val="center"/>
          </w:tcPr>
          <w:p>
            <w:pPr>
              <w:spacing w:before="0" w:after="0"/>
              <w:jc w:val="left"/>
            </w:pPr>
            <w:r>
              <w:rPr>
                <w:sz w:val="18"/>
                <w:szCs w:val="18"/>
              </w:rPr>
              <w:t xml:space="preserve"/>
            </w:r>
          </w:p>
        </w:tc>
        <w:tc>
          <w:tcPr>
            <w:tcW w:w="1700" w:type="dxa"/>
            <w:vAlign w:val="center"/>
          </w:tcPr>
          <w:p>
            <w:pPr>
              <w:spacing w:before="0" w:after="0"/>
              <w:jc w:val="right"/>
            </w:pPr>
            <w:r>
              <w:rPr>
                <w:sz w:val="18"/>
                <w:szCs w:val="18"/>
              </w:rPr>
              <w:t xml:space="preserve">6,870</w:t>
            </w:r>
          </w:p>
        </w:tc>
        <w:tc>
          <w:tcPr>
            <w:tcW w:w="1700" w:type="dxa"/>
            <w:vAlign w:val="center"/>
          </w:tcPr>
          <w:p>
            <w:pPr>
              <w:spacing w:before="0" w:after="0"/>
              <w:jc w:val="right"/>
            </w:pPr>
            <w:r>
              <w:rPr>
                <w:sz w:val="18"/>
                <w:szCs w:val="18"/>
              </w:rPr>
              <w:t xml:space="preserve">7,421</w:t>
            </w:r>
          </w:p>
        </w:tc>
      </w:tr>
      <w:tr>
        <w:tc>
          <w:tcPr>
            <w:tcW w:w="4872" w:type="dxa"/>
            <w:vAlign w:val="center"/>
          </w:tcPr>
          <w:p>
            <w:pPr>
              <w:spacing w:before="0" w:after="0"/>
              <w:jc w:val="left"/>
            </w:pPr>
            <w:r>
              <w:rPr>
                <w:sz w:val="18"/>
                <w:szCs w:val="18"/>
              </w:rPr>
              <w:t xml:space="preserve">Deferred revenue (gift cards and loyalty)</w:t>
            </w:r>
          </w:p>
        </w:tc>
        <w:tc>
          <w:tcPr>
            <w:tcW w:w="800" w:type="dxa"/>
            <w:vAlign w:val="center"/>
          </w:tcPr>
          <w:p>
            <w:pPr>
              <w:spacing w:before="0" w:after="0"/>
              <w:jc w:val="left"/>
            </w:pPr>
            <w:r>
              <w:rPr>
                <w:sz w:val="18"/>
                <w:szCs w:val="18"/>
              </w:rPr>
              <w:t xml:space="preserve">14</w:t>
            </w:r>
          </w:p>
        </w:tc>
        <w:tc>
          <w:tcPr>
            <w:tcW w:w="1700" w:type="dxa"/>
            <w:vAlign w:val="center"/>
          </w:tcPr>
          <w:p>
            <w:pPr>
              <w:spacing w:before="0" w:after="0"/>
              <w:jc w:val="right"/>
            </w:pPr>
            <w:r>
              <w:rPr>
                <w:sz w:val="18"/>
                <w:szCs w:val="18"/>
              </w:rPr>
              <w:t xml:space="preserve">8,953</w:t>
            </w:r>
          </w:p>
        </w:tc>
        <w:tc>
          <w:tcPr>
            <w:tcW w:w="1700" w:type="dxa"/>
            <w:vAlign w:val="center"/>
          </w:tcPr>
          <w:p>
            <w:pPr>
              <w:spacing w:before="0" w:after="0"/>
              <w:jc w:val="right"/>
            </w:pPr>
            <w:r>
              <w:rPr>
                <w:sz w:val="18"/>
                <w:szCs w:val="18"/>
              </w:rPr>
              <w:t xml:space="preserve">9,038</w:t>
            </w:r>
          </w:p>
        </w:tc>
      </w:tr>
      <w:tr>
        <w:tc>
          <w:tcPr>
            <w:tcW w:w="4872" w:type="dxa"/>
            <w:vAlign w:val="center"/>
          </w:tcPr>
          <w:p>
            <w:pPr>
              <w:spacing w:before="0" w:after="0"/>
              <w:jc w:val="left"/>
            </w:pPr>
            <w:r>
              <w:rPr>
                <w:sz w:val="18"/>
                <w:szCs w:val="18"/>
              </w:rPr>
              <w:t xml:space="preserve">Income taxes payable</w:t>
            </w:r>
          </w:p>
        </w:tc>
        <w:tc>
          <w:tcPr>
            <w:tcW w:w="800" w:type="dxa"/>
            <w:vAlign w:val="center"/>
          </w:tcPr>
          <w:p>
            <w:pPr>
              <w:spacing w:before="0" w:after="0"/>
              <w:jc w:val="left"/>
            </w:pPr>
            <w:r>
              <w:rPr>
                <w:sz w:val="18"/>
                <w:szCs w:val="18"/>
              </w:rPr>
              <w:t xml:space="preserve"/>
            </w:r>
          </w:p>
        </w:tc>
        <w:tc>
          <w:tcPr>
            <w:tcW w:w="1700" w:type="dxa"/>
            <w:vAlign w:val="center"/>
          </w:tcPr>
          <w:p>
            <w:pPr>
              <w:spacing w:before="0" w:after="0"/>
              <w:jc w:val="right"/>
            </w:pPr>
            <w:r>
              <w:rPr>
                <w:sz w:val="18"/>
                <w:szCs w:val="18"/>
              </w:rPr>
              <w:t xml:space="preserve">2,917</w:t>
            </w:r>
          </w:p>
        </w:tc>
        <w:tc>
          <w:tcPr>
            <w:tcW w:w="1700" w:type="dxa"/>
            <w:vAlign w:val="center"/>
          </w:tcPr>
          <w:p>
            <w:pPr>
              <w:spacing w:before="0" w:after="0"/>
              <w:jc w:val="right"/>
            </w:pPr>
            <w:r>
              <w:rPr>
                <w:sz w:val="18"/>
                <w:szCs w:val="18"/>
              </w:rPr>
              <w:t xml:space="preserve">2,900</w:t>
            </w:r>
          </w:p>
        </w:tc>
      </w:tr>
      <w:tr>
        <w:tc>
          <w:tcPr>
            <w:tcW w:w="4872" w:type="dxa"/>
            <w:vAlign w:val="center"/>
          </w:tcPr>
          <w:p>
            <w:pPr>
              <w:spacing w:before="0" w:after="0"/>
              <w:jc w:val="left"/>
            </w:pPr>
            <w:r>
              <w:rPr>
                <w:sz w:val="18"/>
                <w:szCs w:val="18"/>
              </w:rPr>
              <w:t xml:space="preserve">Other accrued liabilities</w:t>
            </w:r>
          </w:p>
        </w:tc>
        <w:tc>
          <w:tcPr>
            <w:tcW w:w="800" w:type="dxa"/>
            <w:vAlign w:val="center"/>
          </w:tcPr>
          <w:p>
            <w:pPr>
              <w:spacing w:before="0" w:after="0"/>
              <w:jc w:val="left"/>
            </w:pPr>
            <w:r>
              <w:rPr>
                <w:sz w:val="18"/>
                <w:szCs w:val="18"/>
              </w:rPr>
              <w:t xml:space="preserve">16</w:t>
            </w:r>
          </w:p>
        </w:tc>
        <w:tc>
          <w:tcPr>
            <w:tcW w:w="1700" w:type="dxa"/>
            <w:vAlign w:val="center"/>
          </w:tcPr>
          <w:p>
            <w:pPr>
              <w:spacing w:before="0" w:after="0"/>
              <w:jc w:val="right"/>
            </w:pPr>
            <w:r>
              <w:rPr>
                <w:sz w:val="18"/>
                <w:szCs w:val="18"/>
              </w:rPr>
              <w:t xml:space="preserve">5,425</w:t>
            </w:r>
          </w:p>
        </w:tc>
        <w:tc>
          <w:tcPr>
            <w:tcW w:w="1700" w:type="dxa"/>
            <w:vAlign w:val="center"/>
          </w:tcPr>
          <w:p>
            <w:pPr>
              <w:spacing w:before="0" w:after="0"/>
              <w:jc w:val="right"/>
            </w:pPr>
            <w:r>
              <w:rPr>
                <w:sz w:val="18"/>
                <w:szCs w:val="18"/>
              </w:rPr>
              <w:t xml:space="preserve">5,744</w:t>
            </w:r>
          </w:p>
        </w:tc>
      </w:tr>
      <w:tr>
        <w:tc>
          <w:tcPr>
            <w:tcW w:w="4872" w:type="dxa"/>
            <w:vAlign w:val="center"/>
          </w:tcPr>
          <w:p>
            <w:pPr>
              <w:spacing w:before="0" w:after="0"/>
              <w:jc w:val="left"/>
            </w:pPr>
            <w:r>
              <w:rPr>
                <w:b/>
                <w:sz w:val="18"/>
                <w:szCs w:val="18"/>
              </w:rPr>
              <w:t xml:space="preserve">Total current liabilities</w:t>
            </w:r>
          </w:p>
        </w:tc>
        <w:tc>
          <w:tcPr>
            <w:tcW w:w="800" w:type="dxa"/>
            <w:vAlign w:val="center"/>
          </w:tcPr>
          <w:p>
            <w:pPr>
              <w:spacing w:before="0" w:after="0"/>
              <w:jc w:val="left"/>
            </w:pPr>
            <w:r>
              <w:rPr>
                <w:b/>
                <w:sz w:val="18"/>
                <w:szCs w:val="18"/>
              </w:rPr>
              <w:t xml:space="preserve"/>
            </w:r>
          </w:p>
        </w:tc>
        <w:tc>
          <w:tcPr>
            <w:tcW w:w="1700" w:type="dxa"/>
            <w:vAlign w:val="center"/>
          </w:tcPr>
          <w:p>
            <w:pPr>
              <w:spacing w:before="0" w:after="0"/>
              <w:jc w:val="right"/>
            </w:pPr>
            <w:r>
              <w:rPr>
                <w:b/>
                <w:sz w:val="18"/>
                <w:szCs w:val="18"/>
              </w:rPr>
              <w:t xml:space="preserve">65,365</w:t>
            </w:r>
          </w:p>
        </w:tc>
        <w:tc>
          <w:tcPr>
            <w:tcW w:w="1700" w:type="dxa"/>
            <w:vAlign w:val="center"/>
          </w:tcPr>
          <w:p>
            <w:pPr>
              <w:spacing w:before="0" w:after="0"/>
              <w:jc w:val="right"/>
            </w:pPr>
            <w:r>
              <w:rPr>
                <w:b/>
                <w:sz w:val="18"/>
                <w:szCs w:val="18"/>
              </w:rPr>
              <w:t xml:space="preserve">66,884</w:t>
            </w:r>
          </w:p>
        </w:tc>
      </w:tr>
      <w:tr>
        <w:tc>
          <w:tcPr>
            <w:tcW w:w="4872" w:type="dxa"/>
            <w:vAlign w:val="center"/>
          </w:tcPr>
          <w:p>
            <w:pPr>
              <w:spacing w:before="0" w:after="0"/>
              <w:jc w:val="left"/>
            </w:pPr>
            <w:r>
              <w:rPr>
                <w:b/>
                <w:sz w:val="18"/>
                <w:szCs w:val="18"/>
              </w:rPr>
              <w:t xml:space="preserve">Non-current liabilities</w:t>
            </w:r>
          </w:p>
        </w:tc>
        <w:tc>
          <w:tcPr>
            <w:tcW w:w="800" w:type="dxa"/>
            <w:vAlign w:val="center"/>
          </w:tcPr>
          <w:p>
            <w:pPr>
              <w:spacing w:before="0" w:after="0"/>
              <w:jc w:val="left"/>
            </w:pPr>
            <w:r>
              <w:rPr>
                <w:b/>
                <w:sz w:val="18"/>
                <w:szCs w:val="18"/>
              </w:rPr>
              <w:t xml:space="preserve"/>
            </w:r>
          </w:p>
        </w:tc>
        <w:tc>
          <w:tcPr>
            <w:tcW w:w="1700" w:type="dxa"/>
            <w:vAlign w:val="center"/>
          </w:tcPr>
          <w:p>
            <w:pPr>
              <w:spacing w:before="0" w:after="0"/>
              <w:jc w:val="right"/>
            </w:pPr>
            <w:r>
              <w:rPr>
                <w:b/>
                <w:sz w:val="18"/>
                <w:szCs w:val="18"/>
              </w:rPr>
              <w:t xml:space="preserve"/>
            </w:r>
          </w:p>
        </w:tc>
        <w:tc>
          <w:tcPr>
            <w:tcW w:w="1700" w:type="dxa"/>
            <w:vAlign w:val="center"/>
          </w:tcPr>
          <w:p>
            <w:pPr>
              <w:spacing w:before="0" w:after="0"/>
              <w:jc w:val="right"/>
            </w:pPr>
            <w:r>
              <w:rPr>
                <w:b/>
                <w:sz w:val="18"/>
                <w:szCs w:val="18"/>
              </w:rPr>
              <w:t xml:space="preserve"/>
            </w:r>
          </w:p>
        </w:tc>
      </w:tr>
      <w:tr>
        <w:tc>
          <w:tcPr>
            <w:tcW w:w="4872" w:type="dxa"/>
            <w:vAlign w:val="center"/>
          </w:tcPr>
          <w:p>
            <w:pPr>
              <w:spacing w:before="0" w:after="0"/>
              <w:jc w:val="left"/>
            </w:pPr>
            <w:r>
              <w:rPr>
                <w:sz w:val="18"/>
                <w:szCs w:val="18"/>
              </w:rPr>
              <w:t xml:space="preserve">Long-term debt, net of current portion</w:t>
            </w:r>
          </w:p>
        </w:tc>
        <w:tc>
          <w:tcPr>
            <w:tcW w:w="800" w:type="dxa"/>
            <w:vAlign w:val="center"/>
          </w:tcPr>
          <w:p>
            <w:pPr>
              <w:spacing w:before="0" w:after="0"/>
              <w:jc w:val="left"/>
            </w:pPr>
            <w:r>
              <w:rPr>
                <w:sz w:val="18"/>
                <w:szCs w:val="18"/>
              </w:rPr>
              <w:t xml:space="preserve"/>
            </w:r>
          </w:p>
        </w:tc>
        <w:tc>
          <w:tcPr>
            <w:tcW w:w="1700" w:type="dxa"/>
            <w:vAlign w:val="center"/>
          </w:tcPr>
          <w:p>
            <w:pPr>
              <w:spacing w:before="0" w:after="0"/>
              <w:jc w:val="right"/>
            </w:pPr>
            <w:r>
              <w:rPr>
                <w:sz w:val="18"/>
                <w:szCs w:val="18"/>
              </w:rPr>
              <w:t xml:space="preserve">33,713</w:t>
            </w:r>
          </w:p>
        </w:tc>
        <w:tc>
          <w:tcPr>
            <w:tcW w:w="1700" w:type="dxa"/>
            <w:vAlign w:val="center"/>
          </w:tcPr>
          <w:p>
            <w:pPr>
              <w:spacing w:before="0" w:after="0"/>
              <w:jc w:val="right"/>
            </w:pPr>
            <w:r>
              <w:rPr>
                <w:sz w:val="18"/>
                <w:szCs w:val="18"/>
              </w:rPr>
              <w:t xml:space="preserve">34,495</w:t>
            </w:r>
          </w:p>
        </w:tc>
      </w:tr>
      <w:tr>
        <w:tc>
          <w:tcPr>
            <w:tcW w:w="4872" w:type="dxa"/>
            <w:vAlign w:val="center"/>
          </w:tcPr>
          <w:p>
            <w:pPr>
              <w:spacing w:before="0" w:after="0"/>
              <w:jc w:val="left"/>
            </w:pPr>
            <w:r>
              <w:rPr>
                <w:sz w:val="18"/>
                <w:szCs w:val="18"/>
              </w:rPr>
              <w:t xml:space="preserve">Operating lease liabilities, net of current portion</w:t>
            </w:r>
          </w:p>
        </w:tc>
        <w:tc>
          <w:tcPr>
            <w:tcW w:w="800" w:type="dxa"/>
            <w:vAlign w:val="center"/>
          </w:tcPr>
          <w:p>
            <w:pPr>
              <w:spacing w:before="0" w:after="0"/>
              <w:jc w:val="left"/>
            </w:pPr>
            <w:r>
              <w:rPr>
                <w:sz w:val="18"/>
                <w:szCs w:val="18"/>
              </w:rPr>
              <w:t xml:space="preserve"/>
            </w:r>
          </w:p>
        </w:tc>
        <w:tc>
          <w:tcPr>
            <w:tcW w:w="1700" w:type="dxa"/>
            <w:vAlign w:val="center"/>
          </w:tcPr>
          <w:p>
            <w:pPr>
              <w:spacing w:before="0" w:after="0"/>
              <w:jc w:val="right"/>
            </w:pPr>
            <w:r>
              <w:rPr>
                <w:sz w:val="18"/>
                <w:szCs w:val="18"/>
              </w:rPr>
              <w:t xml:space="preserve">91,322</w:t>
            </w:r>
          </w:p>
        </w:tc>
        <w:tc>
          <w:tcPr>
            <w:tcW w:w="1700" w:type="dxa"/>
            <w:vAlign w:val="center"/>
          </w:tcPr>
          <w:p>
            <w:pPr>
              <w:spacing w:before="0" w:after="0"/>
              <w:jc w:val="right"/>
            </w:pPr>
            <w:r>
              <w:rPr>
                <w:sz w:val="18"/>
                <w:szCs w:val="18"/>
              </w:rPr>
              <w:t xml:space="preserve">103,883</w:t>
            </w:r>
          </w:p>
        </w:tc>
      </w:tr>
      <w:tr>
        <w:tc>
          <w:tcPr>
            <w:tcW w:w="4872" w:type="dxa"/>
            <w:vAlign w:val="center"/>
          </w:tcPr>
          <w:p>
            <w:pPr>
              <w:spacing w:before="0" w:after="0"/>
              <w:jc w:val="left"/>
            </w:pPr>
            <w:r>
              <w:rPr>
                <w:sz w:val="18"/>
                <w:szCs w:val="18"/>
              </w:rPr>
              <w:t xml:space="preserve">Deferred rent and asset retirement obligations</w:t>
            </w:r>
          </w:p>
        </w:tc>
        <w:tc>
          <w:tcPr>
            <w:tcW w:w="800" w:type="dxa"/>
            <w:vAlign w:val="center"/>
          </w:tcPr>
          <w:p>
            <w:pPr>
              <w:spacing w:before="0" w:after="0"/>
              <w:jc w:val="left"/>
            </w:pPr>
            <w:r>
              <w:rPr>
                <w:sz w:val="18"/>
                <w:szCs w:val="18"/>
              </w:rPr>
              <w:t xml:space="preserve"/>
            </w:r>
          </w:p>
        </w:tc>
        <w:tc>
          <w:tcPr>
            <w:tcW w:w="1700" w:type="dxa"/>
            <w:vAlign w:val="center"/>
          </w:tcPr>
          <w:p>
            <w:pPr>
              <w:spacing w:before="0" w:after="0"/>
              <w:jc w:val="right"/>
            </w:pPr>
            <w:r>
              <w:rPr>
                <w:sz w:val="18"/>
                <w:szCs w:val="18"/>
              </w:rPr>
              <w:t xml:space="preserve">3,916</w:t>
            </w:r>
          </w:p>
        </w:tc>
        <w:tc>
          <w:tcPr>
            <w:tcW w:w="1700" w:type="dxa"/>
            <w:vAlign w:val="center"/>
          </w:tcPr>
          <w:p>
            <w:pPr>
              <w:spacing w:before="0" w:after="0"/>
              <w:jc w:val="right"/>
            </w:pPr>
            <w:r>
              <w:rPr>
                <w:sz w:val="18"/>
                <w:szCs w:val="18"/>
              </w:rPr>
              <w:t xml:space="preserve">4,430</w:t>
            </w:r>
          </w:p>
        </w:tc>
      </w:tr>
      <w:tr>
        <w:tc>
          <w:tcPr>
            <w:tcW w:w="4872" w:type="dxa"/>
            <w:vAlign w:val="center"/>
          </w:tcPr>
          <w:p>
            <w:pPr>
              <w:spacing w:before="0" w:after="0"/>
              <w:jc w:val="left"/>
            </w:pPr>
            <w:r>
              <w:rPr>
                <w:sz w:val="18"/>
                <w:szCs w:val="18"/>
              </w:rPr>
              <w:t xml:space="preserve">Other long-term liabilities</w:t>
            </w:r>
          </w:p>
        </w:tc>
        <w:tc>
          <w:tcPr>
            <w:tcW w:w="800" w:type="dxa"/>
            <w:vAlign w:val="center"/>
          </w:tcPr>
          <w:p>
            <w:pPr>
              <w:spacing w:before="0" w:after="0"/>
              <w:jc w:val="left"/>
            </w:pPr>
            <w:r>
              <w:rPr>
                <w:sz w:val="18"/>
                <w:szCs w:val="18"/>
              </w:rPr>
              <w:t xml:space="preserve">6</w:t>
            </w:r>
          </w:p>
        </w:tc>
        <w:tc>
          <w:tcPr>
            <w:tcW w:w="1700" w:type="dxa"/>
            <w:vAlign w:val="center"/>
          </w:tcPr>
          <w:p>
            <w:pPr>
              <w:spacing w:before="0" w:after="0"/>
              <w:jc w:val="right"/>
            </w:pPr>
            <w:r>
              <w:rPr>
                <w:sz w:val="18"/>
                <w:szCs w:val="18"/>
              </w:rPr>
              <w:t xml:space="preserve">2,909</w:t>
            </w:r>
          </w:p>
        </w:tc>
        <w:tc>
          <w:tcPr>
            <w:tcW w:w="1700" w:type="dxa"/>
            <w:vAlign w:val="center"/>
          </w:tcPr>
          <w:p>
            <w:pPr>
              <w:spacing w:before="0" w:after="0"/>
              <w:jc w:val="right"/>
            </w:pPr>
            <w:r>
              <w:rPr>
                <w:sz w:val="18"/>
                <w:szCs w:val="18"/>
              </w:rPr>
              <w:t xml:space="preserve">2,889</w:t>
            </w:r>
          </w:p>
        </w:tc>
      </w:tr>
      <w:tr>
        <w:tc>
          <w:tcPr>
            <w:tcW w:w="4872" w:type="dxa"/>
            <w:vAlign w:val="center"/>
          </w:tcPr>
          <w:p>
            <w:pPr>
              <w:spacing w:before="0" w:after="0"/>
              <w:jc w:val="left"/>
            </w:pPr>
            <w:r>
              <w:rPr>
                <w:b/>
                <w:sz w:val="18"/>
                <w:szCs w:val="18"/>
              </w:rPr>
              <w:t xml:space="preserve">Total non-current liabilities</w:t>
            </w:r>
          </w:p>
        </w:tc>
        <w:tc>
          <w:tcPr>
            <w:tcW w:w="800" w:type="dxa"/>
            <w:vAlign w:val="center"/>
          </w:tcPr>
          <w:p>
            <w:pPr>
              <w:spacing w:before="0" w:after="0"/>
              <w:jc w:val="left"/>
            </w:pPr>
            <w:r>
              <w:rPr>
                <w:b/>
                <w:sz w:val="18"/>
                <w:szCs w:val="18"/>
              </w:rPr>
              <w:t xml:space="preserve"/>
            </w:r>
          </w:p>
        </w:tc>
        <w:tc>
          <w:tcPr>
            <w:tcW w:w="1700" w:type="dxa"/>
            <w:vAlign w:val="center"/>
          </w:tcPr>
          <w:p>
            <w:pPr>
              <w:spacing w:before="0" w:after="0"/>
              <w:jc w:val="right"/>
            </w:pPr>
            <w:r>
              <w:rPr>
                <w:b/>
                <w:sz w:val="18"/>
                <w:szCs w:val="18"/>
              </w:rPr>
              <w:t xml:space="preserve">131,860</w:t>
            </w:r>
          </w:p>
        </w:tc>
        <w:tc>
          <w:tcPr>
            <w:tcW w:w="1700" w:type="dxa"/>
            <w:vAlign w:val="center"/>
          </w:tcPr>
          <w:p>
            <w:pPr>
              <w:spacing w:before="0" w:after="0"/>
              <w:jc w:val="right"/>
            </w:pPr>
            <w:r>
              <w:rPr>
                <w:b/>
                <w:sz w:val="18"/>
                <w:szCs w:val="18"/>
              </w:rPr>
              <w:t xml:space="preserve">145,697</w:t>
            </w:r>
          </w:p>
        </w:tc>
      </w:tr>
      <w:tr>
        <w:tc>
          <w:tcPr>
            <w:tcW w:w="4872" w:type="dxa"/>
            <w:vAlign w:val="center"/>
          </w:tcPr>
          <w:p>
            <w:pPr>
              <w:spacing w:before="0" w:after="0"/>
              <w:jc w:val="left"/>
            </w:pPr>
            <w:r>
              <w:rPr>
                <w:b/>
                <w:sz w:val="18"/>
                <w:szCs w:val="18"/>
              </w:rPr>
              <w:t xml:space="preserve">Total liabilities</w:t>
            </w:r>
          </w:p>
        </w:tc>
        <w:tc>
          <w:tcPr>
            <w:tcW w:w="800" w:type="dxa"/>
            <w:vAlign w:val="center"/>
          </w:tcPr>
          <w:p>
            <w:pPr>
              <w:spacing w:before="0" w:after="0"/>
              <w:jc w:val="left"/>
            </w:pPr>
            <w:r>
              <w:rPr>
                <w:b/>
                <w:sz w:val="18"/>
                <w:szCs w:val="18"/>
              </w:rPr>
              <w:t xml:space="preserve"/>
            </w:r>
          </w:p>
        </w:tc>
        <w:tc>
          <w:tcPr>
            <w:tcW w:w="1700" w:type="dxa"/>
            <w:vAlign w:val="center"/>
          </w:tcPr>
          <w:p>
            <w:pPr>
              <w:spacing w:before="0" w:after="0"/>
              <w:jc w:val="right"/>
            </w:pPr>
            <w:r>
              <w:rPr>
                <w:b/>
                <w:sz w:val="18"/>
                <w:szCs w:val="18"/>
              </w:rPr>
              <w:t xml:space="preserve">197,225</w:t>
            </w:r>
          </w:p>
        </w:tc>
        <w:tc>
          <w:tcPr>
            <w:tcW w:w="1700" w:type="dxa"/>
            <w:vAlign w:val="center"/>
          </w:tcPr>
          <w:p>
            <w:pPr>
              <w:spacing w:before="0" w:after="0"/>
              <w:jc w:val="right"/>
            </w:pPr>
            <w:r>
              <w:rPr>
                <w:b/>
                <w:sz w:val="18"/>
                <w:szCs w:val="18"/>
              </w:rPr>
              <w:t xml:space="preserve">212,581</w:t>
            </w:r>
          </w:p>
        </w:tc>
      </w:tr>
      <w:tr>
        <w:tc>
          <w:tcPr>
            <w:tcW w:w="4872" w:type="dxa"/>
            <w:vAlign w:val="center"/>
          </w:tcPr>
          <w:p>
            <w:pPr>
              <w:spacing w:before="0" w:after="0"/>
              <w:jc w:val="left"/>
            </w:pPr>
            <w:r>
              <w:rPr>
                <w:b/>
                <w:sz w:val="18"/>
                <w:szCs w:val="18"/>
              </w:rPr>
              <w:t xml:space="preserve">Stockholders' equity</w:t>
            </w:r>
          </w:p>
        </w:tc>
        <w:tc>
          <w:tcPr>
            <w:tcW w:w="800" w:type="dxa"/>
            <w:vAlign w:val="center"/>
          </w:tcPr>
          <w:p>
            <w:pPr>
              <w:spacing w:before="0" w:after="0"/>
              <w:jc w:val="left"/>
            </w:pPr>
            <w:r>
              <w:rPr>
                <w:b/>
                <w:sz w:val="18"/>
                <w:szCs w:val="18"/>
              </w:rPr>
              <w:t xml:space="preserve"/>
            </w:r>
          </w:p>
        </w:tc>
        <w:tc>
          <w:tcPr>
            <w:tcW w:w="1700" w:type="dxa"/>
            <w:vAlign w:val="center"/>
          </w:tcPr>
          <w:p>
            <w:pPr>
              <w:spacing w:before="0" w:after="0"/>
              <w:jc w:val="right"/>
            </w:pPr>
            <w:r>
              <w:rPr>
                <w:b/>
                <w:sz w:val="18"/>
                <w:szCs w:val="18"/>
              </w:rPr>
              <w:t xml:space="preserve"/>
            </w:r>
          </w:p>
        </w:tc>
        <w:tc>
          <w:tcPr>
            <w:tcW w:w="1700" w:type="dxa"/>
            <w:vAlign w:val="center"/>
          </w:tcPr>
          <w:p>
            <w:pPr>
              <w:spacing w:before="0" w:after="0"/>
              <w:jc w:val="right"/>
            </w:pPr>
            <w:r>
              <w:rPr>
                <w:b/>
                <w:sz w:val="18"/>
                <w:szCs w:val="18"/>
              </w:rPr>
              <w:t xml:space="preserve"/>
            </w:r>
          </w:p>
        </w:tc>
      </w:tr>
      <w:tr>
        <w:tc>
          <w:tcPr>
            <w:tcW w:w="4872" w:type="dxa"/>
            <w:vAlign w:val="center"/>
          </w:tcPr>
          <w:p>
            <w:pPr>
              <w:spacing w:before="0" w:after="0"/>
              <w:jc w:val="left"/>
            </w:pPr>
            <w:r>
              <w:rPr>
                <w:sz w:val="18"/>
                <w:szCs w:val="18"/>
              </w:rPr>
              <w:t xml:space="preserve">Common stock</w:t>
            </w:r>
          </w:p>
        </w:tc>
        <w:tc>
          <w:tcPr>
            <w:tcW w:w="800" w:type="dxa"/>
            <w:vAlign w:val="center"/>
          </w:tcPr>
          <w:p>
            <w:pPr>
              <w:spacing w:before="0" w:after="0"/>
              <w:jc w:val="left"/>
            </w:pPr>
            <w:r>
              <w:rPr>
                <w:sz w:val="18"/>
                <w:szCs w:val="18"/>
              </w:rPr>
              <w:t xml:space="preserve">16</w:t>
            </w:r>
          </w:p>
        </w:tc>
        <w:tc>
          <w:tcPr>
            <w:tcW w:w="1700" w:type="dxa"/>
            <w:vAlign w:val="center"/>
          </w:tcPr>
          <w:p>
            <w:pPr>
              <w:spacing w:before="0" w:after="0"/>
              <w:jc w:val="right"/>
            </w:pPr>
            <w:r>
              <w:rPr>
                <w:sz w:val="18"/>
                <w:szCs w:val="18"/>
              </w:rPr>
              <w:t xml:space="preserve">334</w:t>
            </w:r>
          </w:p>
        </w:tc>
        <w:tc>
          <w:tcPr>
            <w:tcW w:w="1700" w:type="dxa"/>
            <w:vAlign w:val="center"/>
          </w:tcPr>
          <w:p>
            <w:pPr>
              <w:spacing w:before="0" w:after="0"/>
              <w:jc w:val="right"/>
            </w:pPr>
            <w:r>
              <w:rPr>
                <w:sz w:val="18"/>
                <w:szCs w:val="18"/>
              </w:rPr>
              <w:t xml:space="preserve">345</w:t>
            </w:r>
          </w:p>
        </w:tc>
      </w:tr>
      <w:tr>
        <w:tc>
          <w:tcPr>
            <w:tcW w:w="4872" w:type="dxa"/>
            <w:vAlign w:val="center"/>
          </w:tcPr>
          <w:p>
            <w:pPr>
              <w:spacing w:before="0" w:after="0"/>
              <w:jc w:val="left"/>
            </w:pPr>
            <w:r>
              <w:rPr>
                <w:sz w:val="18"/>
                <w:szCs w:val="18"/>
              </w:rPr>
              <w:t xml:space="preserve">Additional paid-in capital</w:t>
            </w:r>
          </w:p>
        </w:tc>
        <w:tc>
          <w:tcPr>
            <w:tcW w:w="800" w:type="dxa"/>
            <w:vAlign w:val="center"/>
          </w:tcPr>
          <w:p>
            <w:pPr>
              <w:spacing w:before="0" w:after="0"/>
              <w:jc w:val="left"/>
            </w:pPr>
            <w:r>
              <w:rPr>
                <w:sz w:val="18"/>
                <w:szCs w:val="18"/>
              </w:rPr>
              <w:t xml:space="preserve">1</w:t>
            </w:r>
          </w:p>
        </w:tc>
        <w:tc>
          <w:tcPr>
            <w:tcW w:w="1700" w:type="dxa"/>
            <w:vAlign w:val="center"/>
          </w:tcPr>
          <w:p>
            <w:pPr>
              <w:spacing w:before="0" w:after="0"/>
              <w:jc w:val="right"/>
            </w:pPr>
            <w:r>
              <w:rPr>
                <w:sz w:val="18"/>
                <w:szCs w:val="18"/>
              </w:rPr>
              <w:t xml:space="preserve">38,665</w:t>
            </w:r>
          </w:p>
        </w:tc>
        <w:tc>
          <w:tcPr>
            <w:tcW w:w="1700" w:type="dxa"/>
            <w:vAlign w:val="center"/>
          </w:tcPr>
          <w:p>
            <w:pPr>
              <w:spacing w:before="0" w:after="0"/>
              <w:jc w:val="right"/>
            </w:pPr>
            <w:r>
              <w:rPr>
                <w:sz w:val="18"/>
                <w:szCs w:val="18"/>
              </w:rPr>
              <w:t xml:space="preserve">41,978</w:t>
            </w:r>
          </w:p>
        </w:tc>
      </w:tr>
      <w:tr>
        <w:tc>
          <w:tcPr>
            <w:tcW w:w="4872" w:type="dxa"/>
            <w:vAlign w:val="center"/>
          </w:tcPr>
          <w:p>
            <w:pPr>
              <w:spacing w:before="0" w:after="0"/>
              <w:jc w:val="left"/>
            </w:pPr>
            <w:r>
              <w:rPr>
                <w:sz w:val="18"/>
                <w:szCs w:val="18"/>
              </w:rPr>
              <w:t xml:space="preserve">Retained earnings</w:t>
            </w:r>
          </w:p>
        </w:tc>
        <w:tc>
          <w:tcPr>
            <w:tcW w:w="800" w:type="dxa"/>
            <w:vAlign w:val="center"/>
          </w:tcPr>
          <w:p>
            <w:pPr>
              <w:spacing w:before="0" w:after="0"/>
              <w:jc w:val="left"/>
            </w:pPr>
            <w:r>
              <w:rPr>
                <w:sz w:val="18"/>
                <w:szCs w:val="18"/>
              </w:rPr>
              <w:t xml:space="preserve"/>
            </w:r>
          </w:p>
        </w:tc>
        <w:tc>
          <w:tcPr>
            <w:tcW w:w="1700" w:type="dxa"/>
            <w:vAlign w:val="center"/>
          </w:tcPr>
          <w:p>
            <w:pPr>
              <w:spacing w:before="0" w:after="0"/>
              <w:jc w:val="right"/>
            </w:pPr>
            <w:r>
              <w:rPr>
                <w:sz w:val="18"/>
                <w:szCs w:val="18"/>
              </w:rPr>
              <w:t xml:space="preserve">104,530</w:t>
            </w:r>
          </w:p>
        </w:tc>
        <w:tc>
          <w:tcPr>
            <w:tcW w:w="1700" w:type="dxa"/>
            <w:vAlign w:val="center"/>
          </w:tcPr>
          <w:p>
            <w:pPr>
              <w:spacing w:before="0" w:after="0"/>
              <w:jc w:val="right"/>
            </w:pPr>
            <w:r>
              <w:rPr>
                <w:sz w:val="18"/>
                <w:szCs w:val="18"/>
              </w:rPr>
              <w:t xml:space="preserve">114,939</w:t>
            </w:r>
          </w:p>
        </w:tc>
      </w:tr>
      <w:tr>
        <w:tc>
          <w:tcPr>
            <w:tcW w:w="4872" w:type="dxa"/>
            <w:vAlign w:val="center"/>
          </w:tcPr>
          <w:p>
            <w:pPr>
              <w:spacing w:before="0" w:after="0"/>
              <w:jc w:val="left"/>
            </w:pPr>
            <w:r>
              <w:rPr>
                <w:sz w:val="18"/>
                <w:szCs w:val="18"/>
              </w:rPr>
              <w:t xml:space="preserve">Treasury stock, at cost</w:t>
            </w:r>
          </w:p>
        </w:tc>
        <w:tc>
          <w:tcPr>
            <w:tcW w:w="800" w:type="dxa"/>
            <w:vAlign w:val="center"/>
          </w:tcPr>
          <w:p>
            <w:pPr>
              <w:spacing w:before="0" w:after="0"/>
              <w:jc w:val="left"/>
            </w:pPr>
            <w:r>
              <w:rPr>
                <w:sz w:val="18"/>
                <w:szCs w:val="18"/>
              </w:rPr>
              <w:t xml:space="preserve"/>
            </w:r>
          </w:p>
        </w:tc>
        <w:tc>
          <w:tcPr>
            <w:tcW w:w="1700" w:type="dxa"/>
            <w:vAlign w:val="center"/>
          </w:tcPr>
          <w:p>
            <w:pPr>
              <w:spacing w:before="0" w:after="0"/>
              <w:jc w:val="right"/>
            </w:pPr>
            <w:r>
              <w:rPr>
                <w:sz w:val="18"/>
                <w:szCs w:val="18"/>
              </w:rPr>
              <w:t xml:space="preserve">(3,648)</w:t>
            </w:r>
          </w:p>
        </w:tc>
        <w:tc>
          <w:tcPr>
            <w:tcW w:w="1700" w:type="dxa"/>
            <w:vAlign w:val="center"/>
          </w:tcPr>
          <w:p>
            <w:pPr>
              <w:spacing w:before="0" w:after="0"/>
              <w:jc w:val="right"/>
            </w:pPr>
            <w:r>
              <w:rPr>
                <w:sz w:val="18"/>
                <w:szCs w:val="18"/>
              </w:rPr>
              <w:t xml:space="preserve">(3,776)</w:t>
            </w:r>
          </w:p>
        </w:tc>
      </w:tr>
      <w:tr>
        <w:tc>
          <w:tcPr>
            <w:tcW w:w="4872" w:type="dxa"/>
            <w:vAlign w:val="center"/>
          </w:tcPr>
          <w:p>
            <w:pPr>
              <w:spacing w:before="0" w:after="0"/>
              <w:jc w:val="left"/>
            </w:pPr>
            <w:r>
              <w:rPr>
                <w:sz w:val="18"/>
                <w:szCs w:val="18"/>
              </w:rPr>
              <w:t xml:space="preserve">Accumulated other comprehensive income (loss)</w:t>
            </w:r>
          </w:p>
        </w:tc>
        <w:tc>
          <w:tcPr>
            <w:tcW w:w="800" w:type="dxa"/>
            <w:vAlign w:val="center"/>
          </w:tcPr>
          <w:p>
            <w:pPr>
              <w:spacing w:before="0" w:after="0"/>
              <w:jc w:val="left"/>
            </w:pPr>
            <w:r>
              <w:rPr>
                <w:sz w:val="18"/>
                <w:szCs w:val="18"/>
              </w:rPr>
              <w:t xml:space="preserve"/>
            </w:r>
          </w:p>
        </w:tc>
        <w:tc>
          <w:tcPr>
            <w:tcW w:w="1700" w:type="dxa"/>
            <w:vAlign w:val="center"/>
          </w:tcPr>
          <w:p>
            <w:pPr>
              <w:spacing w:before="0" w:after="0"/>
              <w:jc w:val="right"/>
            </w:pPr>
            <w:r>
              <w:rPr>
                <w:sz w:val="18"/>
                <w:szCs w:val="18"/>
              </w:rPr>
              <w:t xml:space="preserve">(908)</w:t>
            </w:r>
          </w:p>
        </w:tc>
        <w:tc>
          <w:tcPr>
            <w:tcW w:w="1700" w:type="dxa"/>
            <w:vAlign w:val="center"/>
          </w:tcPr>
          <w:p>
            <w:pPr>
              <w:spacing w:before="0" w:after="0"/>
              <w:jc w:val="right"/>
            </w:pPr>
            <w:r>
              <w:rPr>
                <w:sz w:val="18"/>
                <w:szCs w:val="18"/>
              </w:rPr>
              <w:t xml:space="preserve">(1,180)</w:t>
            </w:r>
          </w:p>
        </w:tc>
      </w:tr>
      <w:tr>
        <w:tc>
          <w:tcPr>
            <w:tcW w:w="4872" w:type="dxa"/>
            <w:vAlign w:val="center"/>
          </w:tcPr>
          <w:p>
            <w:pPr>
              <w:spacing w:before="0" w:after="0"/>
              <w:jc w:val="left"/>
            </w:pPr>
            <w:r>
              <w:rPr>
                <w:b/>
                <w:sz w:val="18"/>
                <w:szCs w:val="18"/>
              </w:rPr>
              <w:t xml:space="preserve">Total stockholders' equity</w:t>
            </w:r>
          </w:p>
        </w:tc>
        <w:tc>
          <w:tcPr>
            <w:tcW w:w="800" w:type="dxa"/>
            <w:vAlign w:val="center"/>
          </w:tcPr>
          <w:p>
            <w:pPr>
              <w:spacing w:before="0" w:after="0"/>
              <w:jc w:val="left"/>
            </w:pPr>
            <w:r>
              <w:rPr>
                <w:b/>
                <w:sz w:val="18"/>
                <w:szCs w:val="18"/>
              </w:rPr>
              <w:t xml:space="preserve"/>
            </w:r>
          </w:p>
        </w:tc>
        <w:tc>
          <w:tcPr>
            <w:tcW w:w="1700" w:type="dxa"/>
            <w:vAlign w:val="center"/>
          </w:tcPr>
          <w:p>
            <w:pPr>
              <w:spacing w:before="0" w:after="0"/>
              <w:jc w:val="right"/>
            </w:pPr>
            <w:r>
              <w:rPr>
                <w:b/>
                <w:sz w:val="18"/>
                <w:szCs w:val="18"/>
              </w:rPr>
              <w:t xml:space="preserve">138,973</w:t>
            </w:r>
          </w:p>
        </w:tc>
        <w:tc>
          <w:tcPr>
            <w:tcW w:w="1700" w:type="dxa"/>
            <w:vAlign w:val="center"/>
          </w:tcPr>
          <w:p>
            <w:pPr>
              <w:spacing w:before="0" w:after="0"/>
              <w:jc w:val="right"/>
            </w:pPr>
            <w:r>
              <w:rPr>
                <w:b/>
                <w:sz w:val="18"/>
                <w:szCs w:val="18"/>
              </w:rPr>
              <w:t xml:space="preserve">152,306</w:t>
            </w:r>
          </w:p>
        </w:tc>
      </w:tr>
      <w:tr>
        <w:tc>
          <w:tcPr>
            <w:tcW w:w="4872" w:type="dxa"/>
            <w:vAlign w:val="center"/>
          </w:tcPr>
          <w:p>
            <w:pPr>
              <w:spacing w:before="0" w:after="0"/>
              <w:jc w:val="left"/>
            </w:pPr>
            <w:r>
              <w:rPr>
                <w:b/>
                <w:sz w:val="18"/>
                <w:szCs w:val="18"/>
              </w:rPr>
              <w:t xml:space="preserve">Total liabilities and stockholders' equity</w:t>
            </w:r>
          </w:p>
        </w:tc>
        <w:tc>
          <w:tcPr>
            <w:tcW w:w="800" w:type="dxa"/>
            <w:vAlign w:val="center"/>
          </w:tcPr>
          <w:p>
            <w:pPr>
              <w:spacing w:before="0" w:after="0"/>
              <w:jc w:val="left"/>
            </w:pPr>
            <w:r>
              <w:rPr>
                <w:b/>
                <w:sz w:val="18"/>
                <w:szCs w:val="18"/>
              </w:rPr>
              <w:t xml:space="preserve"/>
            </w:r>
          </w:p>
        </w:tc>
        <w:tc>
          <w:tcPr>
            <w:tcW w:w="1700" w:type="dxa"/>
            <w:vAlign w:val="center"/>
          </w:tcPr>
          <w:p>
            <w:pPr>
              <w:spacing w:before="0" w:after="0"/>
              <w:jc w:val="right"/>
            </w:pPr>
            <w:r>
              <w:rPr>
                <w:b/>
                <w:sz w:val="18"/>
                <w:szCs w:val="18"/>
              </w:rPr>
              <w:t xml:space="preserve">336,198</w:t>
            </w:r>
          </w:p>
        </w:tc>
        <w:tc>
          <w:tcPr>
            <w:tcW w:w="1700" w:type="dxa"/>
            <w:vAlign w:val="center"/>
          </w:tcPr>
          <w:p>
            <w:pPr>
              <w:spacing w:before="0" w:after="0"/>
              <w:jc w:val="right"/>
            </w:pPr>
            <w:r>
              <w:rPr>
                <w:b/>
                <w:sz w:val="18"/>
                <w:szCs w:val="18"/>
              </w:rPr>
              <w:t xml:space="preserve">364,887</w:t>
            </w:r>
          </w:p>
        </w:tc>
      </w:tr>
    </w:tbl>
    <w:p>
      <w:pPr/>
    </w:p>
    <w:p>
      <w:r>
        <w:br w:type="page"/>
      </w:r>
    </w:p>
    <w:p>
      <w:pPr>
        <w:pStyle w:val="Heading3"/>
        <w:keepNext/>
      </w:pPr>
      <w:r>
        <w:t xml:space="preserve">Statements of Income</w:t>
      </w:r>
    </w:p>
    <w:p>
      <w:pPr>
        <w:jc w:val="right"/>
      </w:pPr>
      <w:r>
        <w:rPr>
          <w:sz w:val="18"/>
          <w:szCs w:val="18"/>
        </w:rPr>
        <w:t xml:space="preserve">(In thousands of U.S. dollars)</w:t>
      </w:r>
    </w:p>
    <w:tbl>
      <w:tblPr>
        <w:tblW w:w="907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72" w:type="dxa"/>
          <w:right w:w="72" w:type="dxa"/>
        </w:tblCellMar>
      </w:tblPr>
      <w:tblGrid>
        <w:gridCol w:w="4872"/>
        <w:gridCol w:w="800"/>
        <w:gridCol w:w="1700"/>
        <w:gridCol w:w="1700"/>
      </w:tblGrid>
      <w:tr>
        <w:trPr>
          <w:tblHeader/>
        </w:trPr>
        <w:tc>
          <w:tcPr>
            <w:tcW w:w="4872" w:type="dxa"/>
            <w:shd w:val="clear" w:color="auto" w:fill="DDEBF7"/>
            <w:vAlign w:val="center"/>
          </w:tcPr>
          <w:p>
            <w:pPr>
              <w:spacing w:before="0" w:after="0"/>
              <w:jc w:val="center"/>
            </w:pPr>
            <w:r>
              <w:rPr>
                <w:b/>
                <w:sz w:val="18"/>
                <w:szCs w:val="18"/>
              </w:rPr>
              <w:t xml:space="preserve"/>
            </w:r>
          </w:p>
        </w:tc>
        <w:tc>
          <w:tcPr>
            <w:tcW w:w="800" w:type="dxa"/>
            <w:shd w:val="clear" w:color="auto" w:fill="DDEBF7"/>
            <w:vAlign w:val="center"/>
          </w:tcPr>
          <w:p>
            <w:pPr>
              <w:spacing w:before="0" w:after="0"/>
              <w:jc w:val="center"/>
            </w:pPr>
            <w:r>
              <w:rPr>
                <w:b/>
                <w:sz w:val="18"/>
                <w:szCs w:val="18"/>
              </w:rPr>
              <w:t xml:space="preserve">Note</w:t>
            </w:r>
          </w:p>
        </w:tc>
        <w:tc>
          <w:tcPr>
            <w:tcW w:w="1700" w:type="dxa"/>
            <w:shd w:val="clear" w:color="auto" w:fill="DDEBF7"/>
            <w:vAlign w:val="center"/>
          </w:tcPr>
          <w:p>
            <w:pPr>
              <w:spacing w:before="0" w:after="0"/>
              <w:jc w:val="center"/>
            </w:pPr>
            <w:r>
              <w:rPr>
                <w:b/>
                <w:sz w:val="18"/>
                <w:szCs w:val="18"/>
              </w:rPr>
              <w:t xml:space="preserve">FY2024</w:t>
            </w:r>
          </w:p>
        </w:tc>
        <w:tc>
          <w:tcPr>
            <w:tcW w:w="1700" w:type="dxa"/>
            <w:shd w:val="clear" w:color="auto" w:fill="DDEBF7"/>
            <w:vAlign w:val="center"/>
          </w:tcPr>
          <w:p>
            <w:pPr>
              <w:spacing w:before="0" w:after="0"/>
              <w:jc w:val="center"/>
            </w:pPr>
            <w:r>
              <w:rPr>
                <w:b/>
                <w:sz w:val="18"/>
                <w:szCs w:val="18"/>
              </w:rPr>
              <w:t xml:space="preserve">FY2025</w:t>
            </w:r>
          </w:p>
        </w:tc>
      </w:tr>
      <w:tr>
        <w:tc>
          <w:tcPr>
            <w:tcW w:w="4872" w:type="dxa"/>
            <w:vAlign w:val="center"/>
          </w:tcPr>
          <w:p>
            <w:pPr>
              <w:spacing w:before="0" w:after="0"/>
              <w:jc w:val="left"/>
            </w:pPr>
            <w:r>
              <w:rPr>
                <w:b/>
                <w:sz w:val="18"/>
                <w:szCs w:val="18"/>
              </w:rPr>
              <w:t xml:space="preserve">Revenue</w:t>
            </w:r>
          </w:p>
        </w:tc>
        <w:tc>
          <w:tcPr>
            <w:tcW w:w="800" w:type="dxa"/>
            <w:vAlign w:val="center"/>
          </w:tcPr>
          <w:p>
            <w:pPr>
              <w:spacing w:before="0" w:after="0"/>
              <w:jc w:val="left"/>
            </w:pPr>
            <w:r>
              <w:rPr>
                <w:b/>
                <w:sz w:val="18"/>
                <w:szCs w:val="18"/>
              </w:rPr>
              <w:t xml:space="preserve"/>
            </w:r>
          </w:p>
        </w:tc>
        <w:tc>
          <w:tcPr>
            <w:tcW w:w="1700" w:type="dxa"/>
            <w:vAlign w:val="center"/>
          </w:tcPr>
          <w:p>
            <w:pPr>
              <w:spacing w:before="0" w:after="0"/>
              <w:jc w:val="right"/>
            </w:pPr>
            <w:r>
              <w:rPr>
                <w:b/>
                <w:sz w:val="18"/>
                <w:szCs w:val="18"/>
              </w:rPr>
              <w:t xml:space="preserve"/>
            </w:r>
          </w:p>
        </w:tc>
        <w:tc>
          <w:tcPr>
            <w:tcW w:w="1700" w:type="dxa"/>
            <w:vAlign w:val="center"/>
          </w:tcPr>
          <w:p>
            <w:pPr>
              <w:spacing w:before="0" w:after="0"/>
              <w:jc w:val="right"/>
            </w:pPr>
            <w:r>
              <w:rPr>
                <w:b/>
                <w:sz w:val="18"/>
                <w:szCs w:val="18"/>
              </w:rPr>
              <w:t xml:space="preserve"/>
            </w:r>
          </w:p>
        </w:tc>
      </w:tr>
      <w:tr>
        <w:tc>
          <w:tcPr>
            <w:tcW w:w="4872" w:type="dxa"/>
            <w:vAlign w:val="center"/>
          </w:tcPr>
          <w:p>
            <w:pPr>
              <w:spacing w:before="0" w:after="0"/>
              <w:jc w:val="left"/>
            </w:pPr>
            <w:r>
              <w:rPr>
                <w:sz w:val="18"/>
                <w:szCs w:val="18"/>
              </w:rPr>
              <w:t xml:space="preserve">Company-operated stores</w:t>
            </w:r>
          </w:p>
        </w:tc>
        <w:tc>
          <w:tcPr>
            <w:tcW w:w="800" w:type="dxa"/>
            <w:vAlign w:val="center"/>
          </w:tcPr>
          <w:p>
            <w:pPr>
              <w:spacing w:before="0" w:after="0"/>
              <w:jc w:val="left"/>
            </w:pPr>
            <w:r>
              <w:rPr>
                <w:sz w:val="18"/>
                <w:szCs w:val="18"/>
              </w:rPr>
              <w:t xml:space="preserve"/>
            </w:r>
          </w:p>
        </w:tc>
        <w:tc>
          <w:tcPr>
            <w:tcW w:w="1700" w:type="dxa"/>
            <w:vAlign w:val="center"/>
          </w:tcPr>
          <w:p>
            <w:pPr>
              <w:spacing w:before="0" w:after="0"/>
              <w:jc w:val="right"/>
            </w:pPr>
            <w:r>
              <w:rPr>
                <w:sz w:val="18"/>
                <w:szCs w:val="18"/>
              </w:rPr>
              <w:t xml:space="preserve">197,144</w:t>
            </w:r>
          </w:p>
        </w:tc>
        <w:tc>
          <w:tcPr>
            <w:tcW w:w="1700" w:type="dxa"/>
            <w:vAlign w:val="center"/>
          </w:tcPr>
          <w:p>
            <w:pPr>
              <w:spacing w:before="0" w:after="0"/>
              <w:jc w:val="right"/>
            </w:pPr>
            <w:r>
              <w:rPr>
                <w:sz w:val="18"/>
                <w:szCs w:val="18"/>
              </w:rPr>
              <w:t xml:space="preserve">224,544</w:t>
            </w:r>
          </w:p>
        </w:tc>
      </w:tr>
      <w:tr>
        <w:tc>
          <w:tcPr>
            <w:tcW w:w="4872" w:type="dxa"/>
            <w:vAlign w:val="center"/>
          </w:tcPr>
          <w:p>
            <w:pPr>
              <w:spacing w:before="0" w:after="0"/>
              <w:jc w:val="left"/>
            </w:pPr>
            <w:r>
              <w:rPr>
                <w:sz w:val="18"/>
                <w:szCs w:val="18"/>
              </w:rPr>
              <w:t xml:space="preserve">Online store</w:t>
            </w:r>
          </w:p>
        </w:tc>
        <w:tc>
          <w:tcPr>
            <w:tcW w:w="800" w:type="dxa"/>
            <w:vAlign w:val="center"/>
          </w:tcPr>
          <w:p>
            <w:pPr>
              <w:spacing w:before="0" w:after="0"/>
              <w:jc w:val="left"/>
            </w:pPr>
            <w:r>
              <w:rPr>
                <w:sz w:val="18"/>
                <w:szCs w:val="18"/>
              </w:rPr>
              <w:t xml:space="preserve"/>
            </w:r>
          </w:p>
        </w:tc>
        <w:tc>
          <w:tcPr>
            <w:tcW w:w="1700" w:type="dxa"/>
            <w:vAlign w:val="center"/>
          </w:tcPr>
          <w:p>
            <w:pPr>
              <w:spacing w:before="0" w:after="0"/>
              <w:jc w:val="right"/>
            </w:pPr>
            <w:r>
              <w:rPr>
                <w:sz w:val="18"/>
                <w:szCs w:val="18"/>
              </w:rPr>
              <w:t xml:space="preserve">26,105</w:t>
            </w:r>
          </w:p>
        </w:tc>
        <w:tc>
          <w:tcPr>
            <w:tcW w:w="1700" w:type="dxa"/>
            <w:vAlign w:val="center"/>
          </w:tcPr>
          <w:p>
            <w:pPr>
              <w:spacing w:before="0" w:after="0"/>
              <w:jc w:val="right"/>
            </w:pPr>
            <w:r>
              <w:rPr>
                <w:sz w:val="18"/>
                <w:szCs w:val="18"/>
              </w:rPr>
              <w:t xml:space="preserve">30,486</w:t>
            </w:r>
          </w:p>
        </w:tc>
      </w:tr>
      <w:tr>
        <w:tc>
          <w:tcPr>
            <w:tcW w:w="4872" w:type="dxa"/>
            <w:vAlign w:val="center"/>
          </w:tcPr>
          <w:p>
            <w:pPr>
              <w:spacing w:before="0" w:after="0"/>
              <w:jc w:val="left"/>
            </w:pPr>
            <w:r>
              <w:rPr>
                <w:sz w:val="18"/>
                <w:szCs w:val="18"/>
              </w:rPr>
              <w:t xml:space="preserve">Wholesale</w:t>
            </w:r>
          </w:p>
        </w:tc>
        <w:tc>
          <w:tcPr>
            <w:tcW w:w="800" w:type="dxa"/>
            <w:vAlign w:val="center"/>
          </w:tcPr>
          <w:p>
            <w:pPr>
              <w:spacing w:before="0" w:after="0"/>
              <w:jc w:val="left"/>
            </w:pPr>
            <w:r>
              <w:rPr>
                <w:sz w:val="18"/>
                <w:szCs w:val="18"/>
              </w:rPr>
              <w:t xml:space="preserve">9</w:t>
            </w:r>
          </w:p>
        </w:tc>
        <w:tc>
          <w:tcPr>
            <w:tcW w:w="1700" w:type="dxa"/>
            <w:vAlign w:val="center"/>
          </w:tcPr>
          <w:p>
            <w:pPr>
              <w:spacing w:before="0" w:after="0"/>
              <w:jc w:val="right"/>
            </w:pPr>
            <w:r>
              <w:rPr>
                <w:sz w:val="18"/>
                <w:szCs w:val="18"/>
              </w:rPr>
              <w:t xml:space="preserve">13,500</w:t>
            </w:r>
          </w:p>
        </w:tc>
        <w:tc>
          <w:tcPr>
            <w:tcW w:w="1700" w:type="dxa"/>
            <w:vAlign w:val="center"/>
          </w:tcPr>
          <w:p>
            <w:pPr>
              <w:spacing w:before="0" w:after="0"/>
              <w:jc w:val="right"/>
            </w:pPr>
            <w:r>
              <w:rPr>
                <w:sz w:val="18"/>
                <w:szCs w:val="18"/>
              </w:rPr>
              <w:t xml:space="preserve">16,970</w:t>
            </w:r>
          </w:p>
        </w:tc>
      </w:tr>
      <w:tr>
        <w:tc>
          <w:tcPr>
            <w:tcW w:w="4872" w:type="dxa"/>
            <w:vAlign w:val="center"/>
          </w:tcPr>
          <w:p>
            <w:pPr>
              <w:spacing w:before="0" w:after="0"/>
              <w:jc w:val="left"/>
            </w:pPr>
            <w:r>
              <w:rPr>
                <w:b/>
                <w:sz w:val="18"/>
                <w:szCs w:val="18"/>
              </w:rPr>
              <w:t xml:space="preserve">Total revenue</w:t>
            </w:r>
          </w:p>
        </w:tc>
        <w:tc>
          <w:tcPr>
            <w:tcW w:w="800" w:type="dxa"/>
            <w:vAlign w:val="center"/>
          </w:tcPr>
          <w:p>
            <w:pPr>
              <w:spacing w:before="0" w:after="0"/>
              <w:jc w:val="left"/>
            </w:pPr>
            <w:r>
              <w:rPr>
                <w:b/>
                <w:sz w:val="18"/>
                <w:szCs w:val="18"/>
              </w:rPr>
              <w:t xml:space="preserve"/>
            </w:r>
          </w:p>
        </w:tc>
        <w:tc>
          <w:tcPr>
            <w:tcW w:w="1700" w:type="dxa"/>
            <w:vAlign w:val="center"/>
          </w:tcPr>
          <w:p>
            <w:pPr>
              <w:spacing w:before="0" w:after="0"/>
              <w:jc w:val="right"/>
            </w:pPr>
            <w:r>
              <w:rPr>
                <w:b/>
                <w:sz w:val="18"/>
                <w:szCs w:val="18"/>
              </w:rPr>
              <w:t xml:space="preserve">236,749</w:t>
            </w:r>
          </w:p>
        </w:tc>
        <w:tc>
          <w:tcPr>
            <w:tcW w:w="1700" w:type="dxa"/>
            <w:vAlign w:val="center"/>
          </w:tcPr>
          <w:p>
            <w:pPr>
              <w:spacing w:before="0" w:after="0"/>
              <w:jc w:val="right"/>
            </w:pPr>
            <w:r>
              <w:rPr>
                <w:b/>
                <w:sz w:val="18"/>
                <w:szCs w:val="18"/>
              </w:rPr>
              <w:t xml:space="preserve">272,000</w:t>
            </w:r>
          </w:p>
        </w:tc>
      </w:tr>
      <w:tr>
        <w:tc>
          <w:tcPr>
            <w:tcW w:w="4872" w:type="dxa"/>
            <w:vAlign w:val="center"/>
          </w:tcPr>
          <w:p>
            <w:pPr>
              <w:spacing w:before="0" w:after="0"/>
              <w:jc w:val="left"/>
            </w:pPr>
            <w:r>
              <w:rPr>
                <w:b/>
                <w:sz w:val="18"/>
                <w:szCs w:val="18"/>
              </w:rPr>
              <w:t xml:space="preserve">Operating expenses</w:t>
            </w:r>
          </w:p>
        </w:tc>
        <w:tc>
          <w:tcPr>
            <w:tcW w:w="800" w:type="dxa"/>
            <w:vAlign w:val="center"/>
          </w:tcPr>
          <w:p>
            <w:pPr>
              <w:spacing w:before="0" w:after="0"/>
              <w:jc w:val="left"/>
            </w:pPr>
            <w:r>
              <w:rPr>
                <w:b/>
                <w:sz w:val="18"/>
                <w:szCs w:val="18"/>
              </w:rPr>
              <w:t xml:space="preserve"/>
            </w:r>
          </w:p>
        </w:tc>
        <w:tc>
          <w:tcPr>
            <w:tcW w:w="1700" w:type="dxa"/>
            <w:vAlign w:val="center"/>
          </w:tcPr>
          <w:p>
            <w:pPr>
              <w:spacing w:before="0" w:after="0"/>
              <w:jc w:val="right"/>
            </w:pPr>
            <w:r>
              <w:rPr>
                <w:b/>
                <w:sz w:val="18"/>
                <w:szCs w:val="18"/>
              </w:rPr>
              <w:t xml:space="preserve"/>
            </w:r>
          </w:p>
        </w:tc>
        <w:tc>
          <w:tcPr>
            <w:tcW w:w="1700" w:type="dxa"/>
            <w:vAlign w:val="center"/>
          </w:tcPr>
          <w:p>
            <w:pPr>
              <w:spacing w:before="0" w:after="0"/>
              <w:jc w:val="right"/>
            </w:pPr>
            <w:r>
              <w:rPr>
                <w:b/>
                <w:sz w:val="18"/>
                <w:szCs w:val="18"/>
              </w:rPr>
              <w:t xml:space="preserve"/>
            </w:r>
          </w:p>
        </w:tc>
      </w:tr>
      <w:tr>
        <w:tc>
          <w:tcPr>
            <w:tcW w:w="4872" w:type="dxa"/>
            <w:vAlign w:val="center"/>
          </w:tcPr>
          <w:p>
            <w:pPr>
              <w:spacing w:before="0" w:after="0"/>
              <w:jc w:val="left"/>
            </w:pPr>
            <w:r>
              <w:rPr>
                <w:sz w:val="18"/>
                <w:szCs w:val="18"/>
              </w:rPr>
              <w:t xml:space="preserve">Product and distribution costs</w:t>
            </w:r>
          </w:p>
        </w:tc>
        <w:tc>
          <w:tcPr>
            <w:tcW w:w="800" w:type="dxa"/>
            <w:vAlign w:val="center"/>
          </w:tcPr>
          <w:p>
            <w:pPr>
              <w:spacing w:before="0" w:after="0"/>
              <w:jc w:val="left"/>
            </w:pPr>
            <w:r>
              <w:rPr>
                <w:sz w:val="18"/>
                <w:szCs w:val="18"/>
              </w:rPr>
              <w:t xml:space="preserve"/>
            </w:r>
          </w:p>
        </w:tc>
        <w:tc>
          <w:tcPr>
            <w:tcW w:w="1700" w:type="dxa"/>
            <w:vAlign w:val="center"/>
          </w:tcPr>
          <w:p>
            <w:pPr>
              <w:spacing w:before="0" w:after="0"/>
              <w:jc w:val="right"/>
            </w:pPr>
            <w:r>
              <w:rPr>
                <w:sz w:val="18"/>
                <w:szCs w:val="18"/>
              </w:rPr>
              <w:t xml:space="preserve">69,779</w:t>
            </w:r>
          </w:p>
        </w:tc>
        <w:tc>
          <w:tcPr>
            <w:tcW w:w="1700" w:type="dxa"/>
            <w:vAlign w:val="center"/>
          </w:tcPr>
          <w:p>
            <w:pPr>
              <w:spacing w:before="0" w:after="0"/>
              <w:jc w:val="right"/>
            </w:pPr>
            <w:r>
              <w:rPr>
                <w:sz w:val="18"/>
                <w:szCs w:val="18"/>
              </w:rPr>
              <w:t xml:space="preserve">79,552</w:t>
            </w:r>
          </w:p>
        </w:tc>
      </w:tr>
      <w:tr>
        <w:tc>
          <w:tcPr>
            <w:tcW w:w="4872" w:type="dxa"/>
            <w:vAlign w:val="center"/>
          </w:tcPr>
          <w:p>
            <w:pPr>
              <w:spacing w:before="0" w:after="0"/>
              <w:jc w:val="left"/>
            </w:pPr>
            <w:r>
              <w:rPr>
                <w:sz w:val="18"/>
                <w:szCs w:val="18"/>
              </w:rPr>
              <w:t xml:space="preserve">Store operating expenses</w:t>
            </w:r>
          </w:p>
        </w:tc>
        <w:tc>
          <w:tcPr>
            <w:tcW w:w="800" w:type="dxa"/>
            <w:vAlign w:val="center"/>
          </w:tcPr>
          <w:p>
            <w:pPr>
              <w:spacing w:before="0" w:after="0"/>
              <w:jc w:val="left"/>
            </w:pPr>
            <w:r>
              <w:rPr>
                <w:sz w:val="18"/>
                <w:szCs w:val="18"/>
              </w:rPr>
              <w:t xml:space="preserve">8</w:t>
            </w:r>
          </w:p>
        </w:tc>
        <w:tc>
          <w:tcPr>
            <w:tcW w:w="1700" w:type="dxa"/>
            <w:vAlign w:val="center"/>
          </w:tcPr>
          <w:p>
            <w:pPr>
              <w:spacing w:before="0" w:after="0"/>
              <w:jc w:val="right"/>
            </w:pPr>
            <w:r>
              <w:rPr>
                <w:sz w:val="18"/>
                <w:szCs w:val="18"/>
              </w:rPr>
              <w:t xml:space="preserve">80,222</w:t>
            </w:r>
          </w:p>
        </w:tc>
        <w:tc>
          <w:tcPr>
            <w:tcW w:w="1700" w:type="dxa"/>
            <w:vAlign w:val="center"/>
          </w:tcPr>
          <w:p>
            <w:pPr>
              <w:spacing w:before="0" w:after="0"/>
              <w:jc w:val="right"/>
            </w:pPr>
            <w:r>
              <w:rPr>
                <w:sz w:val="18"/>
                <w:szCs w:val="18"/>
              </w:rPr>
              <w:t xml:space="preserve">94,594</w:t>
            </w:r>
          </w:p>
        </w:tc>
      </w:tr>
      <w:tr>
        <w:tc>
          <w:tcPr>
            <w:tcW w:w="4872" w:type="dxa"/>
            <w:vAlign w:val="center"/>
          </w:tcPr>
          <w:p>
            <w:pPr>
              <w:spacing w:before="0" w:after="0"/>
              <w:jc w:val="left"/>
            </w:pPr>
            <w:r>
              <w:rPr>
                <w:sz w:val="18"/>
                <w:szCs w:val="18"/>
              </w:rPr>
              <w:t xml:space="preserve">Occupancy costs</w:t>
            </w:r>
          </w:p>
        </w:tc>
        <w:tc>
          <w:tcPr>
            <w:tcW w:w="800" w:type="dxa"/>
            <w:vAlign w:val="center"/>
          </w:tcPr>
          <w:p>
            <w:pPr>
              <w:spacing w:before="0" w:after="0"/>
              <w:jc w:val="left"/>
            </w:pPr>
            <w:r>
              <w:rPr>
                <w:sz w:val="18"/>
                <w:szCs w:val="18"/>
              </w:rPr>
              <w:t xml:space="preserve">5</w:t>
            </w:r>
          </w:p>
        </w:tc>
        <w:tc>
          <w:tcPr>
            <w:tcW w:w="1700" w:type="dxa"/>
            <w:vAlign w:val="center"/>
          </w:tcPr>
          <w:p>
            <w:pPr>
              <w:spacing w:before="0" w:after="0"/>
              <w:jc w:val="right"/>
            </w:pPr>
            <w:r>
              <w:rPr>
                <w:sz w:val="18"/>
                <w:szCs w:val="18"/>
              </w:rPr>
              <w:t xml:space="preserve">27,760</w:t>
            </w:r>
          </w:p>
        </w:tc>
        <w:tc>
          <w:tcPr>
            <w:tcW w:w="1700" w:type="dxa"/>
            <w:vAlign w:val="center"/>
          </w:tcPr>
          <w:p>
            <w:pPr>
              <w:spacing w:before="0" w:after="0"/>
              <w:jc w:val="right"/>
            </w:pPr>
            <w:r>
              <w:rPr>
                <w:sz w:val="18"/>
                <w:szCs w:val="18"/>
              </w:rPr>
              <w:t xml:space="preserve">30,966</w:t>
            </w:r>
          </w:p>
        </w:tc>
      </w:tr>
      <w:tr>
        <w:tc>
          <w:tcPr>
            <w:tcW w:w="4872" w:type="dxa"/>
            <w:vAlign w:val="center"/>
          </w:tcPr>
          <w:p>
            <w:pPr>
              <w:spacing w:before="0" w:after="0"/>
              <w:jc w:val="left"/>
            </w:pPr>
            <w:r>
              <w:rPr>
                <w:sz w:val="18"/>
                <w:szCs w:val="18"/>
              </w:rPr>
              <w:t xml:space="preserve">Depreciation and amortization</w:t>
            </w:r>
          </w:p>
        </w:tc>
        <w:tc>
          <w:tcPr>
            <w:tcW w:w="800" w:type="dxa"/>
            <w:vAlign w:val="center"/>
          </w:tcPr>
          <w:p>
            <w:pPr>
              <w:spacing w:before="0" w:after="0"/>
              <w:jc w:val="left"/>
            </w:pPr>
            <w:r>
              <w:rPr>
                <w:sz w:val="18"/>
                <w:szCs w:val="18"/>
              </w:rPr>
              <w:t xml:space="preserve"/>
            </w:r>
          </w:p>
        </w:tc>
        <w:tc>
          <w:tcPr>
            <w:tcW w:w="1700" w:type="dxa"/>
            <w:vAlign w:val="center"/>
          </w:tcPr>
          <w:p>
            <w:pPr>
              <w:spacing w:before="0" w:after="0"/>
              <w:jc w:val="right"/>
            </w:pPr>
            <w:r>
              <w:rPr>
                <w:sz w:val="18"/>
                <w:szCs w:val="18"/>
              </w:rPr>
              <w:t xml:space="preserve">11,954</w:t>
            </w:r>
          </w:p>
        </w:tc>
        <w:tc>
          <w:tcPr>
            <w:tcW w:w="1700" w:type="dxa"/>
            <w:vAlign w:val="center"/>
          </w:tcPr>
          <w:p>
            <w:pPr>
              <w:spacing w:before="0" w:after="0"/>
              <w:jc w:val="right"/>
            </w:pPr>
            <w:r>
              <w:rPr>
                <w:sz w:val="18"/>
                <w:szCs w:val="18"/>
              </w:rPr>
              <w:t xml:space="preserve">14,954</w:t>
            </w:r>
          </w:p>
        </w:tc>
      </w:tr>
      <w:tr>
        <w:tc>
          <w:tcPr>
            <w:tcW w:w="4872" w:type="dxa"/>
            <w:vAlign w:val="center"/>
          </w:tcPr>
          <w:p>
            <w:pPr>
              <w:spacing w:before="0" w:after="0"/>
              <w:jc w:val="left"/>
            </w:pPr>
            <w:r>
              <w:rPr>
                <w:sz w:val="18"/>
                <w:szCs w:val="18"/>
              </w:rPr>
              <w:t xml:space="preserve">General and administrative expenses</w:t>
            </w:r>
          </w:p>
        </w:tc>
        <w:tc>
          <w:tcPr>
            <w:tcW w:w="800" w:type="dxa"/>
            <w:vAlign w:val="center"/>
          </w:tcPr>
          <w:p>
            <w:pPr>
              <w:spacing w:before="0" w:after="0"/>
              <w:jc w:val="left"/>
            </w:pPr>
            <w:r>
              <w:rPr>
                <w:sz w:val="18"/>
                <w:szCs w:val="18"/>
              </w:rPr>
              <w:t xml:space="preserve"/>
            </w:r>
          </w:p>
        </w:tc>
        <w:tc>
          <w:tcPr>
            <w:tcW w:w="1700" w:type="dxa"/>
            <w:vAlign w:val="center"/>
          </w:tcPr>
          <w:p>
            <w:pPr>
              <w:spacing w:before="0" w:after="0"/>
              <w:jc w:val="right"/>
            </w:pPr>
            <w:r>
              <w:rPr>
                <w:sz w:val="18"/>
                <w:szCs w:val="18"/>
              </w:rPr>
              <w:t xml:space="preserve">16,463</w:t>
            </w:r>
          </w:p>
        </w:tc>
        <w:tc>
          <w:tcPr>
            <w:tcW w:w="1700" w:type="dxa"/>
            <w:vAlign w:val="center"/>
          </w:tcPr>
          <w:p>
            <w:pPr>
              <w:spacing w:before="0" w:after="0"/>
              <w:jc w:val="right"/>
            </w:pPr>
            <w:r>
              <w:rPr>
                <w:sz w:val="18"/>
                <w:szCs w:val="18"/>
              </w:rPr>
              <w:t xml:space="preserve">17,544</w:t>
            </w:r>
          </w:p>
        </w:tc>
      </w:tr>
      <w:tr>
        <w:tc>
          <w:tcPr>
            <w:tcW w:w="4872" w:type="dxa"/>
            <w:vAlign w:val="center"/>
          </w:tcPr>
          <w:p>
            <w:pPr>
              <w:spacing w:before="0" w:after="0"/>
              <w:jc w:val="left"/>
            </w:pPr>
            <w:r>
              <w:rPr>
                <w:sz w:val="18"/>
                <w:szCs w:val="18"/>
              </w:rPr>
              <w:t xml:space="preserve">Store opening expenses</w:t>
            </w:r>
          </w:p>
        </w:tc>
        <w:tc>
          <w:tcPr>
            <w:tcW w:w="800" w:type="dxa"/>
            <w:vAlign w:val="center"/>
          </w:tcPr>
          <w:p>
            <w:pPr>
              <w:spacing w:before="0" w:after="0"/>
              <w:jc w:val="left"/>
            </w:pPr>
            <w:r>
              <w:rPr>
                <w:sz w:val="18"/>
                <w:szCs w:val="18"/>
              </w:rPr>
              <w:t xml:space="preserve"/>
            </w:r>
          </w:p>
        </w:tc>
        <w:tc>
          <w:tcPr>
            <w:tcW w:w="1700" w:type="dxa"/>
            <w:vAlign w:val="center"/>
          </w:tcPr>
          <w:p>
            <w:pPr>
              <w:spacing w:before="0" w:after="0"/>
              <w:jc w:val="right"/>
            </w:pPr>
            <w:r>
              <w:rPr>
                <w:sz w:val="18"/>
                <w:szCs w:val="18"/>
              </w:rPr>
              <w:t xml:space="preserve">1,272</w:t>
            </w:r>
          </w:p>
        </w:tc>
        <w:tc>
          <w:tcPr>
            <w:tcW w:w="1700" w:type="dxa"/>
            <w:vAlign w:val="center"/>
          </w:tcPr>
          <w:p>
            <w:pPr>
              <w:spacing w:before="0" w:after="0"/>
              <w:jc w:val="right"/>
            </w:pPr>
            <w:r>
              <w:rPr>
                <w:sz w:val="18"/>
                <w:szCs w:val="18"/>
              </w:rPr>
              <w:t xml:space="preserve">1,883</w:t>
            </w:r>
          </w:p>
        </w:tc>
      </w:tr>
      <w:tr>
        <w:tc>
          <w:tcPr>
            <w:tcW w:w="4872" w:type="dxa"/>
            <w:vAlign w:val="center"/>
          </w:tcPr>
          <w:p>
            <w:pPr>
              <w:spacing w:before="0" w:after="0"/>
              <w:jc w:val="left"/>
            </w:pPr>
            <w:r>
              <w:rPr>
                <w:b/>
                <w:sz w:val="18"/>
                <w:szCs w:val="18"/>
              </w:rPr>
              <w:t xml:space="preserve">Total operating expenses</w:t>
            </w:r>
          </w:p>
        </w:tc>
        <w:tc>
          <w:tcPr>
            <w:tcW w:w="800" w:type="dxa"/>
            <w:vAlign w:val="center"/>
          </w:tcPr>
          <w:p>
            <w:pPr>
              <w:spacing w:before="0" w:after="0"/>
              <w:jc w:val="left"/>
            </w:pPr>
            <w:r>
              <w:rPr>
                <w:b/>
                <w:sz w:val="18"/>
                <w:szCs w:val="18"/>
              </w:rPr>
              <w:t xml:space="preserve">18</w:t>
            </w:r>
          </w:p>
        </w:tc>
        <w:tc>
          <w:tcPr>
            <w:tcW w:w="1700" w:type="dxa"/>
            <w:vAlign w:val="center"/>
          </w:tcPr>
          <w:p>
            <w:pPr>
              <w:spacing w:before="0" w:after="0"/>
              <w:jc w:val="right"/>
            </w:pPr>
            <w:r>
              <w:rPr>
                <w:b/>
                <w:sz w:val="18"/>
                <w:szCs w:val="18"/>
              </w:rPr>
              <w:t xml:space="preserve">207,450</w:t>
            </w:r>
          </w:p>
        </w:tc>
        <w:tc>
          <w:tcPr>
            <w:tcW w:w="1700" w:type="dxa"/>
            <w:vAlign w:val="center"/>
          </w:tcPr>
          <w:p>
            <w:pPr>
              <w:spacing w:before="0" w:after="0"/>
              <w:jc w:val="right"/>
            </w:pPr>
            <w:r>
              <w:rPr>
                <w:b/>
                <w:sz w:val="18"/>
                <w:szCs w:val="18"/>
              </w:rPr>
              <w:t xml:space="preserve">239,493</w:t>
            </w:r>
          </w:p>
        </w:tc>
      </w:tr>
      <w:tr>
        <w:tc>
          <w:tcPr>
            <w:tcW w:w="4872" w:type="dxa"/>
            <w:vAlign w:val="center"/>
          </w:tcPr>
          <w:p>
            <w:pPr>
              <w:spacing w:before="0" w:after="0"/>
              <w:jc w:val="left"/>
            </w:pPr>
            <w:r>
              <w:rPr>
                <w:b/>
                <w:sz w:val="18"/>
                <w:szCs w:val="18"/>
              </w:rPr>
              <w:t xml:space="preserve">Operating income</w:t>
            </w:r>
          </w:p>
        </w:tc>
        <w:tc>
          <w:tcPr>
            <w:tcW w:w="800" w:type="dxa"/>
            <w:vAlign w:val="center"/>
          </w:tcPr>
          <w:p>
            <w:pPr>
              <w:spacing w:before="0" w:after="0"/>
              <w:jc w:val="left"/>
            </w:pPr>
            <w:r>
              <w:rPr>
                <w:b/>
                <w:sz w:val="18"/>
                <w:szCs w:val="18"/>
              </w:rPr>
              <w:t xml:space="preserve"/>
            </w:r>
          </w:p>
        </w:tc>
        <w:tc>
          <w:tcPr>
            <w:tcW w:w="1700" w:type="dxa"/>
            <w:vAlign w:val="center"/>
          </w:tcPr>
          <w:p>
            <w:pPr>
              <w:spacing w:before="0" w:after="0"/>
              <w:jc w:val="right"/>
            </w:pPr>
            <w:r>
              <w:rPr>
                <w:b/>
                <w:sz w:val="18"/>
                <w:szCs w:val="18"/>
              </w:rPr>
              <w:t xml:space="preserve">29,299</w:t>
            </w:r>
          </w:p>
        </w:tc>
        <w:tc>
          <w:tcPr>
            <w:tcW w:w="1700" w:type="dxa"/>
            <w:vAlign w:val="center"/>
          </w:tcPr>
          <w:p>
            <w:pPr>
              <w:spacing w:before="0" w:after="0"/>
              <w:jc w:val="right"/>
            </w:pPr>
            <w:r>
              <w:rPr>
                <w:b/>
                <w:sz w:val="18"/>
                <w:szCs w:val="18"/>
              </w:rPr>
              <w:t xml:space="preserve">32,507</w:t>
            </w:r>
          </w:p>
        </w:tc>
      </w:tr>
      <w:tr>
        <w:tc>
          <w:tcPr>
            <w:tcW w:w="4872" w:type="dxa"/>
            <w:vAlign w:val="center"/>
          </w:tcPr>
          <w:p>
            <w:pPr>
              <w:spacing w:before="0" w:after="0"/>
              <w:jc w:val="left"/>
            </w:pPr>
            <w:r>
              <w:rPr>
                <w:sz w:val="18"/>
                <w:szCs w:val="18"/>
              </w:rPr>
              <w:t xml:space="preserve">Interest income</w:t>
            </w:r>
          </w:p>
        </w:tc>
        <w:tc>
          <w:tcPr>
            <w:tcW w:w="800" w:type="dxa"/>
            <w:vAlign w:val="center"/>
          </w:tcPr>
          <w:p>
            <w:pPr>
              <w:spacing w:before="0" w:after="0"/>
              <w:jc w:val="left"/>
            </w:pPr>
            <w:r>
              <w:rPr>
                <w:sz w:val="18"/>
                <w:szCs w:val="18"/>
              </w:rPr>
              <w:t xml:space="preserve"/>
            </w:r>
          </w:p>
        </w:tc>
        <w:tc>
          <w:tcPr>
            <w:tcW w:w="1700" w:type="dxa"/>
            <w:vAlign w:val="center"/>
          </w:tcPr>
          <w:p>
            <w:pPr>
              <w:spacing w:before="0" w:after="0"/>
              <w:jc w:val="right"/>
            </w:pPr>
            <w:r>
              <w:rPr>
                <w:sz w:val="18"/>
                <w:szCs w:val="18"/>
              </w:rPr>
              <w:t xml:space="preserve">237</w:t>
            </w:r>
          </w:p>
        </w:tc>
        <w:tc>
          <w:tcPr>
            <w:tcW w:w="1700" w:type="dxa"/>
            <w:vAlign w:val="center"/>
          </w:tcPr>
          <w:p>
            <w:pPr>
              <w:spacing w:before="0" w:after="0"/>
              <w:jc w:val="right"/>
            </w:pPr>
            <w:r>
              <w:rPr>
                <w:sz w:val="18"/>
                <w:szCs w:val="18"/>
              </w:rPr>
              <w:t xml:space="preserve">272</w:t>
            </w:r>
          </w:p>
        </w:tc>
      </w:tr>
      <w:tr>
        <w:tc>
          <w:tcPr>
            <w:tcW w:w="4872" w:type="dxa"/>
            <w:vAlign w:val="center"/>
          </w:tcPr>
          <w:p>
            <w:pPr>
              <w:spacing w:before="0" w:after="0"/>
              <w:jc w:val="left"/>
            </w:pPr>
            <w:r>
              <w:rPr>
                <w:sz w:val="18"/>
                <w:szCs w:val="18"/>
              </w:rPr>
              <w:t xml:space="preserve">Interest expense</w:t>
            </w:r>
          </w:p>
        </w:tc>
        <w:tc>
          <w:tcPr>
            <w:tcW w:w="800" w:type="dxa"/>
            <w:vAlign w:val="center"/>
          </w:tcPr>
          <w:p>
            <w:pPr>
              <w:spacing w:before="0" w:after="0"/>
              <w:jc w:val="left"/>
            </w:pPr>
            <w:r>
              <w:rPr>
                <w:sz w:val="18"/>
                <w:szCs w:val="18"/>
              </w:rPr>
              <w:t xml:space="preserve"/>
            </w:r>
          </w:p>
        </w:tc>
        <w:tc>
          <w:tcPr>
            <w:tcW w:w="1700" w:type="dxa"/>
            <w:vAlign w:val="center"/>
          </w:tcPr>
          <w:p>
            <w:pPr>
              <w:spacing w:before="0" w:after="0"/>
              <w:jc w:val="right"/>
            </w:pPr>
            <w:r>
              <w:rPr>
                <w:sz w:val="18"/>
                <w:szCs w:val="18"/>
              </w:rPr>
              <w:t xml:space="preserve">(1,179)</w:t>
            </w:r>
          </w:p>
        </w:tc>
        <w:tc>
          <w:tcPr>
            <w:tcW w:w="1700" w:type="dxa"/>
            <w:vAlign w:val="center"/>
          </w:tcPr>
          <w:p>
            <w:pPr>
              <w:spacing w:before="0" w:after="0"/>
              <w:jc w:val="right"/>
            </w:pPr>
            <w:r>
              <w:rPr>
                <w:sz w:val="18"/>
                <w:szCs w:val="18"/>
              </w:rPr>
              <w:t xml:space="preserve">(960)</w:t>
            </w:r>
          </w:p>
        </w:tc>
      </w:tr>
      <w:tr>
        <w:tc>
          <w:tcPr>
            <w:tcW w:w="4872" w:type="dxa"/>
            <w:vAlign w:val="center"/>
          </w:tcPr>
          <w:p>
            <w:pPr>
              <w:spacing w:before="0" w:after="0"/>
              <w:jc w:val="left"/>
            </w:pPr>
            <w:r>
              <w:rPr>
                <w:sz w:val="18"/>
                <w:szCs w:val="18"/>
              </w:rPr>
              <w:t xml:space="preserve">Other income (expense), net</w:t>
            </w:r>
          </w:p>
        </w:tc>
        <w:tc>
          <w:tcPr>
            <w:tcW w:w="800" w:type="dxa"/>
            <w:vAlign w:val="center"/>
          </w:tcPr>
          <w:p>
            <w:pPr>
              <w:spacing w:before="0" w:after="0"/>
              <w:jc w:val="left"/>
            </w:pPr>
            <w:r>
              <w:rPr>
                <w:sz w:val="18"/>
                <w:szCs w:val="18"/>
              </w:rPr>
              <w:t xml:space="preserve"/>
            </w:r>
          </w:p>
        </w:tc>
        <w:tc>
          <w:tcPr>
            <w:tcW w:w="1700" w:type="dxa"/>
            <w:vAlign w:val="center"/>
          </w:tcPr>
          <w:p>
            <w:pPr>
              <w:spacing w:before="0" w:after="0"/>
              <w:jc w:val="right"/>
            </w:pPr>
            <w:r>
              <w:rPr>
                <w:sz w:val="18"/>
                <w:szCs w:val="18"/>
              </w:rPr>
              <w:t xml:space="preserve">81</w:t>
            </w:r>
          </w:p>
        </w:tc>
        <w:tc>
          <w:tcPr>
            <w:tcW w:w="1700" w:type="dxa"/>
            <w:vAlign w:val="center"/>
          </w:tcPr>
          <w:p>
            <w:pPr>
              <w:spacing w:before="0" w:after="0"/>
              <w:jc w:val="right"/>
            </w:pPr>
            <w:r>
              <w:rPr>
                <w:sz w:val="18"/>
                <w:szCs w:val="18"/>
              </w:rPr>
              <w:t xml:space="preserve">85</w:t>
            </w:r>
          </w:p>
        </w:tc>
      </w:tr>
      <w:tr>
        <w:tc>
          <w:tcPr>
            <w:tcW w:w="4872" w:type="dxa"/>
            <w:vAlign w:val="center"/>
          </w:tcPr>
          <w:p>
            <w:pPr>
              <w:spacing w:before="0" w:after="0"/>
              <w:jc w:val="left"/>
            </w:pPr>
            <w:r>
              <w:rPr>
                <w:b/>
                <w:sz w:val="18"/>
                <w:szCs w:val="18"/>
              </w:rPr>
              <w:t xml:space="preserve">Income before income taxes</w:t>
            </w:r>
          </w:p>
        </w:tc>
        <w:tc>
          <w:tcPr>
            <w:tcW w:w="800" w:type="dxa"/>
            <w:vAlign w:val="center"/>
          </w:tcPr>
          <w:p>
            <w:pPr>
              <w:spacing w:before="0" w:after="0"/>
              <w:jc w:val="left"/>
            </w:pPr>
            <w:r>
              <w:rPr>
                <w:b/>
                <w:sz w:val="18"/>
                <w:szCs w:val="18"/>
              </w:rPr>
              <w:t xml:space="preserve">13</w:t>
            </w:r>
          </w:p>
        </w:tc>
        <w:tc>
          <w:tcPr>
            <w:tcW w:w="1700" w:type="dxa"/>
            <w:vAlign w:val="center"/>
          </w:tcPr>
          <w:p>
            <w:pPr>
              <w:spacing w:before="0" w:after="0"/>
              <w:jc w:val="right"/>
            </w:pPr>
            <w:r>
              <w:rPr>
                <w:b/>
                <w:sz w:val="18"/>
                <w:szCs w:val="18"/>
              </w:rPr>
              <w:t xml:space="preserve">28,437</w:t>
            </w:r>
          </w:p>
        </w:tc>
        <w:tc>
          <w:tcPr>
            <w:tcW w:w="1700" w:type="dxa"/>
            <w:vAlign w:val="center"/>
          </w:tcPr>
          <w:p>
            <w:pPr>
              <w:spacing w:before="0" w:after="0"/>
              <w:jc w:val="right"/>
            </w:pPr>
            <w:r>
              <w:rPr>
                <w:b/>
                <w:sz w:val="18"/>
                <w:szCs w:val="18"/>
              </w:rPr>
              <w:t xml:space="preserve">31,904</w:t>
            </w:r>
          </w:p>
        </w:tc>
      </w:tr>
      <w:tr>
        <w:tc>
          <w:tcPr>
            <w:tcW w:w="4872" w:type="dxa"/>
            <w:vAlign w:val="center"/>
          </w:tcPr>
          <w:p>
            <w:pPr>
              <w:spacing w:before="0" w:after="0"/>
              <w:jc w:val="left"/>
            </w:pPr>
            <w:r>
              <w:rPr>
                <w:sz w:val="18"/>
                <w:szCs w:val="18"/>
              </w:rPr>
              <w:t xml:space="preserve">Income tax expense</w:t>
            </w:r>
          </w:p>
        </w:tc>
        <w:tc>
          <w:tcPr>
            <w:tcW w:w="800" w:type="dxa"/>
            <w:vAlign w:val="center"/>
          </w:tcPr>
          <w:p>
            <w:pPr>
              <w:spacing w:before="0" w:after="0"/>
              <w:jc w:val="left"/>
            </w:pPr>
            <w:r>
              <w:rPr>
                <w:sz w:val="18"/>
                <w:szCs w:val="18"/>
              </w:rPr>
              <w:t xml:space="preserve"/>
            </w:r>
          </w:p>
        </w:tc>
        <w:tc>
          <w:tcPr>
            <w:tcW w:w="1700" w:type="dxa"/>
            <w:vAlign w:val="center"/>
          </w:tcPr>
          <w:p>
            <w:pPr>
              <w:spacing w:before="0" w:after="0"/>
              <w:jc w:val="right"/>
            </w:pPr>
            <w:r>
              <w:rPr>
                <w:sz w:val="18"/>
                <w:szCs w:val="18"/>
              </w:rPr>
              <w:t xml:space="preserve">(7,253)</w:t>
            </w:r>
          </w:p>
        </w:tc>
        <w:tc>
          <w:tcPr>
            <w:tcW w:w="1700" w:type="dxa"/>
            <w:vAlign w:val="center"/>
          </w:tcPr>
          <w:p>
            <w:pPr>
              <w:spacing w:before="0" w:after="0"/>
              <w:jc w:val="right"/>
            </w:pPr>
            <w:r>
              <w:rPr>
                <w:sz w:val="18"/>
                <w:szCs w:val="18"/>
              </w:rPr>
              <w:t xml:space="preserve">(8,073)</w:t>
            </w:r>
          </w:p>
        </w:tc>
      </w:tr>
      <w:tr>
        <w:tc>
          <w:tcPr>
            <w:tcW w:w="4872" w:type="dxa"/>
            <w:vAlign w:val="center"/>
          </w:tcPr>
          <w:p>
            <w:pPr>
              <w:spacing w:before="0" w:after="0"/>
              <w:jc w:val="left"/>
            </w:pPr>
            <w:r>
              <w:rPr>
                <w:b/>
                <w:sz w:val="18"/>
                <w:szCs w:val="18"/>
              </w:rPr>
              <w:t xml:space="preserve">Net income</w:t>
            </w:r>
          </w:p>
        </w:tc>
        <w:tc>
          <w:tcPr>
            <w:tcW w:w="800" w:type="dxa"/>
            <w:vAlign w:val="center"/>
          </w:tcPr>
          <w:p>
            <w:pPr>
              <w:spacing w:before="0" w:after="0"/>
              <w:jc w:val="left"/>
            </w:pPr>
            <w:r>
              <w:rPr>
                <w:b/>
                <w:sz w:val="18"/>
                <w:szCs w:val="18"/>
              </w:rPr>
              <w:t xml:space="preserve"/>
            </w:r>
          </w:p>
        </w:tc>
        <w:tc>
          <w:tcPr>
            <w:tcW w:w="1700" w:type="dxa"/>
            <w:vAlign w:val="center"/>
          </w:tcPr>
          <w:p>
            <w:pPr>
              <w:spacing w:before="0" w:after="0"/>
              <w:jc w:val="right"/>
            </w:pPr>
            <w:r>
              <w:rPr>
                <w:b/>
                <w:sz w:val="18"/>
                <w:szCs w:val="18"/>
              </w:rPr>
              <w:t xml:space="preserve">21,184</w:t>
            </w:r>
          </w:p>
        </w:tc>
        <w:tc>
          <w:tcPr>
            <w:tcW w:w="1700" w:type="dxa"/>
            <w:vAlign w:val="center"/>
          </w:tcPr>
          <w:p>
            <w:pPr>
              <w:spacing w:before="0" w:after="0"/>
              <w:jc w:val="right"/>
            </w:pPr>
            <w:r>
              <w:rPr>
                <w:b/>
                <w:sz w:val="18"/>
                <w:szCs w:val="18"/>
              </w:rPr>
              <w:t xml:space="preserve">23,831</w:t>
            </w:r>
          </w:p>
        </w:tc>
      </w:tr>
      <w:tr>
        <w:tc>
          <w:tcPr>
            <w:tcW w:w="4872" w:type="dxa"/>
            <w:vAlign w:val="center"/>
          </w:tcPr>
          <w:p>
            <w:pPr>
              <w:spacing w:before="0" w:after="0"/>
              <w:jc w:val="left"/>
            </w:pPr>
            <w:r>
              <w:rPr>
                <w:sz w:val="18"/>
                <w:szCs w:val="18"/>
              </w:rPr>
              <w:t xml:space="preserve">Earnings per share, basic (in dollars)</w:t>
            </w:r>
          </w:p>
        </w:tc>
        <w:tc>
          <w:tcPr>
            <w:tcW w:w="800" w:type="dxa"/>
            <w:vAlign w:val="center"/>
          </w:tcPr>
          <w:p>
            <w:pPr>
              <w:spacing w:before="0" w:after="0"/>
              <w:jc w:val="left"/>
            </w:pPr>
            <w:r>
              <w:rPr>
                <w:sz w:val="18"/>
                <w:szCs w:val="18"/>
              </w:rPr>
              <w:t xml:space="preserve"/>
            </w:r>
          </w:p>
        </w:tc>
        <w:tc>
          <w:tcPr>
            <w:tcW w:w="1700" w:type="dxa"/>
            <w:vAlign w:val="center"/>
          </w:tcPr>
          <w:p>
            <w:pPr>
              <w:spacing w:before="0" w:after="0"/>
              <w:jc w:val="right"/>
            </w:pPr>
            <w:r>
              <w:rPr>
                <w:sz w:val="18"/>
                <w:szCs w:val="18"/>
              </w:rPr>
              <w:t xml:space="preserve">0.51</w:t>
            </w:r>
          </w:p>
        </w:tc>
        <w:tc>
          <w:tcPr>
            <w:tcW w:w="1700" w:type="dxa"/>
            <w:vAlign w:val="center"/>
          </w:tcPr>
          <w:p>
            <w:pPr>
              <w:spacing w:before="0" w:after="0"/>
              <w:jc w:val="right"/>
            </w:pPr>
            <w:r>
              <w:rPr>
                <w:sz w:val="18"/>
                <w:szCs w:val="18"/>
              </w:rPr>
              <w:t xml:space="preserve">0.58</w:t>
            </w:r>
          </w:p>
        </w:tc>
      </w:tr>
      <w:tr>
        <w:tc>
          <w:tcPr>
            <w:tcW w:w="4872" w:type="dxa"/>
            <w:vAlign w:val="center"/>
          </w:tcPr>
          <w:p>
            <w:pPr>
              <w:spacing w:before="0" w:after="0"/>
              <w:jc w:val="left"/>
            </w:pPr>
            <w:r>
              <w:rPr>
                <w:sz w:val="18"/>
                <w:szCs w:val="18"/>
              </w:rPr>
              <w:t xml:space="preserve">Earnings per share, diluted (in dollars)</w:t>
            </w:r>
          </w:p>
        </w:tc>
        <w:tc>
          <w:tcPr>
            <w:tcW w:w="800" w:type="dxa"/>
            <w:vAlign w:val="center"/>
          </w:tcPr>
          <w:p>
            <w:pPr>
              <w:spacing w:before="0" w:after="0"/>
              <w:jc w:val="left"/>
            </w:pPr>
            <w:r>
              <w:rPr>
                <w:sz w:val="18"/>
                <w:szCs w:val="18"/>
              </w:rPr>
              <w:t xml:space="preserve"/>
            </w:r>
          </w:p>
        </w:tc>
        <w:tc>
          <w:tcPr>
            <w:tcW w:w="1700" w:type="dxa"/>
            <w:vAlign w:val="center"/>
          </w:tcPr>
          <w:p>
            <w:pPr>
              <w:spacing w:before="0" w:after="0"/>
              <w:jc w:val="right"/>
            </w:pPr>
            <w:r>
              <w:rPr>
                <w:sz w:val="18"/>
                <w:szCs w:val="18"/>
              </w:rPr>
              <w:t xml:space="preserve">0.50</w:t>
            </w:r>
          </w:p>
        </w:tc>
        <w:tc>
          <w:tcPr>
            <w:tcW w:w="1700" w:type="dxa"/>
            <w:vAlign w:val="center"/>
          </w:tcPr>
          <w:p>
            <w:pPr>
              <w:spacing w:before="0" w:after="0"/>
              <w:jc w:val="right"/>
            </w:pPr>
            <w:r>
              <w:rPr>
                <w:sz w:val="18"/>
                <w:szCs w:val="18"/>
              </w:rPr>
              <w:t xml:space="preserve">0.56</w:t>
            </w:r>
          </w:p>
        </w:tc>
      </w:tr>
    </w:tbl>
    <w:p>
      <w:pPr/>
    </w:p>
    <w:p>
      <w:r>
        <w:br w:type="page"/>
      </w:r>
    </w:p>
    <w:p>
      <w:pPr>
        <w:pStyle w:val="Heading3"/>
        <w:keepNext/>
      </w:pPr>
      <w:r>
        <w:t xml:space="preserve">Statements of Cash Flows</w:t>
      </w:r>
    </w:p>
    <w:p>
      <w:pPr>
        <w:jc w:val="right"/>
      </w:pPr>
      <w:r>
        <w:rPr>
          <w:sz w:val="18"/>
          <w:szCs w:val="18"/>
        </w:rPr>
        <w:t xml:space="preserve">(In thousands of U.S. dollars)</w:t>
      </w:r>
    </w:p>
    <w:tbl>
      <w:tblPr>
        <w:tblW w:w="907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72" w:type="dxa"/>
          <w:right w:w="72" w:type="dxa"/>
        </w:tblCellMar>
      </w:tblPr>
      <w:tblGrid>
        <w:gridCol w:w="4872"/>
        <w:gridCol w:w="800"/>
        <w:gridCol w:w="1700"/>
        <w:gridCol w:w="1700"/>
      </w:tblGrid>
      <w:tr>
        <w:trPr>
          <w:tblHeader/>
        </w:trPr>
        <w:tc>
          <w:tcPr>
            <w:tcW w:w="4872" w:type="dxa"/>
            <w:shd w:val="clear" w:color="auto" w:fill="DDEBF7"/>
            <w:vAlign w:val="center"/>
          </w:tcPr>
          <w:p>
            <w:pPr>
              <w:spacing w:before="0" w:after="0"/>
              <w:jc w:val="center"/>
            </w:pPr>
            <w:r>
              <w:rPr>
                <w:b/>
                <w:sz w:val="18"/>
                <w:szCs w:val="18"/>
              </w:rPr>
              <w:t xml:space="preserve"/>
            </w:r>
          </w:p>
        </w:tc>
        <w:tc>
          <w:tcPr>
            <w:tcW w:w="800" w:type="dxa"/>
            <w:shd w:val="clear" w:color="auto" w:fill="DDEBF7"/>
            <w:vAlign w:val="center"/>
          </w:tcPr>
          <w:p>
            <w:pPr>
              <w:spacing w:before="0" w:after="0"/>
              <w:jc w:val="center"/>
            </w:pPr>
            <w:r>
              <w:rPr>
                <w:b/>
                <w:sz w:val="18"/>
                <w:szCs w:val="18"/>
              </w:rPr>
              <w:t xml:space="preserve">Note</w:t>
            </w:r>
          </w:p>
        </w:tc>
        <w:tc>
          <w:tcPr>
            <w:tcW w:w="1700" w:type="dxa"/>
            <w:shd w:val="clear" w:color="auto" w:fill="DDEBF7"/>
            <w:vAlign w:val="center"/>
          </w:tcPr>
          <w:p>
            <w:pPr>
              <w:spacing w:before="0" w:after="0"/>
              <w:jc w:val="center"/>
            </w:pPr>
            <w:r>
              <w:rPr>
                <w:b/>
                <w:sz w:val="18"/>
                <w:szCs w:val="18"/>
              </w:rPr>
              <w:t xml:space="preserve">FY2024</w:t>
            </w:r>
          </w:p>
        </w:tc>
        <w:tc>
          <w:tcPr>
            <w:tcW w:w="1700" w:type="dxa"/>
            <w:shd w:val="clear" w:color="auto" w:fill="DDEBF7"/>
            <w:vAlign w:val="center"/>
          </w:tcPr>
          <w:p>
            <w:pPr>
              <w:spacing w:before="0" w:after="0"/>
              <w:jc w:val="center"/>
            </w:pPr>
            <w:r>
              <w:rPr>
                <w:b/>
                <w:sz w:val="18"/>
                <w:szCs w:val="18"/>
              </w:rPr>
              <w:t xml:space="preserve">FY2025</w:t>
            </w:r>
          </w:p>
        </w:tc>
      </w:tr>
      <w:tr>
        <w:tc>
          <w:tcPr>
            <w:tcW w:w="4872" w:type="dxa"/>
            <w:vAlign w:val="center"/>
          </w:tcPr>
          <w:p>
            <w:pPr>
              <w:spacing w:before="0" w:after="0"/>
              <w:jc w:val="left"/>
            </w:pPr>
            <w:r>
              <w:rPr>
                <w:b/>
                <w:sz w:val="18"/>
                <w:szCs w:val="18"/>
              </w:rPr>
              <w:t xml:space="preserve">Cash flows from operating activities</w:t>
            </w:r>
          </w:p>
        </w:tc>
        <w:tc>
          <w:tcPr>
            <w:tcW w:w="800" w:type="dxa"/>
            <w:vAlign w:val="center"/>
          </w:tcPr>
          <w:p>
            <w:pPr>
              <w:spacing w:before="0" w:after="0"/>
              <w:jc w:val="left"/>
            </w:pPr>
            <w:r>
              <w:rPr>
                <w:b/>
                <w:sz w:val="18"/>
                <w:szCs w:val="18"/>
              </w:rPr>
              <w:t xml:space="preserve"/>
            </w:r>
          </w:p>
        </w:tc>
        <w:tc>
          <w:tcPr>
            <w:tcW w:w="1700" w:type="dxa"/>
            <w:vAlign w:val="center"/>
          </w:tcPr>
          <w:p>
            <w:pPr>
              <w:spacing w:before="0" w:after="0"/>
              <w:jc w:val="right"/>
            </w:pPr>
            <w:r>
              <w:rPr>
                <w:b/>
                <w:sz w:val="18"/>
                <w:szCs w:val="18"/>
              </w:rPr>
              <w:t xml:space="preserve"/>
            </w:r>
          </w:p>
        </w:tc>
        <w:tc>
          <w:tcPr>
            <w:tcW w:w="1700" w:type="dxa"/>
            <w:vAlign w:val="center"/>
          </w:tcPr>
          <w:p>
            <w:pPr>
              <w:spacing w:before="0" w:after="0"/>
              <w:jc w:val="right"/>
            </w:pPr>
            <w:r>
              <w:rPr>
                <w:b/>
                <w:sz w:val="18"/>
                <w:szCs w:val="18"/>
              </w:rPr>
              <w:t xml:space="preserve"/>
            </w:r>
          </w:p>
        </w:tc>
      </w:tr>
      <w:tr>
        <w:tc>
          <w:tcPr>
            <w:tcW w:w="4872" w:type="dxa"/>
            <w:vAlign w:val="center"/>
          </w:tcPr>
          <w:p>
            <w:pPr>
              <w:spacing w:before="0" w:after="0"/>
              <w:jc w:val="left"/>
            </w:pPr>
            <w:r>
              <w:rPr>
                <w:sz w:val="18"/>
                <w:szCs w:val="18"/>
              </w:rPr>
              <w:t xml:space="preserve">Net income</w:t>
            </w:r>
          </w:p>
        </w:tc>
        <w:tc>
          <w:tcPr>
            <w:tcW w:w="800" w:type="dxa"/>
            <w:vAlign w:val="center"/>
          </w:tcPr>
          <w:p>
            <w:pPr>
              <w:spacing w:before="0" w:after="0"/>
              <w:jc w:val="left"/>
            </w:pPr>
            <w:r>
              <w:rPr>
                <w:sz w:val="18"/>
                <w:szCs w:val="18"/>
              </w:rPr>
              <w:t xml:space="preserve"/>
            </w:r>
          </w:p>
        </w:tc>
        <w:tc>
          <w:tcPr>
            <w:tcW w:w="1700" w:type="dxa"/>
            <w:vAlign w:val="center"/>
          </w:tcPr>
          <w:p>
            <w:pPr>
              <w:spacing w:before="0" w:after="0"/>
              <w:jc w:val="right"/>
            </w:pPr>
            <w:r>
              <w:rPr>
                <w:sz w:val="18"/>
                <w:szCs w:val="18"/>
              </w:rPr>
              <w:t xml:space="preserve">21,184</w:t>
            </w:r>
          </w:p>
        </w:tc>
        <w:tc>
          <w:tcPr>
            <w:tcW w:w="1700" w:type="dxa"/>
            <w:vAlign w:val="center"/>
          </w:tcPr>
          <w:p>
            <w:pPr>
              <w:spacing w:before="0" w:after="0"/>
              <w:jc w:val="right"/>
            </w:pPr>
            <w:r>
              <w:rPr>
                <w:sz w:val="18"/>
                <w:szCs w:val="18"/>
              </w:rPr>
              <w:t xml:space="preserve">23,831</w:t>
            </w:r>
          </w:p>
        </w:tc>
      </w:tr>
      <w:tr>
        <w:tc>
          <w:tcPr>
            <w:tcW w:w="4872" w:type="dxa"/>
            <w:vAlign w:val="center"/>
          </w:tcPr>
          <w:p>
            <w:pPr>
              <w:spacing w:before="0" w:after="0"/>
              <w:jc w:val="left"/>
            </w:pPr>
            <w:r>
              <w:rPr>
                <w:sz w:val="18"/>
                <w:szCs w:val="18"/>
              </w:rPr>
              <w:t xml:space="preserve">Depreciation and amortization</w:t>
            </w:r>
          </w:p>
        </w:tc>
        <w:tc>
          <w:tcPr>
            <w:tcW w:w="800" w:type="dxa"/>
            <w:vAlign w:val="center"/>
          </w:tcPr>
          <w:p>
            <w:pPr>
              <w:spacing w:before="0" w:after="0"/>
              <w:jc w:val="left"/>
            </w:pPr>
            <w:r>
              <w:rPr>
                <w:sz w:val="18"/>
                <w:szCs w:val="18"/>
              </w:rPr>
              <w:t xml:space="preserve"/>
            </w:r>
          </w:p>
        </w:tc>
        <w:tc>
          <w:tcPr>
            <w:tcW w:w="1700" w:type="dxa"/>
            <w:vAlign w:val="center"/>
          </w:tcPr>
          <w:p>
            <w:pPr>
              <w:spacing w:before="0" w:after="0"/>
              <w:jc w:val="right"/>
            </w:pPr>
            <w:r>
              <w:rPr>
                <w:sz w:val="18"/>
                <w:szCs w:val="18"/>
              </w:rPr>
              <w:t xml:space="preserve">11,954</w:t>
            </w:r>
          </w:p>
        </w:tc>
        <w:tc>
          <w:tcPr>
            <w:tcW w:w="1700" w:type="dxa"/>
            <w:vAlign w:val="center"/>
          </w:tcPr>
          <w:p>
            <w:pPr>
              <w:spacing w:before="0" w:after="0"/>
              <w:jc w:val="right"/>
            </w:pPr>
            <w:r>
              <w:rPr>
                <w:sz w:val="18"/>
                <w:szCs w:val="18"/>
              </w:rPr>
              <w:t xml:space="preserve">14,954</w:t>
            </w:r>
          </w:p>
        </w:tc>
      </w:tr>
      <w:tr>
        <w:tc>
          <w:tcPr>
            <w:tcW w:w="4872" w:type="dxa"/>
            <w:vAlign w:val="center"/>
          </w:tcPr>
          <w:p>
            <w:pPr>
              <w:spacing w:before="0" w:after="0"/>
              <w:jc w:val="left"/>
            </w:pPr>
            <w:r>
              <w:rPr>
                <w:sz w:val="18"/>
                <w:szCs w:val="18"/>
              </w:rPr>
              <w:t xml:space="preserve">Stock-based compensation</w:t>
            </w:r>
          </w:p>
        </w:tc>
        <w:tc>
          <w:tcPr>
            <w:tcW w:w="800" w:type="dxa"/>
            <w:vAlign w:val="center"/>
          </w:tcPr>
          <w:p>
            <w:pPr>
              <w:spacing w:before="0" w:after="0"/>
              <w:jc w:val="left"/>
            </w:pPr>
            <w:r>
              <w:rPr>
                <w:sz w:val="18"/>
                <w:szCs w:val="18"/>
              </w:rPr>
              <w:t xml:space="preserve"/>
            </w:r>
          </w:p>
        </w:tc>
        <w:tc>
          <w:tcPr>
            <w:tcW w:w="1700" w:type="dxa"/>
            <w:vAlign w:val="center"/>
          </w:tcPr>
          <w:p>
            <w:pPr>
              <w:spacing w:before="0" w:after="0"/>
              <w:jc w:val="right"/>
            </w:pPr>
            <w:r>
              <w:rPr>
                <w:sz w:val="18"/>
                <w:szCs w:val="18"/>
              </w:rPr>
              <w:t xml:space="preserve">1,420</w:t>
            </w:r>
          </w:p>
        </w:tc>
        <w:tc>
          <w:tcPr>
            <w:tcW w:w="1700" w:type="dxa"/>
            <w:vAlign w:val="center"/>
          </w:tcPr>
          <w:p>
            <w:pPr>
              <w:spacing w:before="0" w:after="0"/>
              <w:jc w:val="right"/>
            </w:pPr>
            <w:r>
              <w:rPr>
                <w:sz w:val="18"/>
                <w:szCs w:val="18"/>
              </w:rPr>
              <w:t xml:space="preserve">1,632</w:t>
            </w:r>
          </w:p>
        </w:tc>
      </w:tr>
      <w:tr>
        <w:tc>
          <w:tcPr>
            <w:tcW w:w="4872" w:type="dxa"/>
            <w:vAlign w:val="center"/>
          </w:tcPr>
          <w:p>
            <w:pPr>
              <w:spacing w:before="0" w:after="0"/>
              <w:jc w:val="left"/>
            </w:pPr>
            <w:r>
              <w:rPr>
                <w:sz w:val="18"/>
                <w:szCs w:val="18"/>
              </w:rPr>
              <w:t xml:space="preserve">Deferred income taxes</w:t>
            </w:r>
          </w:p>
        </w:tc>
        <w:tc>
          <w:tcPr>
            <w:tcW w:w="800" w:type="dxa"/>
            <w:vAlign w:val="center"/>
          </w:tcPr>
          <w:p>
            <w:pPr>
              <w:spacing w:before="0" w:after="0"/>
              <w:jc w:val="left"/>
            </w:pPr>
            <w:r>
              <w:rPr>
                <w:sz w:val="18"/>
                <w:szCs w:val="18"/>
              </w:rPr>
              <w:t xml:space="preserve"/>
            </w:r>
          </w:p>
        </w:tc>
        <w:tc>
          <w:tcPr>
            <w:tcW w:w="1700" w:type="dxa"/>
            <w:vAlign w:val="center"/>
          </w:tcPr>
          <w:p>
            <w:pPr>
              <w:spacing w:before="0" w:after="0"/>
              <w:jc w:val="right"/>
            </w:pPr>
            <w:r>
              <w:rPr>
                <w:sz w:val="18"/>
                <w:szCs w:val="18"/>
              </w:rPr>
              <w:t xml:space="preserve">648</w:t>
            </w:r>
          </w:p>
        </w:tc>
        <w:tc>
          <w:tcPr>
            <w:tcW w:w="1700" w:type="dxa"/>
            <w:vAlign w:val="center"/>
          </w:tcPr>
          <w:p>
            <w:pPr>
              <w:spacing w:before="0" w:after="0"/>
              <w:jc w:val="right"/>
            </w:pPr>
            <w:r>
              <w:rPr>
                <w:sz w:val="18"/>
                <w:szCs w:val="18"/>
              </w:rPr>
              <w:t xml:space="preserve">718</w:t>
            </w:r>
          </w:p>
        </w:tc>
      </w:tr>
      <w:tr>
        <w:tc>
          <w:tcPr>
            <w:tcW w:w="4872" w:type="dxa"/>
            <w:vAlign w:val="center"/>
          </w:tcPr>
          <w:p>
            <w:pPr>
              <w:spacing w:before="0" w:after="0"/>
              <w:jc w:val="left"/>
            </w:pPr>
            <w:r>
              <w:rPr>
                <w:sz w:val="18"/>
                <w:szCs w:val="18"/>
              </w:rPr>
              <w:t xml:space="preserve">Inventories</w:t>
            </w:r>
          </w:p>
        </w:tc>
        <w:tc>
          <w:tcPr>
            <w:tcW w:w="800" w:type="dxa"/>
            <w:vAlign w:val="center"/>
          </w:tcPr>
          <w:p>
            <w:pPr>
              <w:spacing w:before="0" w:after="0"/>
              <w:jc w:val="left"/>
            </w:pPr>
            <w:r>
              <w:rPr>
                <w:sz w:val="18"/>
                <w:szCs w:val="18"/>
              </w:rPr>
              <w:t xml:space="preserve"/>
            </w:r>
          </w:p>
        </w:tc>
        <w:tc>
          <w:tcPr>
            <w:tcW w:w="1700" w:type="dxa"/>
            <w:vAlign w:val="center"/>
          </w:tcPr>
          <w:p>
            <w:pPr>
              <w:spacing w:before="0" w:after="0"/>
              <w:jc w:val="right"/>
            </w:pPr>
            <w:r>
              <w:rPr>
                <w:sz w:val="18"/>
                <w:szCs w:val="18"/>
              </w:rPr>
              <w:t xml:space="preserve">(905)</w:t>
            </w:r>
          </w:p>
        </w:tc>
        <w:tc>
          <w:tcPr>
            <w:tcW w:w="1700" w:type="dxa"/>
            <w:vAlign w:val="center"/>
          </w:tcPr>
          <w:p>
            <w:pPr>
              <w:spacing w:before="0" w:after="0"/>
              <w:jc w:val="right"/>
            </w:pPr>
            <w:r>
              <w:rPr>
                <w:sz w:val="18"/>
                <w:szCs w:val="18"/>
              </w:rPr>
              <w:t xml:space="preserve">(1,764)</w:t>
            </w:r>
          </w:p>
        </w:tc>
      </w:tr>
      <w:tr>
        <w:tc>
          <w:tcPr>
            <w:tcW w:w="4872" w:type="dxa"/>
            <w:vAlign w:val="center"/>
          </w:tcPr>
          <w:p>
            <w:pPr>
              <w:spacing w:before="0" w:after="0"/>
              <w:jc w:val="left"/>
            </w:pPr>
            <w:r>
              <w:rPr>
                <w:sz w:val="18"/>
                <w:szCs w:val="18"/>
              </w:rPr>
              <w:t xml:space="preserve">Accounts receivable</w:t>
            </w:r>
          </w:p>
        </w:tc>
        <w:tc>
          <w:tcPr>
            <w:tcW w:w="800" w:type="dxa"/>
            <w:vAlign w:val="center"/>
          </w:tcPr>
          <w:p>
            <w:pPr>
              <w:spacing w:before="0" w:after="0"/>
              <w:jc w:val="left"/>
            </w:pPr>
            <w:r>
              <w:rPr>
                <w:sz w:val="18"/>
                <w:szCs w:val="18"/>
              </w:rPr>
              <w:t xml:space="preserve"/>
            </w:r>
          </w:p>
        </w:tc>
        <w:tc>
          <w:tcPr>
            <w:tcW w:w="1700" w:type="dxa"/>
            <w:vAlign w:val="center"/>
          </w:tcPr>
          <w:p>
            <w:pPr>
              <w:spacing w:before="0" w:after="0"/>
              <w:jc w:val="right"/>
            </w:pPr>
            <w:r>
              <w:rPr>
                <w:sz w:val="18"/>
                <w:szCs w:val="18"/>
              </w:rPr>
              <w:t xml:space="preserve">(923)</w:t>
            </w:r>
          </w:p>
        </w:tc>
        <w:tc>
          <w:tcPr>
            <w:tcW w:w="1700" w:type="dxa"/>
            <w:vAlign w:val="center"/>
          </w:tcPr>
          <w:p>
            <w:pPr>
              <w:spacing w:before="0" w:after="0"/>
              <w:jc w:val="right"/>
            </w:pPr>
            <w:r>
              <w:rPr>
                <w:sz w:val="18"/>
                <w:szCs w:val="18"/>
              </w:rPr>
              <w:t xml:space="preserve">(867)</w:t>
            </w:r>
          </w:p>
        </w:tc>
      </w:tr>
      <w:tr>
        <w:tc>
          <w:tcPr>
            <w:tcW w:w="4872" w:type="dxa"/>
            <w:vAlign w:val="center"/>
          </w:tcPr>
          <w:p>
            <w:pPr>
              <w:spacing w:before="0" w:after="0"/>
              <w:jc w:val="left"/>
            </w:pPr>
            <w:r>
              <w:rPr>
                <w:sz w:val="18"/>
                <w:szCs w:val="18"/>
              </w:rPr>
              <w:t xml:space="preserve">Accounts payable</w:t>
            </w:r>
          </w:p>
        </w:tc>
        <w:tc>
          <w:tcPr>
            <w:tcW w:w="800" w:type="dxa"/>
            <w:vAlign w:val="center"/>
          </w:tcPr>
          <w:p>
            <w:pPr>
              <w:spacing w:before="0" w:after="0"/>
              <w:jc w:val="left"/>
            </w:pPr>
            <w:r>
              <w:rPr>
                <w:sz w:val="18"/>
                <w:szCs w:val="18"/>
              </w:rPr>
              <w:t xml:space="preserve"/>
            </w:r>
          </w:p>
        </w:tc>
        <w:tc>
          <w:tcPr>
            <w:tcW w:w="1700" w:type="dxa"/>
            <w:vAlign w:val="center"/>
          </w:tcPr>
          <w:p>
            <w:pPr>
              <w:spacing w:before="0" w:after="0"/>
              <w:jc w:val="right"/>
            </w:pPr>
            <w:r>
              <w:rPr>
                <w:sz w:val="18"/>
                <w:szCs w:val="18"/>
              </w:rPr>
              <w:t xml:space="preserve">844</w:t>
            </w:r>
          </w:p>
        </w:tc>
        <w:tc>
          <w:tcPr>
            <w:tcW w:w="1700" w:type="dxa"/>
            <w:vAlign w:val="center"/>
          </w:tcPr>
          <w:p>
            <w:pPr>
              <w:spacing w:before="0" w:after="0"/>
              <w:jc w:val="right"/>
            </w:pPr>
            <w:r>
              <w:rPr>
                <w:sz w:val="18"/>
                <w:szCs w:val="18"/>
              </w:rPr>
              <w:t xml:space="preserve">483</w:t>
            </w:r>
          </w:p>
        </w:tc>
      </w:tr>
      <w:tr>
        <w:tc>
          <w:tcPr>
            <w:tcW w:w="4872" w:type="dxa"/>
            <w:vAlign w:val="center"/>
          </w:tcPr>
          <w:p>
            <w:pPr>
              <w:spacing w:before="0" w:after="0"/>
              <w:jc w:val="left"/>
            </w:pPr>
            <w:r>
              <w:rPr>
                <w:sz w:val="18"/>
                <w:szCs w:val="18"/>
              </w:rPr>
              <w:t xml:space="preserve">Deferred revenue</w:t>
            </w:r>
          </w:p>
        </w:tc>
        <w:tc>
          <w:tcPr>
            <w:tcW w:w="800" w:type="dxa"/>
            <w:vAlign w:val="center"/>
          </w:tcPr>
          <w:p>
            <w:pPr>
              <w:spacing w:before="0" w:after="0"/>
              <w:jc w:val="left"/>
            </w:pPr>
            <w:r>
              <w:rPr>
                <w:sz w:val="18"/>
                <w:szCs w:val="18"/>
              </w:rPr>
              <w:t xml:space="preserve"/>
            </w:r>
          </w:p>
        </w:tc>
        <w:tc>
          <w:tcPr>
            <w:tcW w:w="1700" w:type="dxa"/>
            <w:vAlign w:val="center"/>
          </w:tcPr>
          <w:p>
            <w:pPr>
              <w:spacing w:before="0" w:after="0"/>
              <w:jc w:val="right"/>
            </w:pPr>
            <w:r>
              <w:rPr>
                <w:sz w:val="18"/>
                <w:szCs w:val="18"/>
              </w:rPr>
              <w:t xml:space="preserve">544</w:t>
            </w:r>
          </w:p>
        </w:tc>
        <w:tc>
          <w:tcPr>
            <w:tcW w:w="1700" w:type="dxa"/>
            <w:vAlign w:val="center"/>
          </w:tcPr>
          <w:p>
            <w:pPr>
              <w:spacing w:before="0" w:after="0"/>
              <w:jc w:val="right"/>
            </w:pPr>
            <w:r>
              <w:rPr>
                <w:sz w:val="18"/>
                <w:szCs w:val="18"/>
              </w:rPr>
              <w:t xml:space="preserve">329</w:t>
            </w:r>
          </w:p>
        </w:tc>
      </w:tr>
      <w:tr>
        <w:tc>
          <w:tcPr>
            <w:tcW w:w="4872" w:type="dxa"/>
            <w:vAlign w:val="center"/>
          </w:tcPr>
          <w:p>
            <w:pPr>
              <w:spacing w:before="0" w:after="0"/>
              <w:jc w:val="left"/>
            </w:pPr>
            <w:r>
              <w:rPr>
                <w:sz w:val="18"/>
                <w:szCs w:val="18"/>
              </w:rPr>
              <w:t xml:space="preserve">Other accrued liabilities</w:t>
            </w:r>
          </w:p>
        </w:tc>
        <w:tc>
          <w:tcPr>
            <w:tcW w:w="800" w:type="dxa"/>
            <w:vAlign w:val="center"/>
          </w:tcPr>
          <w:p>
            <w:pPr>
              <w:spacing w:before="0" w:after="0"/>
              <w:jc w:val="left"/>
            </w:pPr>
            <w:r>
              <w:rPr>
                <w:sz w:val="18"/>
                <w:szCs w:val="18"/>
              </w:rPr>
              <w:t xml:space="preserve"/>
            </w:r>
          </w:p>
        </w:tc>
        <w:tc>
          <w:tcPr>
            <w:tcW w:w="1700" w:type="dxa"/>
            <w:vAlign w:val="center"/>
          </w:tcPr>
          <w:p>
            <w:pPr>
              <w:spacing w:before="0" w:after="0"/>
              <w:jc w:val="right"/>
            </w:pPr>
            <w:r>
              <w:rPr>
                <w:sz w:val="18"/>
                <w:szCs w:val="18"/>
              </w:rPr>
              <w:t xml:space="preserve">676</w:t>
            </w:r>
          </w:p>
        </w:tc>
        <w:tc>
          <w:tcPr>
            <w:tcW w:w="1700" w:type="dxa"/>
            <w:vAlign w:val="center"/>
          </w:tcPr>
          <w:p>
            <w:pPr>
              <w:spacing w:before="0" w:after="0"/>
              <w:jc w:val="right"/>
            </w:pPr>
            <w:r>
              <w:rPr>
                <w:sz w:val="18"/>
                <w:szCs w:val="18"/>
              </w:rPr>
              <w:t xml:space="preserve">(108)</w:t>
            </w:r>
          </w:p>
        </w:tc>
      </w:tr>
      <w:tr>
        <w:tc>
          <w:tcPr>
            <w:tcW w:w="4872" w:type="dxa"/>
            <w:vAlign w:val="center"/>
          </w:tcPr>
          <w:p>
            <w:pPr>
              <w:spacing w:before="0" w:after="0"/>
              <w:jc w:val="left"/>
            </w:pPr>
            <w:r>
              <w:rPr>
                <w:b/>
                <w:sz w:val="18"/>
                <w:szCs w:val="18"/>
              </w:rPr>
              <w:t xml:space="preserve">Net cash provided by operating activities</w:t>
            </w:r>
          </w:p>
        </w:tc>
        <w:tc>
          <w:tcPr>
            <w:tcW w:w="800" w:type="dxa"/>
            <w:vAlign w:val="center"/>
          </w:tcPr>
          <w:p>
            <w:pPr>
              <w:spacing w:before="0" w:after="0"/>
              <w:jc w:val="left"/>
            </w:pPr>
            <w:r>
              <w:rPr>
                <w:b/>
                <w:sz w:val="18"/>
                <w:szCs w:val="18"/>
              </w:rPr>
              <w:t xml:space="preserve"/>
            </w:r>
          </w:p>
        </w:tc>
        <w:tc>
          <w:tcPr>
            <w:tcW w:w="1700" w:type="dxa"/>
            <w:vAlign w:val="center"/>
          </w:tcPr>
          <w:p>
            <w:pPr>
              <w:spacing w:before="0" w:after="0"/>
              <w:jc w:val="right"/>
            </w:pPr>
            <w:r>
              <w:rPr>
                <w:b/>
                <w:sz w:val="18"/>
                <w:szCs w:val="18"/>
              </w:rPr>
              <w:t xml:space="preserve">35,441</w:t>
            </w:r>
          </w:p>
        </w:tc>
        <w:tc>
          <w:tcPr>
            <w:tcW w:w="1700" w:type="dxa"/>
            <w:vAlign w:val="center"/>
          </w:tcPr>
          <w:p>
            <w:pPr>
              <w:spacing w:before="0" w:after="0"/>
              <w:jc w:val="right"/>
            </w:pPr>
            <w:r>
              <w:rPr>
                <w:b/>
                <w:sz w:val="18"/>
                <w:szCs w:val="18"/>
              </w:rPr>
              <w:t xml:space="preserve">39,208</w:t>
            </w:r>
          </w:p>
        </w:tc>
      </w:tr>
      <w:tr>
        <w:tc>
          <w:tcPr>
            <w:tcW w:w="4872" w:type="dxa"/>
            <w:vAlign w:val="center"/>
          </w:tcPr>
          <w:p>
            <w:pPr>
              <w:spacing w:before="0" w:after="0"/>
              <w:jc w:val="left"/>
            </w:pPr>
            <w:r>
              <w:rPr>
                <w:b/>
                <w:sz w:val="18"/>
                <w:szCs w:val="18"/>
              </w:rPr>
              <w:t xml:space="preserve">Cash flows from investing activities</w:t>
            </w:r>
          </w:p>
        </w:tc>
        <w:tc>
          <w:tcPr>
            <w:tcW w:w="800" w:type="dxa"/>
            <w:vAlign w:val="center"/>
          </w:tcPr>
          <w:p>
            <w:pPr>
              <w:spacing w:before="0" w:after="0"/>
              <w:jc w:val="left"/>
            </w:pPr>
            <w:r>
              <w:rPr>
                <w:b/>
                <w:sz w:val="18"/>
                <w:szCs w:val="18"/>
              </w:rPr>
              <w:t xml:space="preserve"/>
            </w:r>
          </w:p>
        </w:tc>
        <w:tc>
          <w:tcPr>
            <w:tcW w:w="1700" w:type="dxa"/>
            <w:vAlign w:val="center"/>
          </w:tcPr>
          <w:p>
            <w:pPr>
              <w:spacing w:before="0" w:after="0"/>
              <w:jc w:val="right"/>
            </w:pPr>
            <w:r>
              <w:rPr>
                <w:b/>
                <w:sz w:val="18"/>
                <w:szCs w:val="18"/>
              </w:rPr>
              <w:t xml:space="preserve"/>
            </w:r>
          </w:p>
        </w:tc>
        <w:tc>
          <w:tcPr>
            <w:tcW w:w="1700" w:type="dxa"/>
            <w:vAlign w:val="center"/>
          </w:tcPr>
          <w:p>
            <w:pPr>
              <w:spacing w:before="0" w:after="0"/>
              <w:jc w:val="right"/>
            </w:pPr>
            <w:r>
              <w:rPr>
                <w:b/>
                <w:sz w:val="18"/>
                <w:szCs w:val="18"/>
              </w:rPr>
              <w:t xml:space="preserve"/>
            </w:r>
          </w:p>
        </w:tc>
      </w:tr>
      <w:tr>
        <w:tc>
          <w:tcPr>
            <w:tcW w:w="4872" w:type="dxa"/>
            <w:vAlign w:val="center"/>
          </w:tcPr>
          <w:p>
            <w:pPr>
              <w:spacing w:before="0" w:after="0"/>
              <w:jc w:val="left"/>
            </w:pPr>
            <w:r>
              <w:rPr>
                <w:sz w:val="18"/>
                <w:szCs w:val="18"/>
              </w:rPr>
              <w:t xml:space="preserve">Purchases of property and equipment</w:t>
            </w:r>
          </w:p>
        </w:tc>
        <w:tc>
          <w:tcPr>
            <w:tcW w:w="800" w:type="dxa"/>
            <w:vAlign w:val="center"/>
          </w:tcPr>
          <w:p>
            <w:pPr>
              <w:spacing w:before="0" w:after="0"/>
              <w:jc w:val="left"/>
            </w:pPr>
            <w:r>
              <w:rPr>
                <w:sz w:val="18"/>
                <w:szCs w:val="18"/>
              </w:rPr>
              <w:t xml:space="preserve"/>
            </w:r>
          </w:p>
        </w:tc>
        <w:tc>
          <w:tcPr>
            <w:tcW w:w="1700" w:type="dxa"/>
            <w:vAlign w:val="center"/>
          </w:tcPr>
          <w:p>
            <w:pPr>
              <w:spacing w:before="0" w:after="0"/>
              <w:jc w:val="right"/>
            </w:pPr>
            <w:r>
              <w:rPr>
                <w:sz w:val="18"/>
                <w:szCs w:val="18"/>
              </w:rPr>
              <w:t xml:space="preserve">(20,375)</w:t>
            </w:r>
          </w:p>
        </w:tc>
        <w:tc>
          <w:tcPr>
            <w:tcW w:w="1700" w:type="dxa"/>
            <w:vAlign w:val="center"/>
          </w:tcPr>
          <w:p>
            <w:pPr>
              <w:spacing w:before="0" w:after="0"/>
              <w:jc w:val="right"/>
            </w:pPr>
            <w:r>
              <w:rPr>
                <w:sz w:val="18"/>
                <w:szCs w:val="18"/>
              </w:rPr>
              <w:t xml:space="preserve">(25,901)</w:t>
            </w:r>
          </w:p>
        </w:tc>
      </w:tr>
      <w:tr>
        <w:tc>
          <w:tcPr>
            <w:tcW w:w="4872" w:type="dxa"/>
            <w:vAlign w:val="center"/>
          </w:tcPr>
          <w:p>
            <w:pPr>
              <w:spacing w:before="0" w:after="0"/>
              <w:jc w:val="left"/>
            </w:pPr>
            <w:r>
              <w:rPr>
                <w:sz w:val="18"/>
                <w:szCs w:val="18"/>
              </w:rPr>
              <w:t xml:space="preserve">Purchases of roasting equipment</w:t>
            </w:r>
          </w:p>
        </w:tc>
        <w:tc>
          <w:tcPr>
            <w:tcW w:w="800" w:type="dxa"/>
            <w:vAlign w:val="center"/>
          </w:tcPr>
          <w:p>
            <w:pPr>
              <w:spacing w:before="0" w:after="0"/>
              <w:jc w:val="left"/>
            </w:pPr>
            <w:r>
              <w:rPr>
                <w:sz w:val="18"/>
                <w:szCs w:val="18"/>
              </w:rPr>
              <w:t xml:space="preserve"/>
            </w:r>
          </w:p>
        </w:tc>
        <w:tc>
          <w:tcPr>
            <w:tcW w:w="1700" w:type="dxa"/>
            <w:vAlign w:val="center"/>
          </w:tcPr>
          <w:p>
            <w:pPr>
              <w:spacing w:before="0" w:after="0"/>
              <w:jc w:val="right"/>
            </w:pPr>
            <w:r>
              <w:rPr>
                <w:sz w:val="18"/>
                <w:szCs w:val="18"/>
              </w:rPr>
              <w:t xml:space="preserve">(2,263)</w:t>
            </w:r>
          </w:p>
        </w:tc>
        <w:tc>
          <w:tcPr>
            <w:tcW w:w="1700" w:type="dxa"/>
            <w:vAlign w:val="center"/>
          </w:tcPr>
          <w:p>
            <w:pPr>
              <w:spacing w:before="0" w:after="0"/>
              <w:jc w:val="right"/>
            </w:pPr>
            <w:r>
              <w:rPr>
                <w:sz w:val="18"/>
                <w:szCs w:val="18"/>
              </w:rPr>
              <w:t xml:space="preserve">(3,224)</w:t>
            </w:r>
          </w:p>
        </w:tc>
      </w:tr>
      <w:tr>
        <w:tc>
          <w:tcPr>
            <w:tcW w:w="4872" w:type="dxa"/>
            <w:vAlign w:val="center"/>
          </w:tcPr>
          <w:p>
            <w:pPr>
              <w:spacing w:before="0" w:after="0"/>
              <w:jc w:val="left"/>
            </w:pPr>
            <w:r>
              <w:rPr>
                <w:sz w:val="18"/>
                <w:szCs w:val="18"/>
              </w:rPr>
              <w:t xml:space="preserve">Purchases of short-term investments</w:t>
            </w:r>
          </w:p>
        </w:tc>
        <w:tc>
          <w:tcPr>
            <w:tcW w:w="800" w:type="dxa"/>
            <w:vAlign w:val="center"/>
          </w:tcPr>
          <w:p>
            <w:pPr>
              <w:spacing w:before="0" w:after="0"/>
              <w:jc w:val="left"/>
            </w:pPr>
            <w:r>
              <w:rPr>
                <w:sz w:val="18"/>
                <w:szCs w:val="18"/>
              </w:rPr>
              <w:t xml:space="preserve"/>
            </w:r>
          </w:p>
        </w:tc>
        <w:tc>
          <w:tcPr>
            <w:tcW w:w="1700" w:type="dxa"/>
            <w:vAlign w:val="center"/>
          </w:tcPr>
          <w:p>
            <w:pPr>
              <w:spacing w:before="0" w:after="0"/>
              <w:jc w:val="right"/>
            </w:pPr>
            <w:r>
              <w:rPr>
                <w:sz w:val="18"/>
                <w:szCs w:val="18"/>
              </w:rPr>
              <w:t xml:space="preserve">(3,895)</w:t>
            </w:r>
          </w:p>
        </w:tc>
        <w:tc>
          <w:tcPr>
            <w:tcW w:w="1700" w:type="dxa"/>
            <w:vAlign w:val="center"/>
          </w:tcPr>
          <w:p>
            <w:pPr>
              <w:spacing w:before="0" w:after="0"/>
              <w:jc w:val="right"/>
            </w:pPr>
            <w:r>
              <w:rPr>
                <w:sz w:val="18"/>
                <w:szCs w:val="18"/>
              </w:rPr>
              <w:t xml:space="preserve">(3,259)</w:t>
            </w:r>
          </w:p>
        </w:tc>
      </w:tr>
      <w:tr>
        <w:tc>
          <w:tcPr>
            <w:tcW w:w="4872" w:type="dxa"/>
            <w:vAlign w:val="center"/>
          </w:tcPr>
          <w:p>
            <w:pPr>
              <w:spacing w:before="0" w:after="0"/>
              <w:jc w:val="left"/>
            </w:pPr>
            <w:r>
              <w:rPr>
                <w:sz w:val="18"/>
                <w:szCs w:val="18"/>
              </w:rPr>
              <w:t xml:space="preserve">Maturities of short-term investments</w:t>
            </w:r>
          </w:p>
        </w:tc>
        <w:tc>
          <w:tcPr>
            <w:tcW w:w="800" w:type="dxa"/>
            <w:vAlign w:val="center"/>
          </w:tcPr>
          <w:p>
            <w:pPr>
              <w:spacing w:before="0" w:after="0"/>
              <w:jc w:val="left"/>
            </w:pPr>
            <w:r>
              <w:rPr>
                <w:sz w:val="18"/>
                <w:szCs w:val="18"/>
              </w:rPr>
              <w:t xml:space="preserve"/>
            </w:r>
          </w:p>
        </w:tc>
        <w:tc>
          <w:tcPr>
            <w:tcW w:w="1700" w:type="dxa"/>
            <w:vAlign w:val="center"/>
          </w:tcPr>
          <w:p>
            <w:pPr>
              <w:spacing w:before="0" w:after="0"/>
              <w:jc w:val="right"/>
            </w:pPr>
            <w:r>
              <w:rPr>
                <w:sz w:val="18"/>
                <w:szCs w:val="18"/>
              </w:rPr>
              <w:t xml:space="preserve">2,403</w:t>
            </w:r>
          </w:p>
        </w:tc>
        <w:tc>
          <w:tcPr>
            <w:tcW w:w="1700" w:type="dxa"/>
            <w:vAlign w:val="center"/>
          </w:tcPr>
          <w:p>
            <w:pPr>
              <w:spacing w:before="0" w:after="0"/>
              <w:jc w:val="right"/>
            </w:pPr>
            <w:r>
              <w:rPr>
                <w:sz w:val="18"/>
                <w:szCs w:val="18"/>
              </w:rPr>
              <w:t xml:space="preserve">3,968</w:t>
            </w:r>
          </w:p>
        </w:tc>
      </w:tr>
      <w:tr>
        <w:tc>
          <w:tcPr>
            <w:tcW w:w="4872" w:type="dxa"/>
            <w:vAlign w:val="center"/>
          </w:tcPr>
          <w:p>
            <w:pPr>
              <w:spacing w:before="0" w:after="0"/>
              <w:jc w:val="left"/>
            </w:pPr>
            <w:r>
              <w:rPr>
                <w:b/>
                <w:sz w:val="18"/>
                <w:szCs w:val="18"/>
              </w:rPr>
              <w:t xml:space="preserve">Net cash used in investing activities</w:t>
            </w:r>
          </w:p>
        </w:tc>
        <w:tc>
          <w:tcPr>
            <w:tcW w:w="800" w:type="dxa"/>
            <w:vAlign w:val="center"/>
          </w:tcPr>
          <w:p>
            <w:pPr>
              <w:spacing w:before="0" w:after="0"/>
              <w:jc w:val="left"/>
            </w:pPr>
            <w:r>
              <w:rPr>
                <w:b/>
                <w:sz w:val="18"/>
                <w:szCs w:val="18"/>
              </w:rPr>
              <w:t xml:space="preserve"/>
            </w:r>
          </w:p>
        </w:tc>
        <w:tc>
          <w:tcPr>
            <w:tcW w:w="1700" w:type="dxa"/>
            <w:vAlign w:val="center"/>
          </w:tcPr>
          <w:p>
            <w:pPr>
              <w:spacing w:before="0" w:after="0"/>
              <w:jc w:val="right"/>
            </w:pPr>
            <w:r>
              <w:rPr>
                <w:b/>
                <w:sz w:val="18"/>
                <w:szCs w:val="18"/>
              </w:rPr>
              <w:t xml:space="preserve">(24,130)</w:t>
            </w:r>
          </w:p>
        </w:tc>
        <w:tc>
          <w:tcPr>
            <w:tcW w:w="1700" w:type="dxa"/>
            <w:vAlign w:val="center"/>
          </w:tcPr>
          <w:p>
            <w:pPr>
              <w:spacing w:before="0" w:after="0"/>
              <w:jc w:val="right"/>
            </w:pPr>
            <w:r>
              <w:rPr>
                <w:b/>
                <w:sz w:val="18"/>
                <w:szCs w:val="18"/>
              </w:rPr>
              <w:t xml:space="preserve">(28,416)</w:t>
            </w:r>
          </w:p>
        </w:tc>
      </w:tr>
      <w:tr>
        <w:tc>
          <w:tcPr>
            <w:tcW w:w="4872" w:type="dxa"/>
            <w:vAlign w:val="center"/>
          </w:tcPr>
          <w:p>
            <w:pPr>
              <w:spacing w:before="0" w:after="0"/>
              <w:jc w:val="left"/>
            </w:pPr>
            <w:r>
              <w:rPr>
                <w:b/>
                <w:sz w:val="18"/>
                <w:szCs w:val="18"/>
              </w:rPr>
              <w:t xml:space="preserve">Cash flows from financing activities</w:t>
            </w:r>
          </w:p>
        </w:tc>
        <w:tc>
          <w:tcPr>
            <w:tcW w:w="800" w:type="dxa"/>
            <w:vAlign w:val="center"/>
          </w:tcPr>
          <w:p>
            <w:pPr>
              <w:spacing w:before="0" w:after="0"/>
              <w:jc w:val="left"/>
            </w:pPr>
            <w:r>
              <w:rPr>
                <w:b/>
                <w:sz w:val="18"/>
                <w:szCs w:val="18"/>
              </w:rPr>
              <w:t xml:space="preserve"/>
            </w:r>
          </w:p>
        </w:tc>
        <w:tc>
          <w:tcPr>
            <w:tcW w:w="1700" w:type="dxa"/>
            <w:vAlign w:val="center"/>
          </w:tcPr>
          <w:p>
            <w:pPr>
              <w:spacing w:before="0" w:after="0"/>
              <w:jc w:val="right"/>
            </w:pPr>
            <w:r>
              <w:rPr>
                <w:b/>
                <w:sz w:val="18"/>
                <w:szCs w:val="18"/>
              </w:rPr>
              <w:t xml:space="preserve"/>
            </w:r>
          </w:p>
        </w:tc>
        <w:tc>
          <w:tcPr>
            <w:tcW w:w="1700" w:type="dxa"/>
            <w:vAlign w:val="center"/>
          </w:tcPr>
          <w:p>
            <w:pPr>
              <w:spacing w:before="0" w:after="0"/>
              <w:jc w:val="right"/>
            </w:pPr>
            <w:r>
              <w:rPr>
                <w:b/>
                <w:sz w:val="18"/>
                <w:szCs w:val="18"/>
              </w:rPr>
              <w:t xml:space="preserve"/>
            </w:r>
          </w:p>
        </w:tc>
      </w:tr>
      <w:tr>
        <w:tc>
          <w:tcPr>
            <w:tcW w:w="4872" w:type="dxa"/>
            <w:vAlign w:val="center"/>
          </w:tcPr>
          <w:p>
            <w:pPr>
              <w:spacing w:before="0" w:after="0"/>
              <w:jc w:val="left"/>
            </w:pPr>
            <w:r>
              <w:rPr>
                <w:sz w:val="18"/>
                <w:szCs w:val="18"/>
              </w:rPr>
              <w:t xml:space="preserve">Proceeds from borrowings under the credit facility</w:t>
            </w:r>
          </w:p>
        </w:tc>
        <w:tc>
          <w:tcPr>
            <w:tcW w:w="800" w:type="dxa"/>
            <w:vAlign w:val="center"/>
          </w:tcPr>
          <w:p>
            <w:pPr>
              <w:spacing w:before="0" w:after="0"/>
              <w:jc w:val="left"/>
            </w:pPr>
            <w:r>
              <w:rPr>
                <w:sz w:val="18"/>
                <w:szCs w:val="18"/>
              </w:rPr>
              <w:t xml:space="preserve"/>
            </w:r>
          </w:p>
        </w:tc>
        <w:tc>
          <w:tcPr>
            <w:tcW w:w="1700" w:type="dxa"/>
            <w:vAlign w:val="center"/>
          </w:tcPr>
          <w:p>
            <w:pPr>
              <w:spacing w:before="0" w:after="0"/>
              <w:jc w:val="right"/>
            </w:pPr>
            <w:r>
              <w:rPr>
                <w:sz w:val="18"/>
                <w:szCs w:val="18"/>
              </w:rPr>
              <w:t xml:space="preserve">865</w:t>
            </w:r>
          </w:p>
        </w:tc>
        <w:tc>
          <w:tcPr>
            <w:tcW w:w="1700" w:type="dxa"/>
            <w:vAlign w:val="center"/>
          </w:tcPr>
          <w:p>
            <w:pPr>
              <w:spacing w:before="0" w:after="0"/>
              <w:jc w:val="right"/>
            </w:pPr>
            <w:r>
              <w:rPr>
                <w:sz w:val="18"/>
                <w:szCs w:val="18"/>
              </w:rPr>
              <w:t xml:space="preserve">4,622</w:t>
            </w:r>
          </w:p>
        </w:tc>
      </w:tr>
      <w:tr>
        <w:tc>
          <w:tcPr>
            <w:tcW w:w="4872" w:type="dxa"/>
            <w:vAlign w:val="center"/>
          </w:tcPr>
          <w:p>
            <w:pPr>
              <w:spacing w:before="0" w:after="0"/>
              <w:jc w:val="left"/>
            </w:pPr>
            <w:r>
              <w:rPr>
                <w:sz w:val="18"/>
                <w:szCs w:val="18"/>
              </w:rPr>
              <w:t xml:space="preserve">Repayments of long-term debt</w:t>
            </w:r>
          </w:p>
        </w:tc>
        <w:tc>
          <w:tcPr>
            <w:tcW w:w="800" w:type="dxa"/>
            <w:vAlign w:val="center"/>
          </w:tcPr>
          <w:p>
            <w:pPr>
              <w:spacing w:before="0" w:after="0"/>
              <w:jc w:val="left"/>
            </w:pPr>
            <w:r>
              <w:rPr>
                <w:sz w:val="18"/>
                <w:szCs w:val="18"/>
              </w:rPr>
              <w:t xml:space="preserve"/>
            </w:r>
          </w:p>
        </w:tc>
        <w:tc>
          <w:tcPr>
            <w:tcW w:w="1700" w:type="dxa"/>
            <w:vAlign w:val="center"/>
          </w:tcPr>
          <w:p>
            <w:pPr>
              <w:spacing w:before="0" w:after="0"/>
              <w:jc w:val="right"/>
            </w:pPr>
            <w:r>
              <w:rPr>
                <w:sz w:val="18"/>
                <w:szCs w:val="18"/>
              </w:rPr>
              <w:t xml:space="preserve">(2,936)</w:t>
            </w:r>
          </w:p>
        </w:tc>
        <w:tc>
          <w:tcPr>
            <w:tcW w:w="1700" w:type="dxa"/>
            <w:vAlign w:val="center"/>
          </w:tcPr>
          <w:p>
            <w:pPr>
              <w:spacing w:before="0" w:after="0"/>
              <w:jc w:val="right"/>
            </w:pPr>
            <w:r>
              <w:rPr>
                <w:sz w:val="18"/>
                <w:szCs w:val="18"/>
              </w:rPr>
              <w:t xml:space="preserve">(4,174)</w:t>
            </w:r>
          </w:p>
        </w:tc>
      </w:tr>
      <w:tr>
        <w:tc>
          <w:tcPr>
            <w:tcW w:w="4872" w:type="dxa"/>
            <w:vAlign w:val="center"/>
          </w:tcPr>
          <w:p>
            <w:pPr>
              <w:spacing w:before="0" w:after="0"/>
              <w:jc w:val="left"/>
            </w:pPr>
            <w:r>
              <w:rPr>
                <w:sz w:val="18"/>
                <w:szCs w:val="18"/>
              </w:rPr>
              <w:t xml:space="preserve">Dividends paid</w:t>
            </w:r>
          </w:p>
        </w:tc>
        <w:tc>
          <w:tcPr>
            <w:tcW w:w="800" w:type="dxa"/>
            <w:vAlign w:val="center"/>
          </w:tcPr>
          <w:p>
            <w:pPr>
              <w:spacing w:before="0" w:after="0"/>
              <w:jc w:val="left"/>
            </w:pPr>
            <w:r>
              <w:rPr>
                <w:sz w:val="18"/>
                <w:szCs w:val="18"/>
              </w:rPr>
              <w:t xml:space="preserve"/>
            </w:r>
          </w:p>
        </w:tc>
        <w:tc>
          <w:tcPr>
            <w:tcW w:w="1700" w:type="dxa"/>
            <w:vAlign w:val="center"/>
          </w:tcPr>
          <w:p>
            <w:pPr>
              <w:spacing w:before="0" w:after="0"/>
              <w:jc w:val="right"/>
            </w:pPr>
            <w:r>
              <w:rPr>
                <w:sz w:val="18"/>
                <w:szCs w:val="18"/>
              </w:rPr>
              <w:t xml:space="preserve">(2,841)</w:t>
            </w:r>
          </w:p>
        </w:tc>
        <w:tc>
          <w:tcPr>
            <w:tcW w:w="1700" w:type="dxa"/>
            <w:vAlign w:val="center"/>
          </w:tcPr>
          <w:p>
            <w:pPr>
              <w:spacing w:before="0" w:after="0"/>
              <w:jc w:val="right"/>
            </w:pPr>
            <w:r>
              <w:rPr>
                <w:sz w:val="18"/>
                <w:szCs w:val="18"/>
              </w:rPr>
              <w:t xml:space="preserve">(3,264)</w:t>
            </w:r>
          </w:p>
        </w:tc>
      </w:tr>
      <w:tr>
        <w:tc>
          <w:tcPr>
            <w:tcW w:w="4872" w:type="dxa"/>
            <w:vAlign w:val="center"/>
          </w:tcPr>
          <w:p>
            <w:pPr>
              <w:spacing w:before="0" w:after="0"/>
              <w:jc w:val="left"/>
            </w:pPr>
            <w:r>
              <w:rPr>
                <w:sz w:val="18"/>
                <w:szCs w:val="18"/>
              </w:rPr>
              <w:t xml:space="preserve">Proceeds from exercise of stock options</w:t>
            </w:r>
          </w:p>
        </w:tc>
        <w:tc>
          <w:tcPr>
            <w:tcW w:w="800" w:type="dxa"/>
            <w:vAlign w:val="center"/>
          </w:tcPr>
          <w:p>
            <w:pPr>
              <w:spacing w:before="0" w:after="0"/>
              <w:jc w:val="left"/>
            </w:pPr>
            <w:r>
              <w:rPr>
                <w:sz w:val="18"/>
                <w:szCs w:val="18"/>
              </w:rPr>
              <w:t xml:space="preserve"/>
            </w:r>
          </w:p>
        </w:tc>
        <w:tc>
          <w:tcPr>
            <w:tcW w:w="1700" w:type="dxa"/>
            <w:vAlign w:val="center"/>
          </w:tcPr>
          <w:p>
            <w:pPr>
              <w:spacing w:before="0" w:after="0"/>
              <w:jc w:val="right"/>
            </w:pPr>
            <w:r>
              <w:rPr>
                <w:sz w:val="18"/>
                <w:szCs w:val="18"/>
              </w:rPr>
              <w:t xml:space="preserve">331</w:t>
            </w:r>
          </w:p>
        </w:tc>
        <w:tc>
          <w:tcPr>
            <w:tcW w:w="1700" w:type="dxa"/>
            <w:vAlign w:val="center"/>
          </w:tcPr>
          <w:p>
            <w:pPr>
              <w:spacing w:before="0" w:after="0"/>
              <w:jc w:val="right"/>
            </w:pPr>
            <w:r>
              <w:rPr>
                <w:sz w:val="18"/>
                <w:szCs w:val="18"/>
              </w:rPr>
              <w:t xml:space="preserve">802</w:t>
            </w:r>
          </w:p>
        </w:tc>
      </w:tr>
      <w:tr>
        <w:tc>
          <w:tcPr>
            <w:tcW w:w="4872" w:type="dxa"/>
            <w:vAlign w:val="center"/>
          </w:tcPr>
          <w:p>
            <w:pPr>
              <w:spacing w:before="0" w:after="0"/>
              <w:jc w:val="left"/>
            </w:pPr>
            <w:r>
              <w:rPr>
                <w:b/>
                <w:sz w:val="18"/>
                <w:szCs w:val="18"/>
              </w:rPr>
              <w:t xml:space="preserve">Net cash used in financing activities</w:t>
            </w:r>
          </w:p>
        </w:tc>
        <w:tc>
          <w:tcPr>
            <w:tcW w:w="800" w:type="dxa"/>
            <w:vAlign w:val="center"/>
          </w:tcPr>
          <w:p>
            <w:pPr>
              <w:spacing w:before="0" w:after="0"/>
              <w:jc w:val="left"/>
            </w:pPr>
            <w:r>
              <w:rPr>
                <w:b/>
                <w:sz w:val="18"/>
                <w:szCs w:val="18"/>
              </w:rPr>
              <w:t xml:space="preserve"/>
            </w:r>
          </w:p>
        </w:tc>
        <w:tc>
          <w:tcPr>
            <w:tcW w:w="1700" w:type="dxa"/>
            <w:vAlign w:val="center"/>
          </w:tcPr>
          <w:p>
            <w:pPr>
              <w:spacing w:before="0" w:after="0"/>
              <w:jc w:val="right"/>
            </w:pPr>
            <w:r>
              <w:rPr>
                <w:b/>
                <w:sz w:val="18"/>
                <w:szCs w:val="18"/>
              </w:rPr>
              <w:t xml:space="preserve">(4,582)</w:t>
            </w:r>
          </w:p>
        </w:tc>
        <w:tc>
          <w:tcPr>
            <w:tcW w:w="1700" w:type="dxa"/>
            <w:vAlign w:val="center"/>
          </w:tcPr>
          <w:p>
            <w:pPr>
              <w:spacing w:before="0" w:after="0"/>
              <w:jc w:val="right"/>
            </w:pPr>
            <w:r>
              <w:rPr>
                <w:b/>
                <w:sz w:val="18"/>
                <w:szCs w:val="18"/>
              </w:rPr>
              <w:t xml:space="preserve">(2,014)</w:t>
            </w:r>
          </w:p>
        </w:tc>
      </w:tr>
      <w:tr>
        <w:tc>
          <w:tcPr>
            <w:tcW w:w="4872" w:type="dxa"/>
            <w:vAlign w:val="center"/>
          </w:tcPr>
          <w:p>
            <w:pPr>
              <w:spacing w:before="0" w:after="0"/>
              <w:jc w:val="left"/>
            </w:pPr>
            <w:r>
              <w:rPr>
                <w:b/>
                <w:sz w:val="18"/>
                <w:szCs w:val="18"/>
              </w:rPr>
              <w:t xml:space="preserve">Net increase (decrease) in cash and cash equivalents</w:t>
            </w:r>
          </w:p>
        </w:tc>
        <w:tc>
          <w:tcPr>
            <w:tcW w:w="800" w:type="dxa"/>
            <w:vAlign w:val="center"/>
          </w:tcPr>
          <w:p>
            <w:pPr>
              <w:spacing w:before="0" w:after="0"/>
              <w:jc w:val="left"/>
            </w:pPr>
            <w:r>
              <w:rPr>
                <w:b/>
                <w:sz w:val="18"/>
                <w:szCs w:val="18"/>
              </w:rPr>
              <w:t xml:space="preserve"/>
            </w:r>
          </w:p>
        </w:tc>
        <w:tc>
          <w:tcPr>
            <w:tcW w:w="1700" w:type="dxa"/>
            <w:vAlign w:val="center"/>
          </w:tcPr>
          <w:p>
            <w:pPr>
              <w:spacing w:before="0" w:after="0"/>
              <w:jc w:val="right"/>
            </w:pPr>
            <w:r>
              <w:rPr>
                <w:b/>
                <w:sz w:val="18"/>
                <w:szCs w:val="18"/>
              </w:rPr>
              <w:t xml:space="preserve">6,729</w:t>
            </w:r>
          </w:p>
        </w:tc>
        <w:tc>
          <w:tcPr>
            <w:tcW w:w="1700" w:type="dxa"/>
            <w:vAlign w:val="center"/>
          </w:tcPr>
          <w:p>
            <w:pPr>
              <w:spacing w:before="0" w:after="0"/>
              <w:jc w:val="right"/>
            </w:pPr>
            <w:r>
              <w:rPr>
                <w:b/>
                <w:sz w:val="18"/>
                <w:szCs w:val="18"/>
              </w:rPr>
              <w:t xml:space="preserve">8,778</w:t>
            </w:r>
          </w:p>
        </w:tc>
      </w:tr>
      <w:tr>
        <w:tc>
          <w:tcPr>
            <w:tcW w:w="4872" w:type="dxa"/>
            <w:vAlign w:val="center"/>
          </w:tcPr>
          <w:p>
            <w:pPr>
              <w:spacing w:before="0" w:after="0"/>
              <w:jc w:val="left"/>
            </w:pPr>
            <w:r>
              <w:rPr>
                <w:sz w:val="18"/>
                <w:szCs w:val="18"/>
              </w:rPr>
              <w:t xml:space="preserve">Cash and cash equivalents at beginning of period</w:t>
            </w:r>
          </w:p>
        </w:tc>
        <w:tc>
          <w:tcPr>
            <w:tcW w:w="800" w:type="dxa"/>
            <w:vAlign w:val="center"/>
          </w:tcPr>
          <w:p>
            <w:pPr>
              <w:spacing w:before="0" w:after="0"/>
              <w:jc w:val="left"/>
            </w:pPr>
            <w:r>
              <w:rPr>
                <w:sz w:val="18"/>
                <w:szCs w:val="18"/>
              </w:rPr>
              <w:t xml:space="preserve"/>
            </w:r>
          </w:p>
        </w:tc>
        <w:tc>
          <w:tcPr>
            <w:tcW w:w="1700" w:type="dxa"/>
            <w:vAlign w:val="center"/>
          </w:tcPr>
          <w:p>
            <w:pPr>
              <w:spacing w:before="0" w:after="0"/>
              <w:jc w:val="right"/>
            </w:pPr>
            <w:r>
              <w:rPr>
                <w:sz w:val="18"/>
                <w:szCs w:val="18"/>
              </w:rPr>
              <w:t xml:space="preserve">23,890</w:t>
            </w:r>
          </w:p>
        </w:tc>
        <w:tc>
          <w:tcPr>
            <w:tcW w:w="1700" w:type="dxa"/>
            <w:vAlign w:val="center"/>
          </w:tcPr>
          <w:p>
            <w:pPr>
              <w:spacing w:before="0" w:after="0"/>
              <w:jc w:val="right"/>
            </w:pPr>
            <w:r>
              <w:rPr>
                <w:sz w:val="18"/>
                <w:szCs w:val="18"/>
              </w:rPr>
              <w:t xml:space="preserve">28,012</w:t>
            </w:r>
          </w:p>
        </w:tc>
      </w:tr>
      <w:tr>
        <w:tc>
          <w:tcPr>
            <w:tcW w:w="4872" w:type="dxa"/>
            <w:vAlign w:val="center"/>
          </w:tcPr>
          <w:p>
            <w:pPr>
              <w:spacing w:before="0" w:after="0"/>
              <w:jc w:val="left"/>
            </w:pPr>
            <w:r>
              <w:rPr>
                <w:b/>
                <w:sz w:val="18"/>
                <w:szCs w:val="18"/>
              </w:rPr>
              <w:t xml:space="preserve">Cash and cash equivalents at end of period</w:t>
            </w:r>
          </w:p>
        </w:tc>
        <w:tc>
          <w:tcPr>
            <w:tcW w:w="800" w:type="dxa"/>
            <w:vAlign w:val="center"/>
          </w:tcPr>
          <w:p>
            <w:pPr>
              <w:spacing w:before="0" w:after="0"/>
              <w:jc w:val="left"/>
            </w:pPr>
            <w:r>
              <w:rPr>
                <w:b/>
                <w:sz w:val="18"/>
                <w:szCs w:val="18"/>
              </w:rPr>
              <w:t xml:space="preserve"/>
            </w:r>
          </w:p>
        </w:tc>
        <w:tc>
          <w:tcPr>
            <w:tcW w:w="1700" w:type="dxa"/>
            <w:vAlign w:val="center"/>
          </w:tcPr>
          <w:p>
            <w:pPr>
              <w:spacing w:before="0" w:after="0"/>
              <w:jc w:val="right"/>
            </w:pPr>
            <w:r>
              <w:rPr>
                <w:b/>
                <w:sz w:val="18"/>
                <w:szCs w:val="18"/>
              </w:rPr>
              <w:t xml:space="preserve">30,619</w:t>
            </w:r>
          </w:p>
        </w:tc>
        <w:tc>
          <w:tcPr>
            <w:tcW w:w="1700" w:type="dxa"/>
            <w:vAlign w:val="center"/>
          </w:tcPr>
          <w:p>
            <w:pPr>
              <w:spacing w:before="0" w:after="0"/>
              <w:jc w:val="right"/>
            </w:pPr>
            <w:r>
              <w:rPr>
                <w:b/>
                <w:sz w:val="18"/>
                <w:szCs w:val="18"/>
              </w:rPr>
              <w:t xml:space="preserve">36,791</w:t>
            </w:r>
          </w:p>
        </w:tc>
      </w:tr>
    </w:tbl>
    <w:p>
      <w:pPr/>
    </w:p>
    <w:p>
      <w:pPr>
        <w:pStyle w:val="Heading3"/>
        <w:keepNext/>
      </w:pPr>
      <w:r>
        <w:t xml:space="preserve">Notes to the Financial Statements</w:t>
      </w:r>
    </w:p>
    <w:p>
      <w:pPr>
        <w:keepNext/>
      </w:pPr>
      <w:r>
        <w:rPr>
          <w:b/>
        </w:rPr>
        <w:t xml:space="preserve">1. Summary of significant accounting policies</w:t>
      </w:r>
    </w:p>
    <w:p>
      <w:pPr>
        <w:ind w:left="0" w:firstLine="360"/>
      </w:pPr>
      <w:r>
        <w:t xml:space="preserve">Food safety incidents, whether or not they occur at our stores, could harm the reputation of the Nimbus Coffee brand and reduce customer traffic. Net cash used in financing activities was $22,386 thousand, reflecting repayments of the term loan and dividends paid. Revenue from wholesale customers was $62,358 thousand, or 11.4% of total revenue. Energy use per store decreased 18.0% compared with the prior year, as older espresso machines and refrigerators were replaced with more efficient models. During the fiscal year, the Company opened 11 new stores and closed 4 stores whose leases expired.</w:t>
      </w:r>
    </w:p>
    <w:p>
      <w:pPr>
        <w:ind w:left="0" w:firstLine="360"/>
      </w:pPr>
      <w:r>
        <w:t xml:space="preserve">The price of green coffee is volatile, and a sustained increase could reduce gross margin if Nimbus Coffee is unable to pass the cost on to customers through menu prices. Revenue from stores in the Westridge region increased 14.5% compared with the prior year, while its share of total revenue was little changed. Green coffee is purchased from exporters and cooperatives in Central America, South America and East Africa under fixed-price contracts that generally cover the next nine to twelve months of expected needs.</w:t>
      </w:r>
    </w:p>
    <w:p>
      <w:pPr>
        <w:ind w:left="0" w:firstLine="360"/>
      </w:pPr>
      <w:r>
        <w:t xml:space="preserve">Net cash used in investing activities was $20,120 thousand, primarily for purchases of property and equipment. Energy use per store decreased 6.2% compared with the prior year, as older espresso machines and refrigerators were replaced with more efficient models. Weather affects customer traffic: cold drinks sell best in summer, while hot beverages and whole beans sell best from October through February. Each store is managed by a store manager who reports to a district manager, and district managers report to the director for their region. Revenue from loyalty rewards is deferred until the reward is redeemed or expires. Revenue from loyalty rewards is deferred until the reward is redeemed or expires.</w:t>
      </w:r>
    </w:p>
    <w:tbl>
      <w:tblPr>
        <w:tblW w:w="907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72" w:type="dxa"/>
          <w:right w:w="72" w:type="dxa"/>
        </w:tblCellMar>
      </w:tblPr>
      <w:tblGrid>
        <w:gridCol w:w="4072"/>
        <w:gridCol w:w="2500"/>
        <w:gridCol w:w="2500"/>
      </w:tblGrid>
      <w:tr>
        <w:trPr>
          <w:tblHeader/>
        </w:trPr>
        <w:tc>
          <w:tcPr>
            <w:tcW w:w="4072" w:type="dxa"/>
            <w:shd w:val="clear" w:color="auto" w:fill="DDEBF7"/>
            <w:vAlign w:val="center"/>
          </w:tcPr>
          <w:p>
            <w:pPr>
              <w:spacing w:before="0" w:after="0"/>
              <w:jc w:val="center"/>
            </w:pPr>
            <w:r>
              <w:rPr>
                <w:b/>
                <w:sz w:val="18"/>
                <w:szCs w:val="18"/>
              </w:rPr>
              <w:t xml:space="preserve">Item</w:t>
            </w:r>
          </w:p>
        </w:tc>
        <w:tc>
          <w:tcPr>
            <w:tcW w:w="2500" w:type="dxa"/>
            <w:shd w:val="clear" w:color="auto" w:fill="DDEBF7"/>
            <w:vAlign w:val="center"/>
          </w:tcPr>
          <w:p>
            <w:pPr>
              <w:spacing w:before="0" w:after="0"/>
              <w:jc w:val="center"/>
            </w:pPr>
            <w:r>
              <w:rPr>
                <w:b/>
                <w:sz w:val="18"/>
                <w:szCs w:val="18"/>
              </w:rPr>
              <w:t xml:space="preserve">FY2024</w:t>
            </w:r>
          </w:p>
        </w:tc>
        <w:tc>
          <w:tcPr>
            <w:tcW w:w="2500" w:type="dxa"/>
            <w:shd w:val="clear" w:color="auto" w:fill="DDEBF7"/>
            <w:vAlign w:val="center"/>
          </w:tcPr>
          <w:p>
            <w:pPr>
              <w:spacing w:before="0" w:after="0"/>
              <w:jc w:val="center"/>
            </w:pPr>
            <w:r>
              <w:rPr>
                <w:b/>
                <w:sz w:val="18"/>
                <w:szCs w:val="18"/>
              </w:rPr>
              <w:t xml:space="preserve">FY2025</w:t>
            </w:r>
          </w:p>
        </w:tc>
      </w:tr>
      <w:tr>
        <w:tc>
          <w:tcPr>
            <w:tcW w:w="4072" w:type="dxa"/>
            <w:vAlign w:val="center"/>
          </w:tcPr>
          <w:p>
            <w:pPr>
              <w:spacing w:before="0" w:after="0"/>
              <w:jc w:val="left"/>
            </w:pPr>
            <w:r>
              <w:rPr>
                <w:sz w:val="18"/>
                <w:szCs w:val="18"/>
              </w:rPr>
              <w:t xml:space="preserve">Cash and cash equivalents</w:t>
            </w:r>
          </w:p>
        </w:tc>
        <w:tc>
          <w:tcPr>
            <w:tcW w:w="2500" w:type="dxa"/>
            <w:vAlign w:val="center"/>
          </w:tcPr>
          <w:p>
            <w:pPr>
              <w:spacing w:before="0" w:after="0"/>
              <w:jc w:val="right"/>
            </w:pPr>
            <w:r>
              <w:rPr>
                <w:sz w:val="18"/>
                <w:szCs w:val="18"/>
              </w:rPr>
              <w:t xml:space="preserve">29,134</w:t>
            </w:r>
          </w:p>
        </w:tc>
        <w:tc>
          <w:tcPr>
            <w:tcW w:w="2500" w:type="dxa"/>
            <w:vAlign w:val="center"/>
          </w:tcPr>
          <w:p>
            <w:pPr>
              <w:spacing w:before="0" w:after="0"/>
              <w:jc w:val="right"/>
            </w:pPr>
            <w:r>
              <w:rPr>
                <w:sz w:val="18"/>
                <w:szCs w:val="18"/>
              </w:rPr>
              <w:t xml:space="preserve">30,200</w:t>
            </w:r>
          </w:p>
        </w:tc>
      </w:tr>
      <w:tr>
        <w:tc>
          <w:tcPr>
            <w:tcW w:w="4072" w:type="dxa"/>
            <w:vAlign w:val="center"/>
          </w:tcPr>
          <w:p>
            <w:pPr>
              <w:spacing w:before="0" w:after="0"/>
              <w:jc w:val="left"/>
            </w:pPr>
            <w:r>
              <w:rPr>
                <w:sz w:val="18"/>
                <w:szCs w:val="18"/>
              </w:rPr>
              <w:t xml:space="preserve">Income taxes payable</w:t>
            </w:r>
          </w:p>
        </w:tc>
        <w:tc>
          <w:tcPr>
            <w:tcW w:w="2500" w:type="dxa"/>
            <w:vAlign w:val="center"/>
          </w:tcPr>
          <w:p>
            <w:pPr>
              <w:spacing w:before="0" w:after="0"/>
              <w:jc w:val="right"/>
            </w:pPr>
            <w:r>
              <w:rPr>
                <w:sz w:val="18"/>
                <w:szCs w:val="18"/>
              </w:rPr>
              <w:t xml:space="preserve">22,808</w:t>
            </w:r>
          </w:p>
        </w:tc>
        <w:tc>
          <w:tcPr>
            <w:tcW w:w="2500" w:type="dxa"/>
            <w:vAlign w:val="center"/>
          </w:tcPr>
          <w:p>
            <w:pPr>
              <w:spacing w:before="0" w:after="0"/>
              <w:jc w:val="right"/>
            </w:pPr>
            <w:r>
              <w:rPr>
                <w:sz w:val="18"/>
                <w:szCs w:val="18"/>
              </w:rPr>
              <w:t xml:space="preserve">24,525</w:t>
            </w:r>
          </w:p>
        </w:tc>
      </w:tr>
      <w:tr>
        <w:tc>
          <w:tcPr>
            <w:tcW w:w="4072" w:type="dxa"/>
            <w:vAlign w:val="center"/>
          </w:tcPr>
          <w:p>
            <w:pPr>
              <w:spacing w:before="0" w:after="0"/>
              <w:jc w:val="left"/>
            </w:pPr>
            <w:r>
              <w:rPr>
                <w:sz w:val="18"/>
                <w:szCs w:val="18"/>
              </w:rPr>
              <w:t xml:space="preserve">Security deposits</w:t>
            </w:r>
          </w:p>
        </w:tc>
        <w:tc>
          <w:tcPr>
            <w:tcW w:w="2500" w:type="dxa"/>
            <w:vAlign w:val="center"/>
          </w:tcPr>
          <w:p>
            <w:pPr>
              <w:spacing w:before="0" w:after="0"/>
              <w:jc w:val="right"/>
            </w:pPr>
            <w:r>
              <w:rPr>
                <w:sz w:val="18"/>
                <w:szCs w:val="18"/>
              </w:rPr>
              <w:t xml:space="preserve">3,725</w:t>
            </w:r>
          </w:p>
        </w:tc>
        <w:tc>
          <w:tcPr>
            <w:tcW w:w="2500" w:type="dxa"/>
            <w:vAlign w:val="center"/>
          </w:tcPr>
          <w:p>
            <w:pPr>
              <w:spacing w:before="0" w:after="0"/>
              <w:jc w:val="right"/>
            </w:pPr>
            <w:r>
              <w:rPr>
                <w:sz w:val="18"/>
                <w:szCs w:val="18"/>
              </w:rPr>
              <w:t xml:space="preserve">4,006</w:t>
            </w:r>
          </w:p>
        </w:tc>
      </w:tr>
      <w:tr>
        <w:tc>
          <w:tcPr>
            <w:tcW w:w="4072" w:type="dxa"/>
            <w:vAlign w:val="center"/>
          </w:tcPr>
          <w:p>
            <w:pPr>
              <w:spacing w:before="0" w:after="0"/>
              <w:jc w:val="left"/>
            </w:pPr>
            <w:r>
              <w:rPr>
                <w:sz w:val="18"/>
                <w:szCs w:val="18"/>
              </w:rPr>
              <w:t xml:space="preserve">Goodwill</w:t>
            </w:r>
          </w:p>
        </w:tc>
        <w:tc>
          <w:tcPr>
            <w:tcW w:w="2500" w:type="dxa"/>
            <w:vAlign w:val="center"/>
          </w:tcPr>
          <w:p>
            <w:pPr>
              <w:spacing w:before="0" w:after="0"/>
              <w:jc w:val="right"/>
            </w:pPr>
            <w:r>
              <w:rPr>
                <w:sz w:val="18"/>
                <w:szCs w:val="18"/>
              </w:rPr>
              <w:t xml:space="preserve">26,147</w:t>
            </w:r>
          </w:p>
        </w:tc>
        <w:tc>
          <w:tcPr>
            <w:tcW w:w="2500" w:type="dxa"/>
            <w:vAlign w:val="center"/>
          </w:tcPr>
          <w:p>
            <w:pPr>
              <w:spacing w:before="0" w:after="0"/>
              <w:jc w:val="right"/>
            </w:pPr>
            <w:r>
              <w:rPr>
                <w:sz w:val="18"/>
                <w:szCs w:val="18"/>
              </w:rPr>
              <w:t xml:space="preserve">26,959</w:t>
            </w:r>
          </w:p>
        </w:tc>
      </w:tr>
      <w:tr>
        <w:tc>
          <w:tcPr>
            <w:tcW w:w="4072" w:type="dxa"/>
            <w:vAlign w:val="center"/>
          </w:tcPr>
          <w:p>
            <w:pPr>
              <w:spacing w:before="0" w:after="0"/>
              <w:jc w:val="left"/>
            </w:pPr>
            <w:r>
              <w:rPr>
                <w:sz w:val="18"/>
                <w:szCs w:val="18"/>
              </w:rPr>
              <w:t xml:space="preserve">Accrued payroll and benefits</w:t>
            </w:r>
          </w:p>
        </w:tc>
        <w:tc>
          <w:tcPr>
            <w:tcW w:w="2500" w:type="dxa"/>
            <w:vAlign w:val="center"/>
          </w:tcPr>
          <w:p>
            <w:pPr>
              <w:spacing w:before="0" w:after="0"/>
              <w:jc w:val="right"/>
            </w:pPr>
            <w:r>
              <w:rPr>
                <w:sz w:val="18"/>
                <w:szCs w:val="18"/>
              </w:rPr>
              <w:t xml:space="preserve">9,070</w:t>
            </w:r>
          </w:p>
        </w:tc>
        <w:tc>
          <w:tcPr>
            <w:tcW w:w="2500" w:type="dxa"/>
            <w:vAlign w:val="center"/>
          </w:tcPr>
          <w:p>
            <w:pPr>
              <w:spacing w:before="0" w:after="0"/>
              <w:jc w:val="right"/>
            </w:pPr>
            <w:r>
              <w:rPr>
                <w:sz w:val="18"/>
                <w:szCs w:val="18"/>
              </w:rPr>
              <w:t xml:space="preserve">10,746</w:t>
            </w:r>
          </w:p>
        </w:tc>
      </w:tr>
      <w:tr>
        <w:tc>
          <w:tcPr>
            <w:tcW w:w="4072" w:type="dxa"/>
            <w:vAlign w:val="center"/>
          </w:tcPr>
          <w:p>
            <w:pPr>
              <w:spacing w:before="0" w:after="0"/>
              <w:jc w:val="left"/>
            </w:pPr>
            <w:r>
              <w:rPr>
                <w:sz w:val="18"/>
                <w:szCs w:val="18"/>
              </w:rPr>
              <w:t xml:space="preserve">Cash and cash equivalents</w:t>
            </w:r>
          </w:p>
        </w:tc>
        <w:tc>
          <w:tcPr>
            <w:tcW w:w="2500" w:type="dxa"/>
            <w:vAlign w:val="center"/>
          </w:tcPr>
          <w:p>
            <w:pPr>
              <w:spacing w:before="0" w:after="0"/>
              <w:jc w:val="right"/>
            </w:pPr>
            <w:r>
              <w:rPr>
                <w:sz w:val="18"/>
                <w:szCs w:val="18"/>
              </w:rPr>
              <w:t xml:space="preserve">22,543</w:t>
            </w:r>
          </w:p>
        </w:tc>
        <w:tc>
          <w:tcPr>
            <w:tcW w:w="2500" w:type="dxa"/>
            <w:vAlign w:val="center"/>
          </w:tcPr>
          <w:p>
            <w:pPr>
              <w:spacing w:before="0" w:after="0"/>
              <w:jc w:val="right"/>
            </w:pPr>
            <w:r>
              <w:rPr>
                <w:sz w:val="18"/>
                <w:szCs w:val="18"/>
              </w:rPr>
              <w:t xml:space="preserve">26,245</w:t>
            </w:r>
          </w:p>
        </w:tc>
      </w:tr>
    </w:tbl>
    <w:p>
      <w:pPr/>
    </w:p>
    <w:p>
      <w:pPr>
        <w:keepNext/>
      </w:pPr>
      <w:r>
        <w:rPr>
          <w:b/>
        </w:rPr>
        <w:t xml:space="preserve">2. Revenue recognition</w:t>
      </w:r>
    </w:p>
    <w:p>
      <w:pPr>
        <w:ind w:left="0" w:firstLine="360"/>
      </w:pPr>
      <w:r>
        <w:t xml:space="preserve">During the fiscal year, the Group opened 15 new stores and closed 4 stores whose leases expired. Revenue from stores in the Westridge region was $29,436 thousand, or 61.1% of total revenue. Net cash used in investing activities was $1,513 thousand, primarily for purchases of property and equipment. Revenue from company-operated stores increased 2.8% compared with the prior year, while its share of total revenue was little changed.</w:t>
      </w:r>
    </w:p>
    <w:p>
      <w:pPr>
        <w:ind w:left="0" w:firstLine="360"/>
      </w:pPr>
      <w:r>
        <w:t xml:space="preserve">Green coffee is purchased from exporters and cooperatives in Central America, South America and East Africa under fixed-price contracts that generally cover the next nine to twelve months of expected needs. New stores generally reach the sales level of a mature store within eighteen to twenty-four months of opening. Nimbus Coffee intends to pay dividends out of retained earnings while keeping sufficient funds to finance the opening of new stores. The roastery produced 84 thousand pounds of roasted coffee during the fiscal year, of which 31.1% was sold through company-operated stores. The roastery produced 692 thousand pounds of roasted coffee during the fiscal year, of which 21.4% was sold through company-operated stores. The ability of the Group to open new stores depends on finding suitable sites on acceptable lease terms and on hiring and training store managers.</w:t>
      </w:r>
    </w:p>
    <w:p>
      <w:pPr>
        <w:keepNext/>
      </w:pPr>
      <w:r>
        <w:rPr>
          <w:b/>
        </w:rPr>
        <w:t xml:space="preserve">3. Leases</w:t>
      </w:r>
    </w:p>
    <w:p>
      <w:pPr>
        <w:ind w:left="0" w:firstLine="360"/>
      </w:pPr>
      <w:r>
        <w:t xml:space="preserve">Wholesale revenue comes from sales of roasted beans to restaurants, hotels and grocery stores in the regions where the Group operates. These forward-looking statements are based on information available as of the date of this statement, and actual results may differ materially because of many factors. The Group leases all of its store premises under operating leases with initial terms of ten years, most of which include options to renew. Store operating expenses, which consist mainly of wages, benefits and supplies, were 31.3% of revenue, compared with 34.3% in the prior year.</w:t>
      </w:r>
    </w:p>
    <w:p>
      <w:pPr>
        <w:ind w:left="0" w:firstLine="360"/>
      </w:pPr>
      <w:r>
        <w:t xml:space="preserve">Merchandise sales, consisting of mugs, brewing equipment and seasonal gift sets, are highest in the fourth quarter of each year. New stores generally reach the sales level of a mature store within eighteen to twenty-four months of opening. The roastery produced 1,284 thousand pounds of roasted coffee during the fiscal year, of which 46.9% was sold through company-operated stores. Capital expenditures totaled $7,193 thousand and consisted mainly of the build-out of new stores, the remodeling of existing stores and a second roasting line at the Northfield roastery. Store operating expenses, which consist mainly of wages, benefits and supplies, were 34.0% of revenue, compared with 34.1% in the prior year. During the fiscal year, the Group opened 11 new stores and closed 2 stores whose leases expired.</w:t>
      </w:r>
    </w:p>
    <w:tbl>
      <w:tblPr>
        <w:tblW w:w="907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72" w:type="dxa"/>
          <w:right w:w="72" w:type="dxa"/>
        </w:tblCellMar>
      </w:tblPr>
      <w:tblGrid>
        <w:gridCol w:w="4072"/>
        <w:gridCol w:w="2500"/>
        <w:gridCol w:w="2500"/>
      </w:tblGrid>
      <w:tr>
        <w:trPr>
          <w:tblHeader/>
        </w:trPr>
        <w:tc>
          <w:tcPr>
            <w:tcW w:w="4072" w:type="dxa"/>
            <w:shd w:val="clear" w:color="auto" w:fill="DDEBF7"/>
            <w:vAlign w:val="center"/>
          </w:tcPr>
          <w:p>
            <w:pPr>
              <w:spacing w:before="0" w:after="0"/>
              <w:jc w:val="center"/>
            </w:pPr>
            <w:r>
              <w:rPr>
                <w:b/>
                <w:sz w:val="18"/>
                <w:szCs w:val="18"/>
              </w:rPr>
              <w:t xml:space="preserve">Item</w:t>
            </w:r>
          </w:p>
        </w:tc>
        <w:tc>
          <w:tcPr>
            <w:tcW w:w="2500" w:type="dxa"/>
            <w:shd w:val="clear" w:color="auto" w:fill="DDEBF7"/>
            <w:vAlign w:val="center"/>
          </w:tcPr>
          <w:p>
            <w:pPr>
              <w:spacing w:before="0" w:after="0"/>
              <w:jc w:val="center"/>
            </w:pPr>
            <w:r>
              <w:rPr>
                <w:b/>
                <w:sz w:val="18"/>
                <w:szCs w:val="18"/>
              </w:rPr>
              <w:t xml:space="preserve">FY2024</w:t>
            </w:r>
          </w:p>
        </w:tc>
        <w:tc>
          <w:tcPr>
            <w:tcW w:w="2500" w:type="dxa"/>
            <w:shd w:val="clear" w:color="auto" w:fill="DDEBF7"/>
            <w:vAlign w:val="center"/>
          </w:tcPr>
          <w:p>
            <w:pPr>
              <w:spacing w:before="0" w:after="0"/>
              <w:jc w:val="center"/>
            </w:pPr>
            <w:r>
              <w:rPr>
                <w:b/>
                <w:sz w:val="18"/>
                <w:szCs w:val="18"/>
              </w:rPr>
              <w:t xml:space="preserve">FY2025</w:t>
            </w:r>
          </w:p>
        </w:tc>
      </w:tr>
      <w:tr>
        <w:tc>
          <w:tcPr>
            <w:tcW w:w="4072" w:type="dxa"/>
            <w:vAlign w:val="center"/>
          </w:tcPr>
          <w:p>
            <w:pPr>
              <w:spacing w:before="0" w:after="0"/>
              <w:jc w:val="left"/>
            </w:pPr>
            <w:r>
              <w:rPr>
                <w:sz w:val="18"/>
                <w:szCs w:val="18"/>
              </w:rPr>
              <w:t xml:space="preserve">Prepaid expenses and other current assets</w:t>
            </w:r>
          </w:p>
        </w:tc>
        <w:tc>
          <w:tcPr>
            <w:tcW w:w="2500" w:type="dxa"/>
            <w:vAlign w:val="center"/>
          </w:tcPr>
          <w:p>
            <w:pPr>
              <w:spacing w:before="0" w:after="0"/>
              <w:jc w:val="right"/>
            </w:pPr>
            <w:r>
              <w:rPr>
                <w:sz w:val="18"/>
                <w:szCs w:val="18"/>
              </w:rPr>
              <w:t xml:space="preserve">21,026</w:t>
            </w:r>
          </w:p>
        </w:tc>
        <w:tc>
          <w:tcPr>
            <w:tcW w:w="2500" w:type="dxa"/>
            <w:vAlign w:val="center"/>
          </w:tcPr>
          <w:p>
            <w:pPr>
              <w:spacing w:before="0" w:after="0"/>
              <w:jc w:val="right"/>
            </w:pPr>
            <w:r>
              <w:rPr>
                <w:sz w:val="18"/>
                <w:szCs w:val="18"/>
              </w:rPr>
              <w:t xml:space="preserve">22,974</w:t>
            </w:r>
          </w:p>
        </w:tc>
      </w:tr>
      <w:tr>
        <w:tc>
          <w:tcPr>
            <w:tcW w:w="4072" w:type="dxa"/>
            <w:vAlign w:val="center"/>
          </w:tcPr>
          <w:p>
            <w:pPr>
              <w:spacing w:before="0" w:after="0"/>
              <w:jc w:val="left"/>
            </w:pPr>
            <w:r>
              <w:rPr>
                <w:sz w:val="18"/>
                <w:szCs w:val="18"/>
              </w:rPr>
              <w:t xml:space="preserve">Current portion of operating lease liabilities</w:t>
            </w:r>
          </w:p>
        </w:tc>
        <w:tc>
          <w:tcPr>
            <w:tcW w:w="2500" w:type="dxa"/>
            <w:vAlign w:val="center"/>
          </w:tcPr>
          <w:p>
            <w:pPr>
              <w:spacing w:before="0" w:after="0"/>
              <w:jc w:val="right"/>
            </w:pPr>
            <w:r>
              <w:rPr>
                <w:sz w:val="18"/>
                <w:szCs w:val="18"/>
              </w:rPr>
              <w:t xml:space="preserve">17,361</w:t>
            </w:r>
          </w:p>
        </w:tc>
        <w:tc>
          <w:tcPr>
            <w:tcW w:w="2500" w:type="dxa"/>
            <w:vAlign w:val="center"/>
          </w:tcPr>
          <w:p>
            <w:pPr>
              <w:spacing w:before="0" w:after="0"/>
              <w:jc w:val="right"/>
            </w:pPr>
            <w:r>
              <w:rPr>
                <w:sz w:val="18"/>
                <w:szCs w:val="18"/>
              </w:rPr>
              <w:t xml:space="preserve">17,953</w:t>
            </w:r>
          </w:p>
        </w:tc>
      </w:tr>
      <w:tr>
        <w:tc>
          <w:tcPr>
            <w:tcW w:w="4072" w:type="dxa"/>
            <w:vAlign w:val="center"/>
          </w:tcPr>
          <w:p>
            <w:pPr>
              <w:spacing w:before="0" w:after="0"/>
              <w:jc w:val="left"/>
            </w:pPr>
            <w:r>
              <w:rPr>
                <w:sz w:val="18"/>
                <w:szCs w:val="18"/>
              </w:rPr>
              <w:t xml:space="preserve">Cash and cash equivalents</w:t>
            </w:r>
          </w:p>
        </w:tc>
        <w:tc>
          <w:tcPr>
            <w:tcW w:w="2500" w:type="dxa"/>
            <w:vAlign w:val="center"/>
          </w:tcPr>
          <w:p>
            <w:pPr>
              <w:spacing w:before="0" w:after="0"/>
              <w:jc w:val="right"/>
            </w:pPr>
            <w:r>
              <w:rPr>
                <w:sz w:val="18"/>
                <w:szCs w:val="18"/>
              </w:rPr>
              <w:t xml:space="preserve">4,350</w:t>
            </w:r>
          </w:p>
        </w:tc>
        <w:tc>
          <w:tcPr>
            <w:tcW w:w="2500" w:type="dxa"/>
            <w:vAlign w:val="center"/>
          </w:tcPr>
          <w:p>
            <w:pPr>
              <w:spacing w:before="0" w:after="0"/>
              <w:jc w:val="right"/>
            </w:pPr>
            <w:r>
              <w:rPr>
                <w:sz w:val="18"/>
                <w:szCs w:val="18"/>
              </w:rPr>
              <w:t xml:space="preserve">4,408</w:t>
            </w:r>
          </w:p>
        </w:tc>
      </w:tr>
      <w:tr>
        <w:tc>
          <w:tcPr>
            <w:tcW w:w="4072" w:type="dxa"/>
            <w:vAlign w:val="center"/>
          </w:tcPr>
          <w:p>
            <w:pPr>
              <w:spacing w:before="0" w:after="0"/>
              <w:jc w:val="left"/>
            </w:pPr>
            <w:r>
              <w:rPr>
                <w:sz w:val="18"/>
                <w:szCs w:val="18"/>
              </w:rPr>
              <w:t xml:space="preserve">Security deposits</w:t>
            </w:r>
          </w:p>
        </w:tc>
        <w:tc>
          <w:tcPr>
            <w:tcW w:w="2500" w:type="dxa"/>
            <w:vAlign w:val="center"/>
          </w:tcPr>
          <w:p>
            <w:pPr>
              <w:spacing w:before="0" w:after="0"/>
              <w:jc w:val="right"/>
            </w:pPr>
            <w:r>
              <w:rPr>
                <w:sz w:val="18"/>
                <w:szCs w:val="18"/>
              </w:rPr>
              <w:t xml:space="preserve">17,963</w:t>
            </w:r>
          </w:p>
        </w:tc>
        <w:tc>
          <w:tcPr>
            <w:tcW w:w="2500" w:type="dxa"/>
            <w:vAlign w:val="center"/>
          </w:tcPr>
          <w:p>
            <w:pPr>
              <w:spacing w:before="0" w:after="0"/>
              <w:jc w:val="right"/>
            </w:pPr>
            <w:r>
              <w:rPr>
                <w:sz w:val="18"/>
                <w:szCs w:val="18"/>
              </w:rPr>
              <w:t xml:space="preserve">21,108</w:t>
            </w:r>
          </w:p>
        </w:tc>
      </w:tr>
      <w:tr>
        <w:tc>
          <w:tcPr>
            <w:tcW w:w="4072" w:type="dxa"/>
            <w:vAlign w:val="center"/>
          </w:tcPr>
          <w:p>
            <w:pPr>
              <w:spacing w:before="0" w:after="0"/>
              <w:jc w:val="left"/>
            </w:pPr>
            <w:r>
              <w:rPr>
                <w:sz w:val="18"/>
                <w:szCs w:val="18"/>
              </w:rPr>
              <w:t xml:space="preserve">Accrued payroll and benefits</w:t>
            </w:r>
          </w:p>
        </w:tc>
        <w:tc>
          <w:tcPr>
            <w:tcW w:w="2500" w:type="dxa"/>
            <w:vAlign w:val="center"/>
          </w:tcPr>
          <w:p>
            <w:pPr>
              <w:spacing w:before="0" w:after="0"/>
              <w:jc w:val="right"/>
            </w:pPr>
            <w:r>
              <w:rPr>
                <w:sz w:val="18"/>
                <w:szCs w:val="18"/>
              </w:rPr>
              <w:t xml:space="preserve">6,462</w:t>
            </w:r>
          </w:p>
        </w:tc>
        <w:tc>
          <w:tcPr>
            <w:tcW w:w="2500" w:type="dxa"/>
            <w:vAlign w:val="center"/>
          </w:tcPr>
          <w:p>
            <w:pPr>
              <w:spacing w:before="0" w:after="0"/>
              <w:jc w:val="right"/>
            </w:pPr>
            <w:r>
              <w:rPr>
                <w:sz w:val="18"/>
                <w:szCs w:val="18"/>
              </w:rPr>
              <w:t xml:space="preserve">6,613</w:t>
            </w:r>
          </w:p>
        </w:tc>
      </w:tr>
      <w:tr>
        <w:tc>
          <w:tcPr>
            <w:tcW w:w="4072" w:type="dxa"/>
            <w:vAlign w:val="center"/>
          </w:tcPr>
          <w:p>
            <w:pPr>
              <w:spacing w:before="0" w:after="0"/>
              <w:jc w:val="left"/>
            </w:pPr>
            <w:r>
              <w:rPr>
                <w:sz w:val="18"/>
                <w:szCs w:val="18"/>
              </w:rPr>
              <w:t xml:space="preserve">Short-term investments</w:t>
            </w:r>
          </w:p>
        </w:tc>
        <w:tc>
          <w:tcPr>
            <w:tcW w:w="2500" w:type="dxa"/>
            <w:vAlign w:val="center"/>
          </w:tcPr>
          <w:p>
            <w:pPr>
              <w:spacing w:before="0" w:after="0"/>
              <w:jc w:val="right"/>
            </w:pPr>
            <w:r>
              <w:rPr>
                <w:sz w:val="18"/>
                <w:szCs w:val="18"/>
              </w:rPr>
              <w:t xml:space="preserve">21,187</w:t>
            </w:r>
          </w:p>
        </w:tc>
        <w:tc>
          <w:tcPr>
            <w:tcW w:w="2500" w:type="dxa"/>
            <w:vAlign w:val="center"/>
          </w:tcPr>
          <w:p>
            <w:pPr>
              <w:spacing w:before="0" w:after="0"/>
              <w:jc w:val="right"/>
            </w:pPr>
            <w:r>
              <w:rPr>
                <w:sz w:val="18"/>
                <w:szCs w:val="18"/>
              </w:rPr>
              <w:t xml:space="preserve">22,088</w:t>
            </w:r>
          </w:p>
        </w:tc>
      </w:tr>
    </w:tbl>
    <w:p>
      <w:pPr/>
    </w:p>
    <w:p>
      <w:pPr>
        <w:keepNext/>
      </w:pPr>
      <w:r>
        <w:rPr>
          <w:b/>
        </w:rPr>
        <w:t xml:space="preserve">4. Fair value measurements</w:t>
      </w:r>
    </w:p>
    <w:p>
      <w:pPr>
        <w:ind w:left="0" w:firstLine="360"/>
      </w:pPr>
      <w:r>
        <w:t xml:space="preserve">Inventories consist of green coffee, roasted coffee, packaging, food and merchandise, and are stated at the lower of cost and net realizable value. Green coffee is purchased from exporters and cooperatives in Central America, South America and East Africa under fixed-price contracts that generally cover the next nine to twelve months of expected needs. Green coffee is purchased from exporters and cooperatives in Central America, South America and East Africa under fixed-price contracts that generally cover the next nine to twelve months of expected needs. At the end of the fiscal year, the Group operated 157 company-operated stores in eight regions: Northfield, Eastbay, Southport, Westridge, Lakeside, Hillcrest, Riverside and Harborview. The ability of Nimbus Coffee to open new stores depends on finding suitable sites on acceptable lease terms and on hiring and training store managers.</w:t>
      </w:r>
    </w:p>
    <w:p>
      <w:pPr>
        <w:ind w:left="0" w:firstLine="360"/>
      </w:pPr>
      <w:r>
        <w:t xml:space="preserve">Total assets at the end of the fiscal year were $212,186 thousand, an increase of $36,295 thousand from the end of the prior fiscal year. The ability of the Group to open new stores depends on finding suitable sites on acceptable lease terms and on hiring and training store managers. Green coffee is purchased from exporters and cooperatives in Central America, South America and East Africa under fixed-price contracts that generally cover the next nine to twelve months of expected needs. The roastery produced 933 thousand pounds of roasted coffee during the fiscal year, of which 41.2% was sold through company-operated stores. The ability of Nimbus Coffee to open new stores depends on finding suitable sites on acceptable lease terms and on hiring and training store managers. Comparable store sales increased 6.8%, driven by a 3.6% increase in average ticket and a 1.4% increase in transactions.</w:t>
      </w:r>
    </w:p>
    <w:p>
      <w:pPr>
        <w:keepNext/>
      </w:pPr>
      <w:r>
        <w:rPr>
          <w:b/>
        </w:rPr>
        <w:t xml:space="preserve">5. Inventories</w:t>
      </w:r>
    </w:p>
    <w:p>
      <w:pPr>
        <w:ind w:left="0" w:firstLine="360"/>
      </w:pPr>
      <w:r>
        <w:t xml:space="preserve">The Group intends to pay dividends out of retained earnings while keeping sufficient funds to finance the opening of new stores. The roastery produced 947 thousand pounds of roasted coffee during the fiscal year, of which 40.7% was sold through company-operated stores. The loyalty program had 252 thousand active members at the end of the fiscal year, and purchases by members accounted for 49.3% of store revenue.</w:t>
      </w:r>
    </w:p>
    <w:p>
      <w:pPr>
        <w:ind w:left="0" w:firstLine="360"/>
      </w:pPr>
      <w:r>
        <w:t xml:space="preserve">Inventories consist of green coffee, roasted coffee, packaging, food and merchandise, and are stated at the lower of cost and net realizable value. Labor costs are affected by minimum wage laws in the regions where the stores are located, and further increases could reduce store margins. Weather affects customer traffic: cold drinks sell best in summer, while hot beverages and whole beans sell best from October through February.</w:t>
      </w:r>
    </w:p>
    <w:p>
      <w:pPr>
        <w:ind w:left="0" w:firstLine="360"/>
      </w:pPr>
      <w:r>
        <w:t xml:space="preserve">At the end of the fiscal year, Nimbus Coffee operated 166 company-operated stores in eight regions: Northfield, Eastbay, Southport, Westridge, Lakeside, Hillcrest, Riverside and Harborview. Total assets at the end of the fiscal year were $97,286 thousand, an increase of $20,466 thousand from the end of the prior fiscal year. Energy use per store decreased 17.1% compared with the prior year, as older espresso machines and refrigerators were replaced with more efficient models.</w:t>
      </w:r>
    </w:p>
    <w:tbl>
      <w:tblPr>
        <w:tblW w:w="907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72" w:type="dxa"/>
          <w:right w:w="72" w:type="dxa"/>
        </w:tblCellMar>
      </w:tblPr>
      <w:tblGrid>
        <w:gridCol w:w="4072"/>
        <w:gridCol w:w="2500"/>
        <w:gridCol w:w="2500"/>
      </w:tblGrid>
      <w:tr>
        <w:trPr>
          <w:tblHeader/>
        </w:trPr>
        <w:tc>
          <w:tcPr>
            <w:tcW w:w="4072" w:type="dxa"/>
            <w:shd w:val="clear" w:color="auto" w:fill="DDEBF7"/>
            <w:vAlign w:val="center"/>
          </w:tcPr>
          <w:p>
            <w:pPr>
              <w:spacing w:before="0" w:after="0"/>
              <w:jc w:val="center"/>
            </w:pPr>
            <w:r>
              <w:rPr>
                <w:b/>
                <w:sz w:val="18"/>
                <w:szCs w:val="18"/>
              </w:rPr>
              <w:t xml:space="preserve">Item</w:t>
            </w:r>
          </w:p>
        </w:tc>
        <w:tc>
          <w:tcPr>
            <w:tcW w:w="2500" w:type="dxa"/>
            <w:shd w:val="clear" w:color="auto" w:fill="DDEBF7"/>
            <w:vAlign w:val="center"/>
          </w:tcPr>
          <w:p>
            <w:pPr>
              <w:spacing w:before="0" w:after="0"/>
              <w:jc w:val="center"/>
            </w:pPr>
            <w:r>
              <w:rPr>
                <w:b/>
                <w:sz w:val="18"/>
                <w:szCs w:val="18"/>
              </w:rPr>
              <w:t xml:space="preserve">FY2024</w:t>
            </w:r>
          </w:p>
        </w:tc>
        <w:tc>
          <w:tcPr>
            <w:tcW w:w="2500" w:type="dxa"/>
            <w:shd w:val="clear" w:color="auto" w:fill="DDEBF7"/>
            <w:vAlign w:val="center"/>
          </w:tcPr>
          <w:p>
            <w:pPr>
              <w:spacing w:before="0" w:after="0"/>
              <w:jc w:val="center"/>
            </w:pPr>
            <w:r>
              <w:rPr>
                <w:b/>
                <w:sz w:val="18"/>
                <w:szCs w:val="18"/>
              </w:rPr>
              <w:t xml:space="preserve">FY2025</w:t>
            </w:r>
          </w:p>
        </w:tc>
      </w:tr>
      <w:tr>
        <w:tc>
          <w:tcPr>
            <w:tcW w:w="4072" w:type="dxa"/>
            <w:vAlign w:val="center"/>
          </w:tcPr>
          <w:p>
            <w:pPr>
              <w:spacing w:before="0" w:after="0"/>
              <w:jc w:val="left"/>
            </w:pPr>
            <w:r>
              <w:rPr>
                <w:sz w:val="18"/>
                <w:szCs w:val="18"/>
              </w:rPr>
              <w:t xml:space="preserve">Security deposits</w:t>
            </w:r>
          </w:p>
        </w:tc>
        <w:tc>
          <w:tcPr>
            <w:tcW w:w="2500" w:type="dxa"/>
            <w:vAlign w:val="center"/>
          </w:tcPr>
          <w:p>
            <w:pPr>
              <w:spacing w:before="0" w:after="0"/>
              <w:jc w:val="right"/>
            </w:pPr>
            <w:r>
              <w:rPr>
                <w:sz w:val="18"/>
                <w:szCs w:val="18"/>
              </w:rPr>
              <w:t xml:space="preserve">22,315</w:t>
            </w:r>
          </w:p>
        </w:tc>
        <w:tc>
          <w:tcPr>
            <w:tcW w:w="2500" w:type="dxa"/>
            <w:vAlign w:val="center"/>
          </w:tcPr>
          <w:p>
            <w:pPr>
              <w:spacing w:before="0" w:after="0"/>
              <w:jc w:val="right"/>
            </w:pPr>
            <w:r>
              <w:rPr>
                <w:sz w:val="18"/>
                <w:szCs w:val="18"/>
              </w:rPr>
              <w:t xml:space="preserve">25,678</w:t>
            </w:r>
          </w:p>
        </w:tc>
      </w:tr>
      <w:tr>
        <w:tc>
          <w:tcPr>
            <w:tcW w:w="4072" w:type="dxa"/>
            <w:vAlign w:val="center"/>
          </w:tcPr>
          <w:p>
            <w:pPr>
              <w:spacing w:before="0" w:after="0"/>
              <w:jc w:val="left"/>
            </w:pPr>
            <w:r>
              <w:rPr>
                <w:sz w:val="18"/>
                <w:szCs w:val="18"/>
              </w:rPr>
              <w:t xml:space="preserve">Other long-term assets</w:t>
            </w:r>
          </w:p>
        </w:tc>
        <w:tc>
          <w:tcPr>
            <w:tcW w:w="2500" w:type="dxa"/>
            <w:vAlign w:val="center"/>
          </w:tcPr>
          <w:p>
            <w:pPr>
              <w:spacing w:before="0" w:after="0"/>
              <w:jc w:val="right"/>
            </w:pPr>
            <w:r>
              <w:rPr>
                <w:sz w:val="18"/>
                <w:szCs w:val="18"/>
              </w:rPr>
              <w:t xml:space="preserve">14,238</w:t>
            </w:r>
          </w:p>
        </w:tc>
        <w:tc>
          <w:tcPr>
            <w:tcW w:w="2500" w:type="dxa"/>
            <w:vAlign w:val="center"/>
          </w:tcPr>
          <w:p>
            <w:pPr>
              <w:spacing w:before="0" w:after="0"/>
              <w:jc w:val="right"/>
            </w:pPr>
            <w:r>
              <w:rPr>
                <w:sz w:val="18"/>
                <w:szCs w:val="18"/>
              </w:rPr>
              <w:t xml:space="preserve">16,357</w:t>
            </w:r>
          </w:p>
        </w:tc>
      </w:tr>
      <w:tr>
        <w:tc>
          <w:tcPr>
            <w:tcW w:w="4072" w:type="dxa"/>
            <w:vAlign w:val="center"/>
          </w:tcPr>
          <w:p>
            <w:pPr>
              <w:spacing w:before="0" w:after="0"/>
              <w:jc w:val="left"/>
            </w:pPr>
            <w:r>
              <w:rPr>
                <w:sz w:val="18"/>
                <w:szCs w:val="18"/>
              </w:rPr>
              <w:t xml:space="preserve">Deferred revenue (gift cards and loyalty)</w:t>
            </w:r>
          </w:p>
        </w:tc>
        <w:tc>
          <w:tcPr>
            <w:tcW w:w="2500" w:type="dxa"/>
            <w:vAlign w:val="center"/>
          </w:tcPr>
          <w:p>
            <w:pPr>
              <w:spacing w:before="0" w:after="0"/>
              <w:jc w:val="right"/>
            </w:pPr>
            <w:r>
              <w:rPr>
                <w:sz w:val="18"/>
                <w:szCs w:val="18"/>
              </w:rPr>
              <w:t xml:space="preserve">26,060</w:t>
            </w:r>
          </w:p>
        </w:tc>
        <w:tc>
          <w:tcPr>
            <w:tcW w:w="2500" w:type="dxa"/>
            <w:vAlign w:val="center"/>
          </w:tcPr>
          <w:p>
            <w:pPr>
              <w:spacing w:before="0" w:after="0"/>
              <w:jc w:val="right"/>
            </w:pPr>
            <w:r>
              <w:rPr>
                <w:sz w:val="18"/>
                <w:szCs w:val="18"/>
              </w:rPr>
              <w:t xml:space="preserve">30,168</w:t>
            </w:r>
          </w:p>
        </w:tc>
      </w:tr>
      <w:tr>
        <w:tc>
          <w:tcPr>
            <w:tcW w:w="4072" w:type="dxa"/>
            <w:vAlign w:val="center"/>
          </w:tcPr>
          <w:p>
            <w:pPr>
              <w:spacing w:before="0" w:after="0"/>
              <w:jc w:val="left"/>
            </w:pPr>
            <w:r>
              <w:rPr>
                <w:sz w:val="18"/>
                <w:szCs w:val="18"/>
              </w:rPr>
              <w:t xml:space="preserve">Goodwill</w:t>
            </w:r>
          </w:p>
        </w:tc>
        <w:tc>
          <w:tcPr>
            <w:tcW w:w="2500" w:type="dxa"/>
            <w:vAlign w:val="center"/>
          </w:tcPr>
          <w:p>
            <w:pPr>
              <w:spacing w:before="0" w:after="0"/>
              <w:jc w:val="right"/>
            </w:pPr>
            <w:r>
              <w:rPr>
                <w:sz w:val="18"/>
                <w:szCs w:val="18"/>
              </w:rPr>
              <w:t xml:space="preserve">9,398</w:t>
            </w:r>
          </w:p>
        </w:tc>
        <w:tc>
          <w:tcPr>
            <w:tcW w:w="2500" w:type="dxa"/>
            <w:vAlign w:val="center"/>
          </w:tcPr>
          <w:p>
            <w:pPr>
              <w:spacing w:before="0" w:after="0"/>
              <w:jc w:val="right"/>
            </w:pPr>
            <w:r>
              <w:rPr>
                <w:sz w:val="18"/>
                <w:szCs w:val="18"/>
              </w:rPr>
              <w:t xml:space="preserve">10,656</w:t>
            </w:r>
          </w:p>
        </w:tc>
      </w:tr>
      <w:tr>
        <w:tc>
          <w:tcPr>
            <w:tcW w:w="4072" w:type="dxa"/>
            <w:vAlign w:val="center"/>
          </w:tcPr>
          <w:p>
            <w:pPr>
              <w:spacing w:before="0" w:after="0"/>
              <w:jc w:val="left"/>
            </w:pPr>
            <w:r>
              <w:rPr>
                <w:sz w:val="18"/>
                <w:szCs w:val="18"/>
              </w:rPr>
              <w:t xml:space="preserve">Short-term investments</w:t>
            </w:r>
          </w:p>
        </w:tc>
        <w:tc>
          <w:tcPr>
            <w:tcW w:w="2500" w:type="dxa"/>
            <w:vAlign w:val="center"/>
          </w:tcPr>
          <w:p>
            <w:pPr>
              <w:spacing w:before="0" w:after="0"/>
              <w:jc w:val="right"/>
            </w:pPr>
            <w:r>
              <w:rPr>
                <w:sz w:val="18"/>
                <w:szCs w:val="18"/>
              </w:rPr>
              <w:t xml:space="preserve">3,188</w:t>
            </w:r>
          </w:p>
        </w:tc>
        <w:tc>
          <w:tcPr>
            <w:tcW w:w="2500" w:type="dxa"/>
            <w:vAlign w:val="center"/>
          </w:tcPr>
          <w:p>
            <w:pPr>
              <w:spacing w:before="0" w:after="0"/>
              <w:jc w:val="right"/>
            </w:pPr>
            <w:r>
              <w:rPr>
                <w:sz w:val="18"/>
                <w:szCs w:val="18"/>
              </w:rPr>
              <w:t xml:space="preserve">3,422</w:t>
            </w:r>
          </w:p>
        </w:tc>
      </w:tr>
      <w:tr>
        <w:tc>
          <w:tcPr>
            <w:tcW w:w="4072" w:type="dxa"/>
            <w:vAlign w:val="center"/>
          </w:tcPr>
          <w:p>
            <w:pPr>
              <w:spacing w:before="0" w:after="0"/>
              <w:jc w:val="left"/>
            </w:pPr>
            <w:r>
              <w:rPr>
                <w:sz w:val="18"/>
                <w:szCs w:val="18"/>
              </w:rPr>
              <w:t xml:space="preserve">Accrued payroll and benefits</w:t>
            </w:r>
          </w:p>
        </w:tc>
        <w:tc>
          <w:tcPr>
            <w:tcW w:w="2500" w:type="dxa"/>
            <w:vAlign w:val="center"/>
          </w:tcPr>
          <w:p>
            <w:pPr>
              <w:spacing w:before="0" w:after="0"/>
              <w:jc w:val="right"/>
            </w:pPr>
            <w:r>
              <w:rPr>
                <w:sz w:val="18"/>
                <w:szCs w:val="18"/>
              </w:rPr>
              <w:t xml:space="preserve">5,790</w:t>
            </w:r>
          </w:p>
        </w:tc>
        <w:tc>
          <w:tcPr>
            <w:tcW w:w="2500" w:type="dxa"/>
            <w:vAlign w:val="center"/>
          </w:tcPr>
          <w:p>
            <w:pPr>
              <w:spacing w:before="0" w:after="0"/>
              <w:jc w:val="right"/>
            </w:pPr>
            <w:r>
              <w:rPr>
                <w:sz w:val="18"/>
                <w:szCs w:val="18"/>
              </w:rPr>
              <w:t xml:space="preserve">6,353</w:t>
            </w:r>
          </w:p>
        </w:tc>
      </w:tr>
    </w:tbl>
    <w:p>
      <w:pPr/>
    </w:p>
    <w:p>
      <w:pPr>
        <w:keepNext/>
      </w:pPr>
      <w:r>
        <w:rPr>
          <w:b/>
        </w:rPr>
        <w:t xml:space="preserve">6. Property and equipment</w:t>
      </w:r>
    </w:p>
    <w:p>
      <w:pPr>
        <w:ind w:left="0" w:firstLine="360"/>
      </w:pPr>
      <w:r>
        <w:t xml:space="preserve">The price of green coffee is volatile, and a sustained increase could reduce gross margin if the Company is unable to pass the cost on to customers through menu prices. Capital expenditures totaled $14,344 thousand and consisted mainly of the build-out of new stores, the remodeling of existing stores and a second roasting line at the Northfield roastery. These forward-looking statements are based on information available as of the date of this statement, and actual results may differ materially because of many factors. Orders placed through the online store, including orders for pickup in store and home delivery of whole beans, accounted for 49.1% of revenue in the Beverages and Beans categories.</w:t>
      </w:r>
    </w:p>
    <w:p>
      <w:pPr>
        <w:ind w:left="0" w:firstLine="360"/>
      </w:pPr>
      <w:r>
        <w:t xml:space="preserve">At the end of the fiscal year, Nimbus Coffee operated 159 company-operated stores in eight regions: Northfield, Eastbay, Southport, Westridge, Lakeside, Hillcrest, Riverside and Harborview. Orders placed through the online store, including orders for pickup in store and home delivery of whole beans, accounted for 33.5% of revenue in the Beverages and Beans categories. The ability of Nimbus Coffee to open new stores depends on finding suitable sites on acceptable lease terms and on hiring and training store managers. Food safety incidents, whether or not they occur at our stores, could harm the reputation of the Nimbus Coffee brand and reduce customer traffic. Energy use per store decreased 17.0% compared with the prior year, as older espresso machines and refrigerators were replaced with more efficient models. During the fiscal year, the Group opened 11 new stores and closed 1 stores whose leases expired.</w:t>
      </w:r>
    </w:p>
    <w:p>
      <w:pPr>
        <w:keepNext/>
      </w:pPr>
      <w:r>
        <w:rPr>
          <w:b/>
        </w:rPr>
        <w:t xml:space="preserve">7. Goodwill and other intangible assets</w:t>
      </w:r>
    </w:p>
    <w:p>
      <w:pPr>
        <w:ind w:left="0" w:firstLine="360"/>
      </w:pPr>
      <w:r>
        <w:t xml:space="preserve">The Group leases all of its store premises under operating leases with initial terms of ten years, most of which include options to renew. The Group holds no derivatives other than coffee futures contracts used to fix the price of part of its future green coffee purchases. The roastery produced 316 thousand pounds of roasted coffee during the fiscal year, of which 14.7% was sold through company-operated stores. Green coffee is purchased from exporters and cooperatives in Central America, South America and East Africa under fixed-price contracts that generally cover the next nine to twelve months of expected needs.</w:t>
      </w:r>
    </w:p>
    <w:p>
      <w:pPr>
        <w:ind w:left="0" w:firstLine="360"/>
      </w:pPr>
      <w:r>
        <w:t xml:space="preserve">Comparable store sales increased 0.9%, driven by a 2.0% increase in average ticket and a 2.9% increase in transactions. Comparable store sales increased 5.9%, driven by a 1.8% increase in average ticket and a 3.9% increase in transactions. Net cash provided by operating activities was $289,176 thousand, mainly reflecting net income and depreciation and amortization. The Group intends to pay dividends out of retained earnings while keeping sufficient funds to finance the opening of new stores.</w:t>
      </w:r>
    </w:p>
    <w:tbl>
      <w:tblPr>
        <w:tblW w:w="907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72" w:type="dxa"/>
          <w:right w:w="72" w:type="dxa"/>
        </w:tblCellMar>
      </w:tblPr>
      <w:tblGrid>
        <w:gridCol w:w="4072"/>
        <w:gridCol w:w="2500"/>
        <w:gridCol w:w="2500"/>
      </w:tblGrid>
      <w:tr>
        <w:trPr>
          <w:tblHeader/>
        </w:trPr>
        <w:tc>
          <w:tcPr>
            <w:tcW w:w="4072" w:type="dxa"/>
            <w:shd w:val="clear" w:color="auto" w:fill="DDEBF7"/>
            <w:vAlign w:val="center"/>
          </w:tcPr>
          <w:p>
            <w:pPr>
              <w:spacing w:before="0" w:after="0"/>
              <w:jc w:val="center"/>
            </w:pPr>
            <w:r>
              <w:rPr>
                <w:b/>
                <w:sz w:val="18"/>
                <w:szCs w:val="18"/>
              </w:rPr>
              <w:t xml:space="preserve">Item</w:t>
            </w:r>
          </w:p>
        </w:tc>
        <w:tc>
          <w:tcPr>
            <w:tcW w:w="2500" w:type="dxa"/>
            <w:shd w:val="clear" w:color="auto" w:fill="DDEBF7"/>
            <w:vAlign w:val="center"/>
          </w:tcPr>
          <w:p>
            <w:pPr>
              <w:spacing w:before="0" w:after="0"/>
              <w:jc w:val="center"/>
            </w:pPr>
            <w:r>
              <w:rPr>
                <w:b/>
                <w:sz w:val="18"/>
                <w:szCs w:val="18"/>
              </w:rPr>
              <w:t xml:space="preserve">FY2024</w:t>
            </w:r>
          </w:p>
        </w:tc>
        <w:tc>
          <w:tcPr>
            <w:tcW w:w="2500" w:type="dxa"/>
            <w:shd w:val="clear" w:color="auto" w:fill="DDEBF7"/>
            <w:vAlign w:val="center"/>
          </w:tcPr>
          <w:p>
            <w:pPr>
              <w:spacing w:before="0" w:after="0"/>
              <w:jc w:val="center"/>
            </w:pPr>
            <w:r>
              <w:rPr>
                <w:b/>
                <w:sz w:val="18"/>
                <w:szCs w:val="18"/>
              </w:rPr>
              <w:t xml:space="preserve">FY2025</w:t>
            </w:r>
          </w:p>
        </w:tc>
      </w:tr>
      <w:tr>
        <w:tc>
          <w:tcPr>
            <w:tcW w:w="4072" w:type="dxa"/>
            <w:vAlign w:val="center"/>
          </w:tcPr>
          <w:p>
            <w:pPr>
              <w:spacing w:before="0" w:after="0"/>
              <w:jc w:val="left"/>
            </w:pPr>
            <w:r>
              <w:rPr>
                <w:sz w:val="18"/>
                <w:szCs w:val="18"/>
              </w:rPr>
              <w:t xml:space="preserve">Operating lease liabilities, net of current portion</w:t>
            </w:r>
          </w:p>
        </w:tc>
        <w:tc>
          <w:tcPr>
            <w:tcW w:w="2500" w:type="dxa"/>
            <w:vAlign w:val="center"/>
          </w:tcPr>
          <w:p>
            <w:pPr>
              <w:spacing w:before="0" w:after="0"/>
              <w:jc w:val="right"/>
            </w:pPr>
            <w:r>
              <w:rPr>
                <w:sz w:val="18"/>
                <w:szCs w:val="18"/>
              </w:rPr>
              <w:t xml:space="preserve">9,131</w:t>
            </w:r>
          </w:p>
        </w:tc>
        <w:tc>
          <w:tcPr>
            <w:tcW w:w="2500" w:type="dxa"/>
            <w:vAlign w:val="center"/>
          </w:tcPr>
          <w:p>
            <w:pPr>
              <w:spacing w:before="0" w:after="0"/>
              <w:jc w:val="right"/>
            </w:pPr>
            <w:r>
              <w:rPr>
                <w:sz w:val="18"/>
                <w:szCs w:val="18"/>
              </w:rPr>
              <w:t xml:space="preserve">9,943</w:t>
            </w:r>
          </w:p>
        </w:tc>
      </w:tr>
      <w:tr>
        <w:tc>
          <w:tcPr>
            <w:tcW w:w="4072" w:type="dxa"/>
            <w:vAlign w:val="center"/>
          </w:tcPr>
          <w:p>
            <w:pPr>
              <w:spacing w:before="0" w:after="0"/>
              <w:jc w:val="left"/>
            </w:pPr>
            <w:r>
              <w:rPr>
                <w:sz w:val="18"/>
                <w:szCs w:val="18"/>
              </w:rPr>
              <w:t xml:space="preserve">Current portion of operating lease liabilities</w:t>
            </w:r>
          </w:p>
        </w:tc>
        <w:tc>
          <w:tcPr>
            <w:tcW w:w="2500" w:type="dxa"/>
            <w:vAlign w:val="center"/>
          </w:tcPr>
          <w:p>
            <w:pPr>
              <w:spacing w:before="0" w:after="0"/>
              <w:jc w:val="right"/>
            </w:pPr>
            <w:r>
              <w:rPr>
                <w:sz w:val="18"/>
                <w:szCs w:val="18"/>
              </w:rPr>
              <w:t xml:space="preserve">4,577</w:t>
            </w:r>
          </w:p>
        </w:tc>
        <w:tc>
          <w:tcPr>
            <w:tcW w:w="2500" w:type="dxa"/>
            <w:vAlign w:val="center"/>
          </w:tcPr>
          <w:p>
            <w:pPr>
              <w:spacing w:before="0" w:after="0"/>
              <w:jc w:val="right"/>
            </w:pPr>
            <w:r>
              <w:rPr>
                <w:sz w:val="18"/>
                <w:szCs w:val="18"/>
              </w:rPr>
              <w:t xml:space="preserve">4,957</w:t>
            </w:r>
          </w:p>
        </w:tc>
      </w:tr>
      <w:tr>
        <w:tc>
          <w:tcPr>
            <w:tcW w:w="4072" w:type="dxa"/>
            <w:vAlign w:val="center"/>
          </w:tcPr>
          <w:p>
            <w:pPr>
              <w:spacing w:before="0" w:after="0"/>
              <w:jc w:val="left"/>
            </w:pPr>
            <w:r>
              <w:rPr>
                <w:sz w:val="18"/>
                <w:szCs w:val="18"/>
              </w:rPr>
              <w:t xml:space="preserve">Prepaid expenses and other current assets</w:t>
            </w:r>
          </w:p>
        </w:tc>
        <w:tc>
          <w:tcPr>
            <w:tcW w:w="2500" w:type="dxa"/>
            <w:vAlign w:val="center"/>
          </w:tcPr>
          <w:p>
            <w:pPr>
              <w:spacing w:before="0" w:after="0"/>
              <w:jc w:val="right"/>
            </w:pPr>
            <w:r>
              <w:rPr>
                <w:sz w:val="18"/>
                <w:szCs w:val="18"/>
              </w:rPr>
              <w:t xml:space="preserve">15,484</w:t>
            </w:r>
          </w:p>
        </w:tc>
        <w:tc>
          <w:tcPr>
            <w:tcW w:w="2500" w:type="dxa"/>
            <w:vAlign w:val="center"/>
          </w:tcPr>
          <w:p>
            <w:pPr>
              <w:spacing w:before="0" w:after="0"/>
              <w:jc w:val="right"/>
            </w:pPr>
            <w:r>
              <w:rPr>
                <w:sz w:val="18"/>
                <w:szCs w:val="18"/>
              </w:rPr>
              <w:t xml:space="preserve">17,898</w:t>
            </w:r>
          </w:p>
        </w:tc>
      </w:tr>
      <w:tr>
        <w:tc>
          <w:tcPr>
            <w:tcW w:w="4072" w:type="dxa"/>
            <w:vAlign w:val="center"/>
          </w:tcPr>
          <w:p>
            <w:pPr>
              <w:spacing w:before="0" w:after="0"/>
              <w:jc w:val="left"/>
            </w:pPr>
            <w:r>
              <w:rPr>
                <w:sz w:val="18"/>
                <w:szCs w:val="18"/>
              </w:rPr>
              <w:t xml:space="preserve">Accounts payable</w:t>
            </w:r>
          </w:p>
        </w:tc>
        <w:tc>
          <w:tcPr>
            <w:tcW w:w="2500" w:type="dxa"/>
            <w:vAlign w:val="center"/>
          </w:tcPr>
          <w:p>
            <w:pPr>
              <w:spacing w:before="0" w:after="0"/>
              <w:jc w:val="right"/>
            </w:pPr>
            <w:r>
              <w:rPr>
                <w:sz w:val="18"/>
                <w:szCs w:val="18"/>
              </w:rPr>
              <w:t xml:space="preserve">10,009</w:t>
            </w:r>
          </w:p>
        </w:tc>
        <w:tc>
          <w:tcPr>
            <w:tcW w:w="2500" w:type="dxa"/>
            <w:vAlign w:val="center"/>
          </w:tcPr>
          <w:p>
            <w:pPr>
              <w:spacing w:before="0" w:after="0"/>
              <w:jc w:val="right"/>
            </w:pPr>
            <w:r>
              <w:rPr>
                <w:sz w:val="18"/>
                <w:szCs w:val="18"/>
              </w:rPr>
              <w:t xml:space="preserve">10,501</w:t>
            </w:r>
          </w:p>
        </w:tc>
      </w:tr>
      <w:tr>
        <w:tc>
          <w:tcPr>
            <w:tcW w:w="4072" w:type="dxa"/>
            <w:vAlign w:val="center"/>
          </w:tcPr>
          <w:p>
            <w:pPr>
              <w:spacing w:before="0" w:after="0"/>
              <w:jc w:val="left"/>
            </w:pPr>
            <w:r>
              <w:rPr>
                <w:sz w:val="18"/>
                <w:szCs w:val="18"/>
              </w:rPr>
              <w:t xml:space="preserve">Operating lease liabilities, net of current portion</w:t>
            </w:r>
          </w:p>
        </w:tc>
        <w:tc>
          <w:tcPr>
            <w:tcW w:w="2500" w:type="dxa"/>
            <w:vAlign w:val="center"/>
          </w:tcPr>
          <w:p>
            <w:pPr>
              <w:spacing w:before="0" w:after="0"/>
              <w:jc w:val="right"/>
            </w:pPr>
            <w:r>
              <w:rPr>
                <w:sz w:val="18"/>
                <w:szCs w:val="18"/>
              </w:rPr>
              <w:t xml:space="preserve">26,931</w:t>
            </w:r>
          </w:p>
        </w:tc>
        <w:tc>
          <w:tcPr>
            <w:tcW w:w="2500" w:type="dxa"/>
            <w:vAlign w:val="center"/>
          </w:tcPr>
          <w:p>
            <w:pPr>
              <w:spacing w:before="0" w:after="0"/>
              <w:jc w:val="right"/>
            </w:pPr>
            <w:r>
              <w:rPr>
                <w:sz w:val="18"/>
                <w:szCs w:val="18"/>
              </w:rPr>
              <w:t xml:space="preserve">30,048</w:t>
            </w:r>
          </w:p>
        </w:tc>
      </w:tr>
      <w:tr>
        <w:tc>
          <w:tcPr>
            <w:tcW w:w="4072" w:type="dxa"/>
            <w:vAlign w:val="center"/>
          </w:tcPr>
          <w:p>
            <w:pPr>
              <w:spacing w:before="0" w:after="0"/>
              <w:jc w:val="left"/>
            </w:pPr>
            <w:r>
              <w:rPr>
                <w:sz w:val="18"/>
                <w:szCs w:val="18"/>
              </w:rPr>
              <w:t xml:space="preserve">Accounts payable</w:t>
            </w:r>
          </w:p>
        </w:tc>
        <w:tc>
          <w:tcPr>
            <w:tcW w:w="2500" w:type="dxa"/>
            <w:vAlign w:val="center"/>
          </w:tcPr>
          <w:p>
            <w:pPr>
              <w:spacing w:before="0" w:after="0"/>
              <w:jc w:val="right"/>
            </w:pPr>
            <w:r>
              <w:rPr>
                <w:sz w:val="18"/>
                <w:szCs w:val="18"/>
              </w:rPr>
              <w:t xml:space="preserve">13,633</w:t>
            </w:r>
          </w:p>
        </w:tc>
        <w:tc>
          <w:tcPr>
            <w:tcW w:w="2500" w:type="dxa"/>
            <w:vAlign w:val="center"/>
          </w:tcPr>
          <w:p>
            <w:pPr>
              <w:spacing w:before="0" w:after="0"/>
              <w:jc w:val="right"/>
            </w:pPr>
            <w:r>
              <w:rPr>
                <w:sz w:val="18"/>
                <w:szCs w:val="18"/>
              </w:rPr>
              <w:t xml:space="preserve">13,803</w:t>
            </w:r>
          </w:p>
        </w:tc>
      </w:tr>
    </w:tbl>
    <w:p>
      <w:pPr/>
    </w:p>
    <w:p>
      <w:pPr>
        <w:keepNext/>
      </w:pPr>
      <w:r>
        <w:rPr>
          <w:b/>
        </w:rPr>
        <w:t xml:space="preserve">8. Debt</w:t>
      </w:r>
    </w:p>
    <w:p>
      <w:pPr>
        <w:ind w:left="0" w:firstLine="360"/>
      </w:pPr>
      <w:r>
        <w:t xml:space="preserve">Total revenue for the fiscal year was $31,177 thousand, an increase of 5.6% over the prior year, and operating income was $33,710 thousand, an increase of 3.5%. Revenue from stores in the Lakeside region increased 3.4% compared with the prior year, while its share of total revenue was little changed. Nimbus Coffee depends on a small number of dairy and bakery suppliers in each region, and an interruption in their deliveries could affect sales at the stores they serve. Nimbus Coffee holds no derivatives other than coffee futures contracts used to fix the price of part of its future green coffee purchases. Merchandise sales, consisting of mugs, brewing equipment and seasonal gift sets, are highest in the fourth quarter of each year. The ability of the Group to open new stores depends on finding suitable sites on acceptable lease terms and on hiring and training store managers.</w:t>
      </w:r>
    </w:p>
    <w:p>
      <w:pPr>
        <w:ind w:left="0" w:firstLine="360"/>
      </w:pPr>
      <w:r>
        <w:t xml:space="preserve">Each store is managed by a store manager who reports to a district manager, and district managers report to the director for their region. Nimbus Coffee depends on a small number of dairy and bakery suppliers in each region, and an interruption in their deliveries could affect sales at the stores they serve. The Company depends on a small number of dairy and bakery suppliers in each region, and an interruption in their deliveries could affect sales at the stores they serve.</w:t>
      </w:r>
    </w:p>
    <w:p>
      <w:pPr>
        <w:keepNext/>
      </w:pPr>
      <w:r>
        <w:rPr>
          <w:b/>
        </w:rPr>
        <w:t xml:space="preserve">9. Stock-based compensation</w:t>
      </w:r>
    </w:p>
    <w:p>
      <w:pPr>
        <w:ind w:left="0" w:firstLine="360"/>
      </w:pPr>
      <w:r>
        <w:t xml:space="preserve">The Company depends on a small number of dairy and bakery suppliers in each region, and an interruption in their deliveries could affect sales at the stores they serve. Revenue from loyalty rewards is deferred until the reward is redeemed or expires. Net cash used in investing activities was $23,253 thousand, primarily for purchases of property and equipment. These forward-looking statements are based on information available as of the date of this statement, and actual results may differ materially because of many factors. New stores generally reach the sales level of a mature store within eighteen to twenty-four months of opening. Total assets at the end of the fiscal year were $242,254 thousand, an increase of $27,808 thousand from the end of the prior fiscal year.</w:t>
      </w:r>
    </w:p>
    <w:p>
      <w:pPr>
        <w:ind w:left="0" w:firstLine="360"/>
      </w:pPr>
      <w:r>
        <w:t xml:space="preserve">Food safety incidents, whether or not they occur at our stores, could harm the reputation of the Nimbus Coffee brand and reduce customer traffic. The loyalty program had 1,284 thousand active members at the end of the fiscal year, and purchases by members accounted for 41.7% of store revenue. Revenue from loyalty rewards is deferred until the reward is redeemed or expires. Orders placed through the online store, including orders for pickup in store and home delivery of whole beans, accounted for 7.7% of revenue in the Beverages and Beans categories. The Group holds no derivatives other than coffee futures contracts used to fix the price of part of its future green coffee purchases. Net cash provided by operating activities was $135,291 thousand, mainly reflecting net income and depreciation and amortization.</w:t>
      </w:r>
    </w:p>
    <w:p>
      <w:pPr>
        <w:ind w:left="0" w:firstLine="360"/>
      </w:pPr>
      <w:r>
        <w:t xml:space="preserve">Revenue from loyalty rewards is deferred until the reward is redeemed or expires. Net cash provided by operating activities was $228,112 thousand, mainly reflecting net income and depreciation and amortization. Revenue from stores in the Southport region increased 16.5% compared with the prior year, while its share of total revenue was little changed.</w:t>
      </w:r>
    </w:p>
    <w:tbl>
      <w:tblPr>
        <w:tblW w:w="907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72" w:type="dxa"/>
          <w:right w:w="72" w:type="dxa"/>
        </w:tblCellMar>
      </w:tblPr>
      <w:tblGrid>
        <w:gridCol w:w="4072"/>
        <w:gridCol w:w="2500"/>
        <w:gridCol w:w="2500"/>
      </w:tblGrid>
      <w:tr>
        <w:trPr>
          <w:tblHeader/>
        </w:trPr>
        <w:tc>
          <w:tcPr>
            <w:tcW w:w="4072" w:type="dxa"/>
            <w:shd w:val="clear" w:color="auto" w:fill="DDEBF7"/>
            <w:vAlign w:val="center"/>
          </w:tcPr>
          <w:p>
            <w:pPr>
              <w:spacing w:before="0" w:after="0"/>
              <w:jc w:val="center"/>
            </w:pPr>
            <w:r>
              <w:rPr>
                <w:b/>
                <w:sz w:val="18"/>
                <w:szCs w:val="18"/>
              </w:rPr>
              <w:t xml:space="preserve">Item</w:t>
            </w:r>
          </w:p>
        </w:tc>
        <w:tc>
          <w:tcPr>
            <w:tcW w:w="2500" w:type="dxa"/>
            <w:shd w:val="clear" w:color="auto" w:fill="DDEBF7"/>
            <w:vAlign w:val="center"/>
          </w:tcPr>
          <w:p>
            <w:pPr>
              <w:spacing w:before="0" w:after="0"/>
              <w:jc w:val="center"/>
            </w:pPr>
            <w:r>
              <w:rPr>
                <w:b/>
                <w:sz w:val="18"/>
                <w:szCs w:val="18"/>
              </w:rPr>
              <w:t xml:space="preserve">FY2024</w:t>
            </w:r>
          </w:p>
        </w:tc>
        <w:tc>
          <w:tcPr>
            <w:tcW w:w="2500" w:type="dxa"/>
            <w:shd w:val="clear" w:color="auto" w:fill="DDEBF7"/>
            <w:vAlign w:val="center"/>
          </w:tcPr>
          <w:p>
            <w:pPr>
              <w:spacing w:before="0" w:after="0"/>
              <w:jc w:val="center"/>
            </w:pPr>
            <w:r>
              <w:rPr>
                <w:b/>
                <w:sz w:val="18"/>
                <w:szCs w:val="18"/>
              </w:rPr>
              <w:t xml:space="preserve">FY2025</w:t>
            </w:r>
          </w:p>
        </w:tc>
      </w:tr>
      <w:tr>
        <w:tc>
          <w:tcPr>
            <w:tcW w:w="4072" w:type="dxa"/>
            <w:vAlign w:val="center"/>
          </w:tcPr>
          <w:p>
            <w:pPr>
              <w:spacing w:before="0" w:after="0"/>
              <w:jc w:val="left"/>
            </w:pPr>
            <w:r>
              <w:rPr>
                <w:sz w:val="18"/>
                <w:szCs w:val="18"/>
              </w:rPr>
              <w:t xml:space="preserve">Other long-term liabilities</w:t>
            </w:r>
          </w:p>
        </w:tc>
        <w:tc>
          <w:tcPr>
            <w:tcW w:w="2500" w:type="dxa"/>
            <w:vAlign w:val="center"/>
          </w:tcPr>
          <w:p>
            <w:pPr>
              <w:spacing w:before="0" w:after="0"/>
              <w:jc w:val="right"/>
            </w:pPr>
            <w:r>
              <w:rPr>
                <w:sz w:val="18"/>
                <w:szCs w:val="18"/>
              </w:rPr>
              <w:t xml:space="preserve">23,849</w:t>
            </w:r>
          </w:p>
        </w:tc>
        <w:tc>
          <w:tcPr>
            <w:tcW w:w="2500" w:type="dxa"/>
            <w:vAlign w:val="center"/>
          </w:tcPr>
          <w:p>
            <w:pPr>
              <w:spacing w:before="0" w:after="0"/>
              <w:jc w:val="right"/>
            </w:pPr>
            <w:r>
              <w:rPr>
                <w:sz w:val="18"/>
                <w:szCs w:val="18"/>
              </w:rPr>
              <w:t xml:space="preserve">28,199</w:t>
            </w:r>
          </w:p>
        </w:tc>
      </w:tr>
      <w:tr>
        <w:tc>
          <w:tcPr>
            <w:tcW w:w="4072" w:type="dxa"/>
            <w:vAlign w:val="center"/>
          </w:tcPr>
          <w:p>
            <w:pPr>
              <w:spacing w:before="0" w:after="0"/>
              <w:jc w:val="left"/>
            </w:pPr>
            <w:r>
              <w:rPr>
                <w:sz w:val="18"/>
                <w:szCs w:val="18"/>
              </w:rPr>
              <w:t xml:space="preserve">Other long-term assets</w:t>
            </w:r>
          </w:p>
        </w:tc>
        <w:tc>
          <w:tcPr>
            <w:tcW w:w="2500" w:type="dxa"/>
            <w:vAlign w:val="center"/>
          </w:tcPr>
          <w:p>
            <w:pPr>
              <w:spacing w:before="0" w:after="0"/>
              <w:jc w:val="right"/>
            </w:pPr>
            <w:r>
              <w:rPr>
                <w:sz w:val="18"/>
                <w:szCs w:val="18"/>
              </w:rPr>
              <w:t xml:space="preserve">27,442</w:t>
            </w:r>
          </w:p>
        </w:tc>
        <w:tc>
          <w:tcPr>
            <w:tcW w:w="2500" w:type="dxa"/>
            <w:vAlign w:val="center"/>
          </w:tcPr>
          <w:p>
            <w:pPr>
              <w:spacing w:before="0" w:after="0"/>
              <w:jc w:val="right"/>
            </w:pPr>
            <w:r>
              <w:rPr>
                <w:sz w:val="18"/>
                <w:szCs w:val="18"/>
              </w:rPr>
              <w:t xml:space="preserve">27,811</w:t>
            </w:r>
          </w:p>
        </w:tc>
      </w:tr>
      <w:tr>
        <w:tc>
          <w:tcPr>
            <w:tcW w:w="4072" w:type="dxa"/>
            <w:vAlign w:val="center"/>
          </w:tcPr>
          <w:p>
            <w:pPr>
              <w:spacing w:before="0" w:after="0"/>
              <w:jc w:val="left"/>
            </w:pPr>
            <w:r>
              <w:rPr>
                <w:sz w:val="18"/>
                <w:szCs w:val="18"/>
              </w:rPr>
              <w:t xml:space="preserve">Accounts payable</w:t>
            </w:r>
          </w:p>
        </w:tc>
        <w:tc>
          <w:tcPr>
            <w:tcW w:w="2500" w:type="dxa"/>
            <w:vAlign w:val="center"/>
          </w:tcPr>
          <w:p>
            <w:pPr>
              <w:spacing w:before="0" w:after="0"/>
              <w:jc w:val="right"/>
            </w:pPr>
            <w:r>
              <w:rPr>
                <w:sz w:val="18"/>
                <w:szCs w:val="18"/>
              </w:rPr>
              <w:t xml:space="preserve">24,611</w:t>
            </w:r>
          </w:p>
        </w:tc>
        <w:tc>
          <w:tcPr>
            <w:tcW w:w="2500" w:type="dxa"/>
            <w:vAlign w:val="center"/>
          </w:tcPr>
          <w:p>
            <w:pPr>
              <w:spacing w:before="0" w:after="0"/>
              <w:jc w:val="right"/>
            </w:pPr>
            <w:r>
              <w:rPr>
                <w:sz w:val="18"/>
                <w:szCs w:val="18"/>
              </w:rPr>
              <w:t xml:space="preserve">28,544</w:t>
            </w:r>
          </w:p>
        </w:tc>
      </w:tr>
      <w:tr>
        <w:tc>
          <w:tcPr>
            <w:tcW w:w="4072" w:type="dxa"/>
            <w:vAlign w:val="center"/>
          </w:tcPr>
          <w:p>
            <w:pPr>
              <w:spacing w:before="0" w:after="0"/>
              <w:jc w:val="left"/>
            </w:pPr>
            <w:r>
              <w:rPr>
                <w:sz w:val="18"/>
                <w:szCs w:val="18"/>
              </w:rPr>
              <w:t xml:space="preserve">Security deposits</w:t>
            </w:r>
          </w:p>
        </w:tc>
        <w:tc>
          <w:tcPr>
            <w:tcW w:w="2500" w:type="dxa"/>
            <w:vAlign w:val="center"/>
          </w:tcPr>
          <w:p>
            <w:pPr>
              <w:spacing w:before="0" w:after="0"/>
              <w:jc w:val="right"/>
            </w:pPr>
            <w:r>
              <w:rPr>
                <w:sz w:val="18"/>
                <w:szCs w:val="18"/>
              </w:rPr>
              <w:t xml:space="preserve">27,229</w:t>
            </w:r>
          </w:p>
        </w:tc>
        <w:tc>
          <w:tcPr>
            <w:tcW w:w="2500" w:type="dxa"/>
            <w:vAlign w:val="center"/>
          </w:tcPr>
          <w:p>
            <w:pPr>
              <w:spacing w:before="0" w:after="0"/>
              <w:jc w:val="right"/>
            </w:pPr>
            <w:r>
              <w:rPr>
                <w:sz w:val="18"/>
                <w:szCs w:val="18"/>
              </w:rPr>
              <w:t xml:space="preserve">28,628</w:t>
            </w:r>
          </w:p>
        </w:tc>
      </w:tr>
      <w:tr>
        <w:tc>
          <w:tcPr>
            <w:tcW w:w="4072" w:type="dxa"/>
            <w:vAlign w:val="center"/>
          </w:tcPr>
          <w:p>
            <w:pPr>
              <w:spacing w:before="0" w:after="0"/>
              <w:jc w:val="left"/>
            </w:pPr>
            <w:r>
              <w:rPr>
                <w:sz w:val="18"/>
                <w:szCs w:val="18"/>
              </w:rPr>
              <w:t xml:space="preserve">Goodwill</w:t>
            </w:r>
          </w:p>
        </w:tc>
        <w:tc>
          <w:tcPr>
            <w:tcW w:w="2500" w:type="dxa"/>
            <w:vAlign w:val="center"/>
          </w:tcPr>
          <w:p>
            <w:pPr>
              <w:spacing w:before="0" w:after="0"/>
              <w:jc w:val="right"/>
            </w:pPr>
            <w:r>
              <w:rPr>
                <w:sz w:val="18"/>
                <w:szCs w:val="18"/>
              </w:rPr>
              <w:t xml:space="preserve">8,371</w:t>
            </w:r>
          </w:p>
        </w:tc>
        <w:tc>
          <w:tcPr>
            <w:tcW w:w="2500" w:type="dxa"/>
            <w:vAlign w:val="center"/>
          </w:tcPr>
          <w:p>
            <w:pPr>
              <w:spacing w:before="0" w:after="0"/>
              <w:jc w:val="right"/>
            </w:pPr>
            <w:r>
              <w:rPr>
                <w:sz w:val="18"/>
                <w:szCs w:val="18"/>
              </w:rPr>
              <w:t xml:space="preserve">9,022</w:t>
            </w:r>
          </w:p>
        </w:tc>
      </w:tr>
      <w:tr>
        <w:tc>
          <w:tcPr>
            <w:tcW w:w="4072" w:type="dxa"/>
            <w:vAlign w:val="center"/>
          </w:tcPr>
          <w:p>
            <w:pPr>
              <w:spacing w:before="0" w:after="0"/>
              <w:jc w:val="left"/>
            </w:pPr>
            <w:r>
              <w:rPr>
                <w:sz w:val="18"/>
                <w:szCs w:val="18"/>
              </w:rPr>
              <w:t xml:space="preserve">Income taxes payable</w:t>
            </w:r>
          </w:p>
        </w:tc>
        <w:tc>
          <w:tcPr>
            <w:tcW w:w="2500" w:type="dxa"/>
            <w:vAlign w:val="center"/>
          </w:tcPr>
          <w:p>
            <w:pPr>
              <w:spacing w:before="0" w:after="0"/>
              <w:jc w:val="right"/>
            </w:pPr>
            <w:r>
              <w:rPr>
                <w:sz w:val="18"/>
                <w:szCs w:val="18"/>
              </w:rPr>
              <w:t xml:space="preserve">22,016</w:t>
            </w:r>
          </w:p>
        </w:tc>
        <w:tc>
          <w:tcPr>
            <w:tcW w:w="2500" w:type="dxa"/>
            <w:vAlign w:val="center"/>
          </w:tcPr>
          <w:p>
            <w:pPr>
              <w:spacing w:before="0" w:after="0"/>
              <w:jc w:val="right"/>
            </w:pPr>
            <w:r>
              <w:rPr>
                <w:sz w:val="18"/>
                <w:szCs w:val="18"/>
              </w:rPr>
              <w:t xml:space="preserve">25,528</w:t>
            </w:r>
          </w:p>
        </w:tc>
      </w:tr>
    </w:tbl>
    <w:p>
      <w:pPr/>
    </w:p>
    <w:p>
      <w:pPr>
        <w:keepNext/>
      </w:pPr>
      <w:r>
        <w:rPr>
          <w:b/>
        </w:rPr>
        <w:t xml:space="preserve">10. Income taxes</w:t>
      </w:r>
    </w:p>
    <w:p>
      <w:pPr>
        <w:ind w:left="0" w:firstLine="360"/>
      </w:pPr>
      <w:r>
        <w:t xml:space="preserve">New stores generally reach the sales level of a mature store within eighteen to twenty-four months of opening. Weather affects customer traffic: cold drinks sell best in summer, while hot beverages and whole beans sell best from October through February. The Company intends to pay dividends out of retained earnings while keeping sufficient funds to finance the opening of new stores.</w:t>
      </w:r>
    </w:p>
    <w:p>
      <w:pPr>
        <w:ind w:left="0" w:firstLine="360"/>
      </w:pPr>
      <w:r>
        <w:t xml:space="preserve">Merchandise sales, consisting of mugs, brewing equipment and seasonal gift sets, are highest in the fourth quarter of each year. The price of green coffee is volatile, and a sustained increase could reduce gross margin if the Company is unable to pass the cost on to customers through menu prices. Nimbus Coffee intends to pay dividends out of retained earnings while keeping sufficient funds to finance the opening of new stores. Net cash used in investing activities was $3,069 thousand, primarily for purchases of property and equipment.</w:t>
      </w:r>
    </w:p>
    <w:p>
      <w:pPr>
        <w:keepNext/>
      </w:pPr>
      <w:r>
        <w:rPr>
          <w:b/>
        </w:rPr>
        <w:t xml:space="preserve">11. Segment reporting</w:t>
      </w:r>
    </w:p>
    <w:p>
      <w:pPr>
        <w:ind w:left="0" w:firstLine="360"/>
      </w:pPr>
      <w:r>
        <w:t xml:space="preserve">Total revenue for the fiscal year was $156,976 thousand, an increase of 14.4% over the prior year, and operating income was $31,312 thousand, an increase of 22.9%. The roastery produced 478 thousand pounds of roasted coffee during the fiscal year, of which 61.6% was sold through company-operated stores. At the end of the fiscal year, Nimbus Coffee operated 160 company-operated stores in eight regions: Northfield, Eastbay, Southport, Westridge, Lakeside, Hillcrest, Riverside and Harborview. Orders placed through the online store, including orders for pickup in store and home delivery of whole beans, accounted for 56.6% of revenue in the Beverages and Beans categories. The Company operates specialty coffee shops under the Nimbus Coffee name and roasts all of the coffee it serves at its own roastery in Northfield. Labor costs are affected by minimum wage laws in the regions where the stores are located, and further increases could reduce store margins.</w:t>
      </w:r>
    </w:p>
    <w:p>
      <w:pPr>
        <w:ind w:left="0" w:firstLine="360"/>
      </w:pPr>
      <w:r>
        <w:t xml:space="preserve">The Group operates specialty coffee shops under the Nimbus Coffee name and roasts all of the coffee it serves at its own roastery in Northfield. Net cash used in financing activities was $14,833 thousand, reflecting repayments of the term loan and dividends paid. The Company leases all of its store premises under operating leases with initial terms of ten years, most of which include options to renew.</w:t>
      </w:r>
    </w:p>
    <w:tbl>
      <w:tblPr>
        <w:tblW w:w="907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72" w:type="dxa"/>
          <w:right w:w="72" w:type="dxa"/>
        </w:tblCellMar>
      </w:tblPr>
      <w:tblGrid>
        <w:gridCol w:w="4072"/>
        <w:gridCol w:w="2500"/>
        <w:gridCol w:w="2500"/>
      </w:tblGrid>
      <w:tr>
        <w:trPr>
          <w:tblHeader/>
        </w:trPr>
        <w:tc>
          <w:tcPr>
            <w:tcW w:w="4072" w:type="dxa"/>
            <w:shd w:val="clear" w:color="auto" w:fill="DDEBF7"/>
            <w:vAlign w:val="center"/>
          </w:tcPr>
          <w:p>
            <w:pPr>
              <w:spacing w:before="0" w:after="0"/>
              <w:jc w:val="center"/>
            </w:pPr>
            <w:r>
              <w:rPr>
                <w:b/>
                <w:sz w:val="18"/>
                <w:szCs w:val="18"/>
              </w:rPr>
              <w:t xml:space="preserve">Item</w:t>
            </w:r>
          </w:p>
        </w:tc>
        <w:tc>
          <w:tcPr>
            <w:tcW w:w="2500" w:type="dxa"/>
            <w:shd w:val="clear" w:color="auto" w:fill="DDEBF7"/>
            <w:vAlign w:val="center"/>
          </w:tcPr>
          <w:p>
            <w:pPr>
              <w:spacing w:before="0" w:after="0"/>
              <w:jc w:val="center"/>
            </w:pPr>
            <w:r>
              <w:rPr>
                <w:b/>
                <w:sz w:val="18"/>
                <w:szCs w:val="18"/>
              </w:rPr>
              <w:t xml:space="preserve">FY2024</w:t>
            </w:r>
          </w:p>
        </w:tc>
        <w:tc>
          <w:tcPr>
            <w:tcW w:w="2500" w:type="dxa"/>
            <w:shd w:val="clear" w:color="auto" w:fill="DDEBF7"/>
            <w:vAlign w:val="center"/>
          </w:tcPr>
          <w:p>
            <w:pPr>
              <w:spacing w:before="0" w:after="0"/>
              <w:jc w:val="center"/>
            </w:pPr>
            <w:r>
              <w:rPr>
                <w:b/>
                <w:sz w:val="18"/>
                <w:szCs w:val="18"/>
              </w:rPr>
              <w:t xml:space="preserve">FY2025</w:t>
            </w:r>
          </w:p>
        </w:tc>
      </w:tr>
      <w:tr>
        <w:tc>
          <w:tcPr>
            <w:tcW w:w="4072" w:type="dxa"/>
            <w:vAlign w:val="center"/>
          </w:tcPr>
          <w:p>
            <w:pPr>
              <w:spacing w:before="0" w:after="0"/>
              <w:jc w:val="left"/>
            </w:pPr>
            <w:r>
              <w:rPr>
                <w:sz w:val="18"/>
                <w:szCs w:val="18"/>
              </w:rPr>
              <w:t xml:space="preserve">Prepaid expenses and other current assets</w:t>
            </w:r>
          </w:p>
        </w:tc>
        <w:tc>
          <w:tcPr>
            <w:tcW w:w="2500" w:type="dxa"/>
            <w:vAlign w:val="center"/>
          </w:tcPr>
          <w:p>
            <w:pPr>
              <w:spacing w:before="0" w:after="0"/>
              <w:jc w:val="right"/>
            </w:pPr>
            <w:r>
              <w:rPr>
                <w:sz w:val="18"/>
                <w:szCs w:val="18"/>
              </w:rPr>
              <w:t xml:space="preserve">19,230</w:t>
            </w:r>
          </w:p>
        </w:tc>
        <w:tc>
          <w:tcPr>
            <w:tcW w:w="2500" w:type="dxa"/>
            <w:vAlign w:val="center"/>
          </w:tcPr>
          <w:p>
            <w:pPr>
              <w:spacing w:before="0" w:after="0"/>
              <w:jc w:val="right"/>
            </w:pPr>
            <w:r>
              <w:rPr>
                <w:sz w:val="18"/>
                <w:szCs w:val="18"/>
              </w:rPr>
              <w:t xml:space="preserve">21,260</w:t>
            </w:r>
          </w:p>
        </w:tc>
      </w:tr>
      <w:tr>
        <w:tc>
          <w:tcPr>
            <w:tcW w:w="4072" w:type="dxa"/>
            <w:vAlign w:val="center"/>
          </w:tcPr>
          <w:p>
            <w:pPr>
              <w:spacing w:before="0" w:after="0"/>
              <w:jc w:val="left"/>
            </w:pPr>
            <w:r>
              <w:rPr>
                <w:sz w:val="18"/>
                <w:szCs w:val="18"/>
              </w:rPr>
              <w:t xml:space="preserve">Deferred income taxes</w:t>
            </w:r>
          </w:p>
        </w:tc>
        <w:tc>
          <w:tcPr>
            <w:tcW w:w="2500" w:type="dxa"/>
            <w:vAlign w:val="center"/>
          </w:tcPr>
          <w:p>
            <w:pPr>
              <w:spacing w:before="0" w:after="0"/>
              <w:jc w:val="right"/>
            </w:pPr>
            <w:r>
              <w:rPr>
                <w:sz w:val="18"/>
                <w:szCs w:val="18"/>
              </w:rPr>
              <w:t xml:space="preserve">19,677</w:t>
            </w:r>
          </w:p>
        </w:tc>
        <w:tc>
          <w:tcPr>
            <w:tcW w:w="2500" w:type="dxa"/>
            <w:vAlign w:val="center"/>
          </w:tcPr>
          <w:p>
            <w:pPr>
              <w:spacing w:before="0" w:after="0"/>
              <w:jc w:val="right"/>
            </w:pPr>
            <w:r>
              <w:rPr>
                <w:sz w:val="18"/>
                <w:szCs w:val="18"/>
              </w:rPr>
              <w:t xml:space="preserve">20,299</w:t>
            </w:r>
          </w:p>
        </w:tc>
      </w:tr>
      <w:tr>
        <w:tc>
          <w:tcPr>
            <w:tcW w:w="4072" w:type="dxa"/>
            <w:vAlign w:val="center"/>
          </w:tcPr>
          <w:p>
            <w:pPr>
              <w:spacing w:before="0" w:after="0"/>
              <w:jc w:val="left"/>
            </w:pPr>
            <w:r>
              <w:rPr>
                <w:sz w:val="18"/>
                <w:szCs w:val="18"/>
              </w:rPr>
              <w:t xml:space="preserve">Deferred revenue (gift cards and loyalty)</w:t>
            </w:r>
          </w:p>
        </w:tc>
        <w:tc>
          <w:tcPr>
            <w:tcW w:w="2500" w:type="dxa"/>
            <w:vAlign w:val="center"/>
          </w:tcPr>
          <w:p>
            <w:pPr>
              <w:spacing w:before="0" w:after="0"/>
              <w:jc w:val="right"/>
            </w:pPr>
            <w:r>
              <w:rPr>
                <w:sz w:val="18"/>
                <w:szCs w:val="18"/>
              </w:rPr>
              <w:t xml:space="preserve">17,983</w:t>
            </w:r>
          </w:p>
        </w:tc>
        <w:tc>
          <w:tcPr>
            <w:tcW w:w="2500" w:type="dxa"/>
            <w:vAlign w:val="center"/>
          </w:tcPr>
          <w:p>
            <w:pPr>
              <w:spacing w:before="0" w:after="0"/>
              <w:jc w:val="right"/>
            </w:pPr>
            <w:r>
              <w:rPr>
                <w:sz w:val="18"/>
                <w:szCs w:val="18"/>
              </w:rPr>
              <w:t xml:space="preserve">19,133</w:t>
            </w:r>
          </w:p>
        </w:tc>
      </w:tr>
      <w:tr>
        <w:tc>
          <w:tcPr>
            <w:tcW w:w="4072" w:type="dxa"/>
            <w:vAlign w:val="center"/>
          </w:tcPr>
          <w:p>
            <w:pPr>
              <w:spacing w:before="0" w:after="0"/>
              <w:jc w:val="left"/>
            </w:pPr>
            <w:r>
              <w:rPr>
                <w:sz w:val="18"/>
                <w:szCs w:val="18"/>
              </w:rPr>
              <w:t xml:space="preserve">Accounts payable</w:t>
            </w:r>
          </w:p>
        </w:tc>
        <w:tc>
          <w:tcPr>
            <w:tcW w:w="2500" w:type="dxa"/>
            <w:vAlign w:val="center"/>
          </w:tcPr>
          <w:p>
            <w:pPr>
              <w:spacing w:before="0" w:after="0"/>
              <w:jc w:val="right"/>
            </w:pPr>
            <w:r>
              <w:rPr>
                <w:sz w:val="18"/>
                <w:szCs w:val="18"/>
              </w:rPr>
              <w:t xml:space="preserve">16,452</w:t>
            </w:r>
          </w:p>
        </w:tc>
        <w:tc>
          <w:tcPr>
            <w:tcW w:w="2500" w:type="dxa"/>
            <w:vAlign w:val="center"/>
          </w:tcPr>
          <w:p>
            <w:pPr>
              <w:spacing w:before="0" w:after="0"/>
              <w:jc w:val="right"/>
            </w:pPr>
            <w:r>
              <w:rPr>
                <w:sz w:val="18"/>
                <w:szCs w:val="18"/>
              </w:rPr>
              <w:t xml:space="preserve">16,898</w:t>
            </w:r>
          </w:p>
        </w:tc>
      </w:tr>
      <w:tr>
        <w:tc>
          <w:tcPr>
            <w:tcW w:w="4072" w:type="dxa"/>
            <w:vAlign w:val="center"/>
          </w:tcPr>
          <w:p>
            <w:pPr>
              <w:spacing w:before="0" w:after="0"/>
              <w:jc w:val="left"/>
            </w:pPr>
            <w:r>
              <w:rPr>
                <w:sz w:val="18"/>
                <w:szCs w:val="18"/>
              </w:rPr>
              <w:t xml:space="preserve">Other intangible assets, net</w:t>
            </w:r>
          </w:p>
        </w:tc>
        <w:tc>
          <w:tcPr>
            <w:tcW w:w="2500" w:type="dxa"/>
            <w:vAlign w:val="center"/>
          </w:tcPr>
          <w:p>
            <w:pPr>
              <w:spacing w:before="0" w:after="0"/>
              <w:jc w:val="right"/>
            </w:pPr>
            <w:r>
              <w:rPr>
                <w:sz w:val="18"/>
                <w:szCs w:val="18"/>
              </w:rPr>
              <w:t xml:space="preserve">3,383</w:t>
            </w:r>
          </w:p>
        </w:tc>
        <w:tc>
          <w:tcPr>
            <w:tcW w:w="2500" w:type="dxa"/>
            <w:vAlign w:val="center"/>
          </w:tcPr>
          <w:p>
            <w:pPr>
              <w:spacing w:before="0" w:after="0"/>
              <w:jc w:val="right"/>
            </w:pPr>
            <w:r>
              <w:rPr>
                <w:sz w:val="18"/>
                <w:szCs w:val="18"/>
              </w:rPr>
              <w:t xml:space="preserve">3,936</w:t>
            </w:r>
          </w:p>
        </w:tc>
      </w:tr>
      <w:tr>
        <w:tc>
          <w:tcPr>
            <w:tcW w:w="4072" w:type="dxa"/>
            <w:vAlign w:val="center"/>
          </w:tcPr>
          <w:p>
            <w:pPr>
              <w:spacing w:before="0" w:after="0"/>
              <w:jc w:val="left"/>
            </w:pPr>
            <w:r>
              <w:rPr>
                <w:sz w:val="18"/>
                <w:szCs w:val="18"/>
              </w:rPr>
              <w:t xml:space="preserve">Prepaid expenses and other current assets</w:t>
            </w:r>
          </w:p>
        </w:tc>
        <w:tc>
          <w:tcPr>
            <w:tcW w:w="2500" w:type="dxa"/>
            <w:vAlign w:val="center"/>
          </w:tcPr>
          <w:p>
            <w:pPr>
              <w:spacing w:before="0" w:after="0"/>
              <w:jc w:val="right"/>
            </w:pPr>
            <w:r>
              <w:rPr>
                <w:sz w:val="18"/>
                <w:szCs w:val="18"/>
              </w:rPr>
              <w:t xml:space="preserve">14,171</w:t>
            </w:r>
          </w:p>
        </w:tc>
        <w:tc>
          <w:tcPr>
            <w:tcW w:w="2500" w:type="dxa"/>
            <w:vAlign w:val="center"/>
          </w:tcPr>
          <w:p>
            <w:pPr>
              <w:spacing w:before="0" w:after="0"/>
              <w:jc w:val="right"/>
            </w:pPr>
            <w:r>
              <w:rPr>
                <w:sz w:val="18"/>
                <w:szCs w:val="18"/>
              </w:rPr>
              <w:t xml:space="preserve">16,200</w:t>
            </w:r>
          </w:p>
        </w:tc>
      </w:tr>
    </w:tbl>
    <w:p>
      <w:pPr/>
    </w:p>
    <w:p>
      <w:pPr>
        <w:keepNext/>
      </w:pPr>
      <w:r>
        <w:rPr>
          <w:b/>
        </w:rPr>
        <w:t xml:space="preserve">12. Related-party transactions</w:t>
      </w:r>
    </w:p>
    <w:p>
      <w:pPr>
        <w:ind w:left="0" w:firstLine="360"/>
      </w:pPr>
      <w:r>
        <w:t xml:space="preserve">Comparable store sales increased 6.7%, driven by a 4.8% increase in average ticket and a 2.1% increase in transactions. Green coffee is purchased from exporters and cooperatives in Central America, South America and East Africa under fixed-price contracts that generally cover the next nine to twelve months of expected needs. New stores generally reach the sales level of a mature store within eighteen to twenty-four months of opening.</w:t>
      </w:r>
    </w:p>
    <w:p>
      <w:pPr>
        <w:ind w:left="0" w:firstLine="360"/>
      </w:pPr>
      <w:r>
        <w:t xml:space="preserve">At the end of the fiscal year, the Company operated 189 company-operated stores in eight regions: Northfield, Eastbay, Southport, Westridge, Lakeside, Hillcrest, Riverside and Harborview. Inventories consist of green coffee, roasted coffee, packaging, food and merchandise, and are stated at the lower of cost and net realizable value. Capital expenditures totaled $21,233 thousand and consisted mainly of the build-out of new stores, the remodeling of existing stores and a second roasting line at the Northfield roastery.</w:t>
      </w:r>
    </w:p>
    <w:p>
      <w:pPr>
        <w:keepNext/>
      </w:pPr>
      <w:r>
        <w:rPr>
          <w:b/>
        </w:rPr>
        <w:t xml:space="preserve">13. Earnings per share</w:t>
      </w:r>
    </w:p>
    <w:p>
      <w:pPr>
        <w:ind w:left="0" w:firstLine="360"/>
      </w:pPr>
      <w:r>
        <w:t xml:space="preserve">Orders placed through the online store, including orders for pickup in store and home delivery of whole beans, accounted for 41.2% of revenue in the Beverages and Beans categories. New stores generally reach the sales level of a mature store within eighteen to twenty-four months of opening. Each store is managed by a store manager who reports to a district manager, and district managers report to the director for their region.</w:t>
      </w:r>
    </w:p>
    <w:p>
      <w:pPr>
        <w:ind w:left="0" w:firstLine="360"/>
      </w:pPr>
      <w:r>
        <w:t xml:space="preserve">Labor costs are affected by minimum wage laws in the regions where the stores are located, and further increases could reduce store margins. During the fiscal year, the Group opened 6 new stores and closed 5 stores whose leases expired. Capital expenditures totaled $15,882 thousand and consisted mainly of the build-out of new stores, the remodeling of existing stores and a second roasting line at the Northfield roastery. At the end of the fiscal year, the Company operated 159 company-operated stores in eight regions: Northfield, Eastbay, Southport, Westridge, Lakeside, Hillcrest, Riverside and Harborview. New stores generally reach the sales level of a mature store within eighteen to twenty-four months of opening.</w:t>
      </w:r>
    </w:p>
    <w:p>
      <w:pPr>
        <w:ind w:left="0" w:firstLine="360"/>
      </w:pPr>
      <w:r>
        <w:t xml:space="preserve">The Group buys 52.4% of its green coffee by volume from farms certified under recognized sustainability standards. Net cash provided by operating activities was $116,305 thousand, mainly reflecting net income and depreciation and amortization. Labor costs are affected by minimum wage laws in the regions where the stores are located, and further increases could reduce store margins. During the fiscal year, the Group opened 17 new stores and closed 1 stores whose leases expired. Net cash used in financing activities was $12,670 thousand, reflecting repayments of the term loan and dividends paid.</w:t>
      </w:r>
    </w:p>
    <w:tbl>
      <w:tblPr>
        <w:tblW w:w="907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72" w:type="dxa"/>
          <w:right w:w="72" w:type="dxa"/>
        </w:tblCellMar>
      </w:tblPr>
      <w:tblGrid>
        <w:gridCol w:w="4072"/>
        <w:gridCol w:w="2500"/>
        <w:gridCol w:w="2500"/>
      </w:tblGrid>
      <w:tr>
        <w:trPr>
          <w:tblHeader/>
        </w:trPr>
        <w:tc>
          <w:tcPr>
            <w:tcW w:w="4072" w:type="dxa"/>
            <w:shd w:val="clear" w:color="auto" w:fill="DDEBF7"/>
            <w:vAlign w:val="center"/>
          </w:tcPr>
          <w:p>
            <w:pPr>
              <w:spacing w:before="0" w:after="0"/>
              <w:jc w:val="center"/>
            </w:pPr>
            <w:r>
              <w:rPr>
                <w:b/>
                <w:sz w:val="18"/>
                <w:szCs w:val="18"/>
              </w:rPr>
              <w:t xml:space="preserve">Item</w:t>
            </w:r>
          </w:p>
        </w:tc>
        <w:tc>
          <w:tcPr>
            <w:tcW w:w="2500" w:type="dxa"/>
            <w:shd w:val="clear" w:color="auto" w:fill="DDEBF7"/>
            <w:vAlign w:val="center"/>
          </w:tcPr>
          <w:p>
            <w:pPr>
              <w:spacing w:before="0" w:after="0"/>
              <w:jc w:val="center"/>
            </w:pPr>
            <w:r>
              <w:rPr>
                <w:b/>
                <w:sz w:val="18"/>
                <w:szCs w:val="18"/>
              </w:rPr>
              <w:t xml:space="preserve">FY2024</w:t>
            </w:r>
          </w:p>
        </w:tc>
        <w:tc>
          <w:tcPr>
            <w:tcW w:w="2500" w:type="dxa"/>
            <w:shd w:val="clear" w:color="auto" w:fill="DDEBF7"/>
            <w:vAlign w:val="center"/>
          </w:tcPr>
          <w:p>
            <w:pPr>
              <w:spacing w:before="0" w:after="0"/>
              <w:jc w:val="center"/>
            </w:pPr>
            <w:r>
              <w:rPr>
                <w:b/>
                <w:sz w:val="18"/>
                <w:szCs w:val="18"/>
              </w:rPr>
              <w:t xml:space="preserve">FY2025</w:t>
            </w:r>
          </w:p>
        </w:tc>
      </w:tr>
      <w:tr>
        <w:tc>
          <w:tcPr>
            <w:tcW w:w="4072" w:type="dxa"/>
            <w:vAlign w:val="center"/>
          </w:tcPr>
          <w:p>
            <w:pPr>
              <w:spacing w:before="0" w:after="0"/>
              <w:jc w:val="left"/>
            </w:pPr>
            <w:r>
              <w:rPr>
                <w:sz w:val="18"/>
                <w:szCs w:val="18"/>
              </w:rPr>
              <w:t xml:space="preserve">Other long-term liabilities</w:t>
            </w:r>
          </w:p>
        </w:tc>
        <w:tc>
          <w:tcPr>
            <w:tcW w:w="2500" w:type="dxa"/>
            <w:vAlign w:val="center"/>
          </w:tcPr>
          <w:p>
            <w:pPr>
              <w:spacing w:before="0" w:after="0"/>
              <w:jc w:val="right"/>
            </w:pPr>
            <w:r>
              <w:rPr>
                <w:sz w:val="18"/>
                <w:szCs w:val="18"/>
              </w:rPr>
              <w:t xml:space="preserve">6,644</w:t>
            </w:r>
          </w:p>
        </w:tc>
        <w:tc>
          <w:tcPr>
            <w:tcW w:w="2500" w:type="dxa"/>
            <w:vAlign w:val="center"/>
          </w:tcPr>
          <w:p>
            <w:pPr>
              <w:spacing w:before="0" w:after="0"/>
              <w:jc w:val="right"/>
            </w:pPr>
            <w:r>
              <w:rPr>
                <w:sz w:val="18"/>
                <w:szCs w:val="18"/>
              </w:rPr>
              <w:t xml:space="preserve">6,823</w:t>
            </w:r>
          </w:p>
        </w:tc>
      </w:tr>
      <w:tr>
        <w:tc>
          <w:tcPr>
            <w:tcW w:w="4072" w:type="dxa"/>
            <w:vAlign w:val="center"/>
          </w:tcPr>
          <w:p>
            <w:pPr>
              <w:spacing w:before="0" w:after="0"/>
              <w:jc w:val="left"/>
            </w:pPr>
            <w:r>
              <w:rPr>
                <w:sz w:val="18"/>
                <w:szCs w:val="18"/>
              </w:rPr>
              <w:t xml:space="preserve">Other accrued liabilities</w:t>
            </w:r>
          </w:p>
        </w:tc>
        <w:tc>
          <w:tcPr>
            <w:tcW w:w="2500" w:type="dxa"/>
            <w:vAlign w:val="center"/>
          </w:tcPr>
          <w:p>
            <w:pPr>
              <w:spacing w:before="0" w:after="0"/>
              <w:jc w:val="right"/>
            </w:pPr>
            <w:r>
              <w:rPr>
                <w:sz w:val="18"/>
                <w:szCs w:val="18"/>
              </w:rPr>
              <w:t xml:space="preserve">22,490</w:t>
            </w:r>
          </w:p>
        </w:tc>
        <w:tc>
          <w:tcPr>
            <w:tcW w:w="2500" w:type="dxa"/>
            <w:vAlign w:val="center"/>
          </w:tcPr>
          <w:p>
            <w:pPr>
              <w:spacing w:before="0" w:after="0"/>
              <w:jc w:val="right"/>
            </w:pPr>
            <w:r>
              <w:rPr>
                <w:sz w:val="18"/>
                <w:szCs w:val="18"/>
              </w:rPr>
              <w:t xml:space="preserve">22,801</w:t>
            </w:r>
          </w:p>
        </w:tc>
      </w:tr>
      <w:tr>
        <w:tc>
          <w:tcPr>
            <w:tcW w:w="4072" w:type="dxa"/>
            <w:vAlign w:val="center"/>
          </w:tcPr>
          <w:p>
            <w:pPr>
              <w:spacing w:before="0" w:after="0"/>
              <w:jc w:val="left"/>
            </w:pPr>
            <w:r>
              <w:rPr>
                <w:sz w:val="18"/>
                <w:szCs w:val="18"/>
              </w:rPr>
              <w:t xml:space="preserve">Other intangible assets, net</w:t>
            </w:r>
          </w:p>
        </w:tc>
        <w:tc>
          <w:tcPr>
            <w:tcW w:w="2500" w:type="dxa"/>
            <w:vAlign w:val="center"/>
          </w:tcPr>
          <w:p>
            <w:pPr>
              <w:spacing w:before="0" w:after="0"/>
              <w:jc w:val="right"/>
            </w:pPr>
            <w:r>
              <w:rPr>
                <w:sz w:val="18"/>
                <w:szCs w:val="18"/>
              </w:rPr>
              <w:t xml:space="preserve">17,132</w:t>
            </w:r>
          </w:p>
        </w:tc>
        <w:tc>
          <w:tcPr>
            <w:tcW w:w="2500" w:type="dxa"/>
            <w:vAlign w:val="center"/>
          </w:tcPr>
          <w:p>
            <w:pPr>
              <w:spacing w:before="0" w:after="0"/>
              <w:jc w:val="right"/>
            </w:pPr>
            <w:r>
              <w:rPr>
                <w:sz w:val="18"/>
                <w:szCs w:val="18"/>
              </w:rPr>
              <w:t xml:space="preserve">17,833</w:t>
            </w:r>
          </w:p>
        </w:tc>
      </w:tr>
      <w:tr>
        <w:tc>
          <w:tcPr>
            <w:tcW w:w="4072" w:type="dxa"/>
            <w:vAlign w:val="center"/>
          </w:tcPr>
          <w:p>
            <w:pPr>
              <w:spacing w:before="0" w:after="0"/>
              <w:jc w:val="left"/>
            </w:pPr>
            <w:r>
              <w:rPr>
                <w:sz w:val="18"/>
                <w:szCs w:val="18"/>
              </w:rPr>
              <w:t xml:space="preserve">Goodwill</w:t>
            </w:r>
          </w:p>
        </w:tc>
        <w:tc>
          <w:tcPr>
            <w:tcW w:w="2500" w:type="dxa"/>
            <w:vAlign w:val="center"/>
          </w:tcPr>
          <w:p>
            <w:pPr>
              <w:spacing w:before="0" w:after="0"/>
              <w:jc w:val="right"/>
            </w:pPr>
            <w:r>
              <w:rPr>
                <w:sz w:val="18"/>
                <w:szCs w:val="18"/>
              </w:rPr>
              <w:t xml:space="preserve">1,992</w:t>
            </w:r>
          </w:p>
        </w:tc>
        <w:tc>
          <w:tcPr>
            <w:tcW w:w="2500" w:type="dxa"/>
            <w:vAlign w:val="center"/>
          </w:tcPr>
          <w:p>
            <w:pPr>
              <w:spacing w:before="0" w:after="0"/>
              <w:jc w:val="right"/>
            </w:pPr>
            <w:r>
              <w:rPr>
                <w:sz w:val="18"/>
                <w:szCs w:val="18"/>
              </w:rPr>
              <w:t xml:space="preserve">2,210</w:t>
            </w:r>
          </w:p>
        </w:tc>
      </w:tr>
      <w:tr>
        <w:tc>
          <w:tcPr>
            <w:tcW w:w="4072" w:type="dxa"/>
            <w:vAlign w:val="center"/>
          </w:tcPr>
          <w:p>
            <w:pPr>
              <w:spacing w:before="0" w:after="0"/>
              <w:jc w:val="left"/>
            </w:pPr>
            <w:r>
              <w:rPr>
                <w:sz w:val="18"/>
                <w:szCs w:val="18"/>
              </w:rPr>
              <w:t xml:space="preserve">Operating lease right-of-use assets</w:t>
            </w:r>
          </w:p>
        </w:tc>
        <w:tc>
          <w:tcPr>
            <w:tcW w:w="2500" w:type="dxa"/>
            <w:vAlign w:val="center"/>
          </w:tcPr>
          <w:p>
            <w:pPr>
              <w:spacing w:before="0" w:after="0"/>
              <w:jc w:val="right"/>
            </w:pPr>
            <w:r>
              <w:rPr>
                <w:sz w:val="18"/>
                <w:szCs w:val="18"/>
              </w:rPr>
              <w:t xml:space="preserve">22,428</w:t>
            </w:r>
          </w:p>
        </w:tc>
        <w:tc>
          <w:tcPr>
            <w:tcW w:w="2500" w:type="dxa"/>
            <w:vAlign w:val="center"/>
          </w:tcPr>
          <w:p>
            <w:pPr>
              <w:spacing w:before="0" w:after="0"/>
              <w:jc w:val="right"/>
            </w:pPr>
            <w:r>
              <w:rPr>
                <w:sz w:val="18"/>
                <w:szCs w:val="18"/>
              </w:rPr>
              <w:t xml:space="preserve">23,865</w:t>
            </w:r>
          </w:p>
        </w:tc>
      </w:tr>
      <w:tr>
        <w:tc>
          <w:tcPr>
            <w:tcW w:w="4072" w:type="dxa"/>
            <w:vAlign w:val="center"/>
          </w:tcPr>
          <w:p>
            <w:pPr>
              <w:spacing w:before="0" w:after="0"/>
              <w:jc w:val="left"/>
            </w:pPr>
            <w:r>
              <w:rPr>
                <w:sz w:val="18"/>
                <w:szCs w:val="18"/>
              </w:rPr>
              <w:t xml:space="preserve">Other intangible assets, net</w:t>
            </w:r>
          </w:p>
        </w:tc>
        <w:tc>
          <w:tcPr>
            <w:tcW w:w="2500" w:type="dxa"/>
            <w:vAlign w:val="center"/>
          </w:tcPr>
          <w:p>
            <w:pPr>
              <w:spacing w:before="0" w:after="0"/>
              <w:jc w:val="right"/>
            </w:pPr>
            <w:r>
              <w:rPr>
                <w:sz w:val="18"/>
                <w:szCs w:val="18"/>
              </w:rPr>
              <w:t xml:space="preserve">26,421</w:t>
            </w:r>
          </w:p>
        </w:tc>
        <w:tc>
          <w:tcPr>
            <w:tcW w:w="2500" w:type="dxa"/>
            <w:vAlign w:val="center"/>
          </w:tcPr>
          <w:p>
            <w:pPr>
              <w:spacing w:before="0" w:after="0"/>
              <w:jc w:val="right"/>
            </w:pPr>
            <w:r>
              <w:rPr>
                <w:sz w:val="18"/>
                <w:szCs w:val="18"/>
              </w:rPr>
              <w:t xml:space="preserve">29,508</w:t>
            </w:r>
          </w:p>
        </w:tc>
      </w:tr>
    </w:tbl>
    <w:p>
      <w:pPr/>
    </w:p>
    <w:p>
      <w:pPr>
        <w:keepNext/>
      </w:pPr>
      <w:r>
        <w:rPr>
          <w:b/>
        </w:rPr>
        <w:t xml:space="preserve">14. Commitments and contingencies</w:t>
      </w:r>
    </w:p>
    <w:p>
      <w:pPr>
        <w:ind w:left="0" w:firstLine="360"/>
      </w:pPr>
      <w:r>
        <w:t xml:space="preserve">Revenue from the Beverages category was $8,202 thousand, or 45.6% of total revenue. Net cash provided by operating activities was $36,001 thousand, mainly reflecting net income and depreciation and amortization. Orders placed through the online store, including orders for pickup in store and home delivery of whole beans, accounted for 40.9% of revenue in the Beverages and Beans categories. Revenue from wholesale customers increased 8.2% compared with the prior year, while its share of total revenue was little changed. The roastery produced 1,049 thousand pounds of roasted coffee during the fiscal year, of which 15.8% was sold through company-operated stores.</w:t>
      </w:r>
    </w:p>
    <w:p>
      <w:pPr>
        <w:ind w:left="0" w:firstLine="360"/>
      </w:pPr>
      <w:r>
        <w:t xml:space="preserve">Energy use per store decreased 11.4% compared with the prior year, as older espresso machines and refrigerators were replaced with more efficient models. Baristas complete a four-week training course before working on the floor, and store managers complete a further course at the Northfield training center. These forward-looking statements are based on information available as of the date of this statement, and actual results may differ materially because of many factors. Food safety incidents, whether or not they occur at our stores, could harm the reputation of the Nimbus Coffee brand and reduce customer traffic. Nimbus Coffee intends to pay dividends out of retained earnings while keeping sufficient funds to finance the opening of new stores. Revenue from stores in the Riverside region was $52,274 thousand, or 15.1% of total revenue.</w:t>
      </w:r>
    </w:p>
    <w:p>
      <w:pPr>
        <w:keepNext/>
      </w:pPr>
      <w:r>
        <w:rPr>
          <w:b/>
        </w:rPr>
        <w:t xml:space="preserve">15. Gift cards and the loyalty program</w:t>
      </w:r>
    </w:p>
    <w:p>
      <w:pPr>
        <w:ind w:left="0" w:firstLine="360"/>
      </w:pPr>
      <w:r>
        <w:t xml:space="preserve">The Company leases all of its store premises under operating leases with initial terms of ten years, most of which include options to renew. New stores generally reach the sales level of a mature store within eighteen to twenty-four months of opening. The roastery produced 780 thousand pounds of roasted coffee during the fiscal year, of which 34.9% was sold through company-operated stores. The Group holds no derivatives other than coffee futures contracts used to fix the price of part of its future green coffee purchases.</w:t>
      </w:r>
    </w:p>
    <w:p>
      <w:pPr>
        <w:ind w:left="0" w:firstLine="360"/>
      </w:pPr>
      <w:r>
        <w:t xml:space="preserve">Inventories consist of green coffee, roasted coffee, packaging, food and merchandise, and are stated at the lower of cost and net realizable value. Comparable store sales increased 5.9%, driven by a 2.6% increase in average ticket and a 1.6% increase in transactions. Revenue from loyalty rewards is deferred until the reward is redeemed or expires.</w:t>
      </w:r>
    </w:p>
    <w:tbl>
      <w:tblPr>
        <w:tblW w:w="907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72" w:type="dxa"/>
          <w:right w:w="72" w:type="dxa"/>
        </w:tblCellMar>
      </w:tblPr>
      <w:tblGrid>
        <w:gridCol w:w="4072"/>
        <w:gridCol w:w="2500"/>
        <w:gridCol w:w="2500"/>
      </w:tblGrid>
      <w:tr>
        <w:trPr>
          <w:tblHeader/>
        </w:trPr>
        <w:tc>
          <w:tcPr>
            <w:tcW w:w="4072" w:type="dxa"/>
            <w:shd w:val="clear" w:color="auto" w:fill="DDEBF7"/>
            <w:vAlign w:val="center"/>
          </w:tcPr>
          <w:p>
            <w:pPr>
              <w:spacing w:before="0" w:after="0"/>
              <w:jc w:val="center"/>
            </w:pPr>
            <w:r>
              <w:rPr>
                <w:b/>
                <w:sz w:val="18"/>
                <w:szCs w:val="18"/>
              </w:rPr>
              <w:t xml:space="preserve">Item</w:t>
            </w:r>
          </w:p>
        </w:tc>
        <w:tc>
          <w:tcPr>
            <w:tcW w:w="2500" w:type="dxa"/>
            <w:shd w:val="clear" w:color="auto" w:fill="DDEBF7"/>
            <w:vAlign w:val="center"/>
          </w:tcPr>
          <w:p>
            <w:pPr>
              <w:spacing w:before="0" w:after="0"/>
              <w:jc w:val="center"/>
            </w:pPr>
            <w:r>
              <w:rPr>
                <w:b/>
                <w:sz w:val="18"/>
                <w:szCs w:val="18"/>
              </w:rPr>
              <w:t xml:space="preserve">FY2024</w:t>
            </w:r>
          </w:p>
        </w:tc>
        <w:tc>
          <w:tcPr>
            <w:tcW w:w="2500" w:type="dxa"/>
            <w:shd w:val="clear" w:color="auto" w:fill="DDEBF7"/>
            <w:vAlign w:val="center"/>
          </w:tcPr>
          <w:p>
            <w:pPr>
              <w:spacing w:before="0" w:after="0"/>
              <w:jc w:val="center"/>
            </w:pPr>
            <w:r>
              <w:rPr>
                <w:b/>
                <w:sz w:val="18"/>
                <w:szCs w:val="18"/>
              </w:rPr>
              <w:t xml:space="preserve">FY2025</w:t>
            </w:r>
          </w:p>
        </w:tc>
      </w:tr>
      <w:tr>
        <w:tc>
          <w:tcPr>
            <w:tcW w:w="4072" w:type="dxa"/>
            <w:vAlign w:val="center"/>
          </w:tcPr>
          <w:p>
            <w:pPr>
              <w:spacing w:before="0" w:after="0"/>
              <w:jc w:val="left"/>
            </w:pPr>
            <w:r>
              <w:rPr>
                <w:sz w:val="18"/>
                <w:szCs w:val="18"/>
              </w:rPr>
              <w:t xml:space="preserve">Current portion of operating lease liabilities</w:t>
            </w:r>
          </w:p>
        </w:tc>
        <w:tc>
          <w:tcPr>
            <w:tcW w:w="2500" w:type="dxa"/>
            <w:vAlign w:val="center"/>
          </w:tcPr>
          <w:p>
            <w:pPr>
              <w:spacing w:before="0" w:after="0"/>
              <w:jc w:val="right"/>
            </w:pPr>
            <w:r>
              <w:rPr>
                <w:sz w:val="18"/>
                <w:szCs w:val="18"/>
              </w:rPr>
              <w:t xml:space="preserve">12,206</w:t>
            </w:r>
          </w:p>
        </w:tc>
        <w:tc>
          <w:tcPr>
            <w:tcW w:w="2500" w:type="dxa"/>
            <w:vAlign w:val="center"/>
          </w:tcPr>
          <w:p>
            <w:pPr>
              <w:spacing w:before="0" w:after="0"/>
              <w:jc w:val="right"/>
            </w:pPr>
            <w:r>
              <w:rPr>
                <w:sz w:val="18"/>
                <w:szCs w:val="18"/>
              </w:rPr>
              <w:t xml:space="preserve">13,208</w:t>
            </w:r>
          </w:p>
        </w:tc>
      </w:tr>
      <w:tr>
        <w:tc>
          <w:tcPr>
            <w:tcW w:w="4072" w:type="dxa"/>
            <w:vAlign w:val="center"/>
          </w:tcPr>
          <w:p>
            <w:pPr>
              <w:spacing w:before="0" w:after="0"/>
              <w:jc w:val="left"/>
            </w:pPr>
            <w:r>
              <w:rPr>
                <w:sz w:val="18"/>
                <w:szCs w:val="18"/>
              </w:rPr>
              <w:t xml:space="preserve">Other accrued liabilities</w:t>
            </w:r>
          </w:p>
        </w:tc>
        <w:tc>
          <w:tcPr>
            <w:tcW w:w="2500" w:type="dxa"/>
            <w:vAlign w:val="center"/>
          </w:tcPr>
          <w:p>
            <w:pPr>
              <w:spacing w:before="0" w:after="0"/>
              <w:jc w:val="right"/>
            </w:pPr>
            <w:r>
              <w:rPr>
                <w:sz w:val="18"/>
                <w:szCs w:val="18"/>
              </w:rPr>
              <w:t xml:space="preserve">11,794</w:t>
            </w:r>
          </w:p>
        </w:tc>
        <w:tc>
          <w:tcPr>
            <w:tcW w:w="2500" w:type="dxa"/>
            <w:vAlign w:val="center"/>
          </w:tcPr>
          <w:p>
            <w:pPr>
              <w:spacing w:before="0" w:after="0"/>
              <w:jc w:val="right"/>
            </w:pPr>
            <w:r>
              <w:rPr>
                <w:sz w:val="18"/>
                <w:szCs w:val="18"/>
              </w:rPr>
              <w:t xml:space="preserve">13,198</w:t>
            </w:r>
          </w:p>
        </w:tc>
      </w:tr>
      <w:tr>
        <w:tc>
          <w:tcPr>
            <w:tcW w:w="4072" w:type="dxa"/>
            <w:vAlign w:val="center"/>
          </w:tcPr>
          <w:p>
            <w:pPr>
              <w:spacing w:before="0" w:after="0"/>
              <w:jc w:val="left"/>
            </w:pPr>
            <w:r>
              <w:rPr>
                <w:sz w:val="18"/>
                <w:szCs w:val="18"/>
              </w:rPr>
              <w:t xml:space="preserve">Goodwill</w:t>
            </w:r>
          </w:p>
        </w:tc>
        <w:tc>
          <w:tcPr>
            <w:tcW w:w="2500" w:type="dxa"/>
            <w:vAlign w:val="center"/>
          </w:tcPr>
          <w:p>
            <w:pPr>
              <w:spacing w:before="0" w:after="0"/>
              <w:jc w:val="right"/>
            </w:pPr>
            <w:r>
              <w:rPr>
                <w:sz w:val="18"/>
                <w:szCs w:val="18"/>
              </w:rPr>
              <w:t xml:space="preserve">25,524</w:t>
            </w:r>
          </w:p>
        </w:tc>
        <w:tc>
          <w:tcPr>
            <w:tcW w:w="2500" w:type="dxa"/>
            <w:vAlign w:val="center"/>
          </w:tcPr>
          <w:p>
            <w:pPr>
              <w:spacing w:before="0" w:after="0"/>
              <w:jc w:val="right"/>
            </w:pPr>
            <w:r>
              <w:rPr>
                <w:sz w:val="18"/>
                <w:szCs w:val="18"/>
              </w:rPr>
              <w:t xml:space="preserve">26,618</w:t>
            </w:r>
          </w:p>
        </w:tc>
      </w:tr>
      <w:tr>
        <w:tc>
          <w:tcPr>
            <w:tcW w:w="4072" w:type="dxa"/>
            <w:vAlign w:val="center"/>
          </w:tcPr>
          <w:p>
            <w:pPr>
              <w:spacing w:before="0" w:after="0"/>
              <w:jc w:val="left"/>
            </w:pPr>
            <w:r>
              <w:rPr>
                <w:sz w:val="18"/>
                <w:szCs w:val="18"/>
              </w:rPr>
              <w:t xml:space="preserve">Accounts payable</w:t>
            </w:r>
          </w:p>
        </w:tc>
        <w:tc>
          <w:tcPr>
            <w:tcW w:w="2500" w:type="dxa"/>
            <w:vAlign w:val="center"/>
          </w:tcPr>
          <w:p>
            <w:pPr>
              <w:spacing w:before="0" w:after="0"/>
              <w:jc w:val="right"/>
            </w:pPr>
            <w:r>
              <w:rPr>
                <w:sz w:val="18"/>
                <w:szCs w:val="18"/>
              </w:rPr>
              <w:t xml:space="preserve">28,895</w:t>
            </w:r>
          </w:p>
        </w:tc>
        <w:tc>
          <w:tcPr>
            <w:tcW w:w="2500" w:type="dxa"/>
            <w:vAlign w:val="center"/>
          </w:tcPr>
          <w:p>
            <w:pPr>
              <w:spacing w:before="0" w:after="0"/>
              <w:jc w:val="right"/>
            </w:pPr>
            <w:r>
              <w:rPr>
                <w:sz w:val="18"/>
                <w:szCs w:val="18"/>
              </w:rPr>
              <w:t xml:space="preserve">30,395</w:t>
            </w:r>
          </w:p>
        </w:tc>
      </w:tr>
      <w:tr>
        <w:tc>
          <w:tcPr>
            <w:tcW w:w="4072" w:type="dxa"/>
            <w:vAlign w:val="center"/>
          </w:tcPr>
          <w:p>
            <w:pPr>
              <w:spacing w:before="0" w:after="0"/>
              <w:jc w:val="left"/>
            </w:pPr>
            <w:r>
              <w:rPr>
                <w:sz w:val="18"/>
                <w:szCs w:val="18"/>
              </w:rPr>
              <w:t xml:space="preserve">Operating lease right-of-use assets</w:t>
            </w:r>
          </w:p>
        </w:tc>
        <w:tc>
          <w:tcPr>
            <w:tcW w:w="2500" w:type="dxa"/>
            <w:vAlign w:val="center"/>
          </w:tcPr>
          <w:p>
            <w:pPr>
              <w:spacing w:before="0" w:after="0"/>
              <w:jc w:val="right"/>
            </w:pPr>
            <w:r>
              <w:rPr>
                <w:sz w:val="18"/>
                <w:szCs w:val="18"/>
              </w:rPr>
              <w:t xml:space="preserve">10,870</w:t>
            </w:r>
          </w:p>
        </w:tc>
        <w:tc>
          <w:tcPr>
            <w:tcW w:w="2500" w:type="dxa"/>
            <w:vAlign w:val="center"/>
          </w:tcPr>
          <w:p>
            <w:pPr>
              <w:spacing w:before="0" w:after="0"/>
              <w:jc w:val="right"/>
            </w:pPr>
            <w:r>
              <w:rPr>
                <w:sz w:val="18"/>
                <w:szCs w:val="18"/>
              </w:rPr>
              <w:t xml:space="preserve">11,993</w:t>
            </w:r>
          </w:p>
        </w:tc>
      </w:tr>
      <w:tr>
        <w:tc>
          <w:tcPr>
            <w:tcW w:w="4072" w:type="dxa"/>
            <w:vAlign w:val="center"/>
          </w:tcPr>
          <w:p>
            <w:pPr>
              <w:spacing w:before="0" w:after="0"/>
              <w:jc w:val="left"/>
            </w:pPr>
            <w:r>
              <w:rPr>
                <w:sz w:val="18"/>
                <w:szCs w:val="18"/>
              </w:rPr>
              <w:t xml:space="preserve">Income taxes payable</w:t>
            </w:r>
          </w:p>
        </w:tc>
        <w:tc>
          <w:tcPr>
            <w:tcW w:w="2500" w:type="dxa"/>
            <w:vAlign w:val="center"/>
          </w:tcPr>
          <w:p>
            <w:pPr>
              <w:spacing w:before="0" w:after="0"/>
              <w:jc w:val="right"/>
            </w:pPr>
            <w:r>
              <w:rPr>
                <w:sz w:val="18"/>
                <w:szCs w:val="18"/>
              </w:rPr>
              <w:t xml:space="preserve">27,325</w:t>
            </w:r>
          </w:p>
        </w:tc>
        <w:tc>
          <w:tcPr>
            <w:tcW w:w="2500" w:type="dxa"/>
            <w:vAlign w:val="center"/>
          </w:tcPr>
          <w:p>
            <w:pPr>
              <w:spacing w:before="0" w:after="0"/>
              <w:jc w:val="right"/>
            </w:pPr>
            <w:r>
              <w:rPr>
                <w:sz w:val="18"/>
                <w:szCs w:val="18"/>
              </w:rPr>
              <w:t xml:space="preserve">30,404</w:t>
            </w:r>
          </w:p>
        </w:tc>
      </w:tr>
    </w:tbl>
    <w:p>
      <w:pPr/>
    </w:p>
    <w:p>
      <w:pPr>
        <w:keepNext/>
      </w:pPr>
      <w:r>
        <w:rPr>
          <w:b/>
        </w:rPr>
        <w:t xml:space="preserve">16. Subsequent events</w:t>
      </w:r>
    </w:p>
    <w:p>
      <w:pPr>
        <w:ind w:left="0" w:firstLine="360"/>
      </w:pPr>
      <w:r>
        <w:t xml:space="preserve">Total assets at the end of the fiscal year were $189,198 thousand, an increase of $5,497 thousand from the end of the prior fiscal year. The Group leases all of its store premises under operating leases with initial terms of ten years, most of which include options to renew. At the end of the fiscal year, the Company operated 156 company-operated stores in eight regions: Northfield, Eastbay, Southport, Westridge, Lakeside, Hillcrest, Riverside and Harborview. The Group buys 16.5% of its green coffee by volume from farms certified under recognized sustainability standards.</w:t>
      </w:r>
    </w:p>
    <w:p>
      <w:pPr>
        <w:ind w:left="0" w:firstLine="360"/>
      </w:pPr>
      <w:r>
        <w:t xml:space="preserve">Merchandise sales, consisting of mugs, brewing equipment and seasonal gift sets, are highest in the fourth quarter of each year. Net cash used in investing activities was $24,141 thousand, primarily for purchases of property and equipment. Revenue from stores in the Westridge region increased 16.4% compared with the prior year, while its share of total revenue was little changed.</w:t>
      </w:r>
    </w:p>
    <w:p>
      <w:r>
        <w:br w:type="page"/>
      </w:r>
    </w:p>
    <w:p>
      <w:pPr>
        <w:pStyle w:val="Heading3"/>
        <w:keepNext/>
      </w:pPr>
      <w:r>
        <w:t xml:space="preserve">1. Financial Statements (Three months ended March 31, 2026)</w:t>
      </w:r>
    </w:p>
    <w:p>
      <w:pPr>
        <w:ind w:left="0" w:firstLine="360"/>
      </w:pPr>
      <w:r>
        <w:t xml:space="preserve">Labor costs are affected by minimum wage laws in the regions where the stores are located, and further increases could reduce store margins. The ability of the Company to open new stores depends on finding suitable sites on acceptable lease terms and on hiring and training store managers. Capital expenditures totaled $21,294 thousand and consisted mainly of the build-out of new stores, the remodeling of existing stores and a second roasting line at the Northfield roastery.</w:t>
      </w:r>
    </w:p>
    <w:p>
      <w:pPr>
        <w:ind w:left="0" w:firstLine="360"/>
      </w:pPr>
      <w:r>
        <w:t xml:space="preserve">Food safety incidents, whether or not they occur at our stores, could harm the reputation of the Nimbus Coffee brand and reduce customer traffic. Food safety incidents, whether or not they occur at our stores, could harm the reputation of the Nimbus Coffee brand and reduce customer traffic. Each store is managed by a store manager who reports to a district manager, and district managers report to the director for their region. The loyalty program had 805 thousand active members at the end of the fiscal year, and purchases by members accounted for 9.8% of store revenue. Net cash used in financing activities was $21,734 thousand, reflecting repayments of the term loan and dividends paid. Revenue from loyalty rewards is deferred until the reward is redeemed or expires.</w:t>
      </w:r>
    </w:p>
    <w:p>
      <w:r>
        <w:br w:type="page"/>
      </w:r>
    </w:p>
    <w:p>
      <w:pPr>
        <w:pStyle w:val="Heading3"/>
        <w:keepNext/>
      </w:pPr>
      <w:r>
        <w:t xml:space="preserve">Balance Sheets (Assets)</w:t>
      </w:r>
    </w:p>
    <w:p>
      <w:pPr>
        <w:jc w:val="right"/>
      </w:pPr>
      <w:r>
        <w:rPr>
          <w:sz w:val="18"/>
          <w:szCs w:val="18"/>
        </w:rPr>
        <w:t xml:space="preserve">(In thousands of U.S. dollars)</w:t>
      </w:r>
    </w:p>
    <w:tbl>
      <w:tblPr>
        <w:tblW w:w="907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72" w:type="dxa"/>
          <w:right w:w="72" w:type="dxa"/>
        </w:tblCellMar>
      </w:tblPr>
      <w:tblGrid>
        <w:gridCol w:w="4872"/>
        <w:gridCol w:w="800"/>
        <w:gridCol w:w="1700"/>
        <w:gridCol w:w="1700"/>
      </w:tblGrid>
      <w:tr>
        <w:trPr>
          <w:tblHeader/>
        </w:trPr>
        <w:tc>
          <w:tcPr>
            <w:tcW w:w="4872" w:type="dxa"/>
            <w:shd w:val="clear" w:color="auto" w:fill="DDEBF7"/>
            <w:vAlign w:val="center"/>
          </w:tcPr>
          <w:p>
            <w:pPr>
              <w:spacing w:before="0" w:after="0"/>
              <w:jc w:val="center"/>
            </w:pPr>
            <w:r>
              <w:rPr>
                <w:b/>
                <w:sz w:val="18"/>
                <w:szCs w:val="18"/>
              </w:rPr>
              <w:t xml:space="preserve"/>
            </w:r>
          </w:p>
        </w:tc>
        <w:tc>
          <w:tcPr>
            <w:tcW w:w="800" w:type="dxa"/>
            <w:shd w:val="clear" w:color="auto" w:fill="DDEBF7"/>
            <w:vAlign w:val="center"/>
          </w:tcPr>
          <w:p>
            <w:pPr>
              <w:spacing w:before="0" w:after="0"/>
              <w:jc w:val="center"/>
            </w:pPr>
            <w:r>
              <w:rPr>
                <w:b/>
                <w:sz w:val="18"/>
                <w:szCs w:val="18"/>
              </w:rPr>
              <w:t xml:space="preserve">Note</w:t>
            </w:r>
          </w:p>
        </w:tc>
        <w:tc>
          <w:tcPr>
            <w:tcW w:w="1700" w:type="dxa"/>
            <w:shd w:val="clear" w:color="auto" w:fill="DDEBF7"/>
            <w:vAlign w:val="center"/>
          </w:tcPr>
          <w:p>
            <w:pPr>
              <w:spacing w:before="0" w:after="0"/>
              <w:jc w:val="center"/>
            </w:pPr>
            <w:r>
              <w:rPr>
                <w:b/>
                <w:sz w:val="18"/>
                <w:szCs w:val="18"/>
              </w:rPr>
              <w:t xml:space="preserve">Q1 2025</w:t>
            </w:r>
          </w:p>
        </w:tc>
        <w:tc>
          <w:tcPr>
            <w:tcW w:w="1700" w:type="dxa"/>
            <w:shd w:val="clear" w:color="auto" w:fill="DDEBF7"/>
            <w:vAlign w:val="center"/>
          </w:tcPr>
          <w:p>
            <w:pPr>
              <w:spacing w:before="0" w:after="0"/>
              <w:jc w:val="center"/>
            </w:pPr>
            <w:r>
              <w:rPr>
                <w:b/>
                <w:sz w:val="18"/>
                <w:szCs w:val="18"/>
              </w:rPr>
              <w:t xml:space="preserve">Q1 2026</w:t>
            </w:r>
          </w:p>
        </w:tc>
      </w:tr>
      <w:tr>
        <w:tc>
          <w:tcPr>
            <w:tcW w:w="4872" w:type="dxa"/>
            <w:vAlign w:val="center"/>
          </w:tcPr>
          <w:p>
            <w:pPr>
              <w:spacing w:before="0" w:after="0"/>
              <w:jc w:val="left"/>
            </w:pPr>
            <w:r>
              <w:rPr>
                <w:b/>
                <w:sz w:val="18"/>
                <w:szCs w:val="18"/>
              </w:rPr>
              <w:t xml:space="preserve">Current assets</w:t>
            </w:r>
          </w:p>
        </w:tc>
        <w:tc>
          <w:tcPr>
            <w:tcW w:w="800" w:type="dxa"/>
            <w:vAlign w:val="center"/>
          </w:tcPr>
          <w:p>
            <w:pPr>
              <w:spacing w:before="0" w:after="0"/>
              <w:jc w:val="left"/>
            </w:pPr>
            <w:r>
              <w:rPr>
                <w:b/>
                <w:sz w:val="18"/>
                <w:szCs w:val="18"/>
              </w:rPr>
              <w:t xml:space="preserve"/>
            </w:r>
          </w:p>
        </w:tc>
        <w:tc>
          <w:tcPr>
            <w:tcW w:w="1700" w:type="dxa"/>
            <w:vAlign w:val="center"/>
          </w:tcPr>
          <w:p>
            <w:pPr>
              <w:spacing w:before="0" w:after="0"/>
              <w:jc w:val="right"/>
            </w:pPr>
            <w:r>
              <w:rPr>
                <w:b/>
                <w:sz w:val="18"/>
                <w:szCs w:val="18"/>
              </w:rPr>
              <w:t xml:space="preserve"/>
            </w:r>
          </w:p>
        </w:tc>
        <w:tc>
          <w:tcPr>
            <w:tcW w:w="1700" w:type="dxa"/>
            <w:vAlign w:val="center"/>
          </w:tcPr>
          <w:p>
            <w:pPr>
              <w:spacing w:before="0" w:after="0"/>
              <w:jc w:val="right"/>
            </w:pPr>
            <w:r>
              <w:rPr>
                <w:b/>
                <w:sz w:val="18"/>
                <w:szCs w:val="18"/>
              </w:rPr>
              <w:t xml:space="preserve"/>
            </w:r>
          </w:p>
        </w:tc>
      </w:tr>
      <w:tr>
        <w:tc>
          <w:tcPr>
            <w:tcW w:w="4872" w:type="dxa"/>
            <w:vAlign w:val="center"/>
          </w:tcPr>
          <w:p>
            <w:pPr>
              <w:spacing w:before="0" w:after="0"/>
              <w:jc w:val="left"/>
            </w:pPr>
            <w:r>
              <w:rPr>
                <w:sz w:val="18"/>
                <w:szCs w:val="18"/>
              </w:rPr>
              <w:t xml:space="preserve">Cash and cash equivalents</w:t>
            </w:r>
          </w:p>
        </w:tc>
        <w:tc>
          <w:tcPr>
            <w:tcW w:w="800" w:type="dxa"/>
            <w:vAlign w:val="center"/>
          </w:tcPr>
          <w:p>
            <w:pPr>
              <w:spacing w:before="0" w:after="0"/>
              <w:jc w:val="left"/>
            </w:pPr>
            <w:r>
              <w:rPr>
                <w:sz w:val="18"/>
                <w:szCs w:val="18"/>
              </w:rPr>
              <w:t xml:space="preserve"/>
            </w:r>
          </w:p>
        </w:tc>
        <w:tc>
          <w:tcPr>
            <w:tcW w:w="1700" w:type="dxa"/>
            <w:vAlign w:val="center"/>
          </w:tcPr>
          <w:p>
            <w:pPr>
              <w:spacing w:before="0" w:after="0"/>
              <w:jc w:val="right"/>
            </w:pPr>
            <w:r>
              <w:rPr>
                <w:sz w:val="18"/>
                <w:szCs w:val="18"/>
              </w:rPr>
              <w:t xml:space="preserve">52,620</w:t>
            </w:r>
          </w:p>
        </w:tc>
        <w:tc>
          <w:tcPr>
            <w:tcW w:w="1700" w:type="dxa"/>
            <w:vAlign w:val="center"/>
          </w:tcPr>
          <w:p>
            <w:pPr>
              <w:spacing w:before="0" w:after="0"/>
              <w:jc w:val="right"/>
            </w:pPr>
            <w:r>
              <w:rPr>
                <w:sz w:val="18"/>
                <w:szCs w:val="18"/>
              </w:rPr>
              <w:t xml:space="preserve">55,241</w:t>
            </w:r>
          </w:p>
        </w:tc>
      </w:tr>
      <w:tr>
        <w:tc>
          <w:tcPr>
            <w:tcW w:w="4872" w:type="dxa"/>
            <w:vAlign w:val="center"/>
          </w:tcPr>
          <w:p>
            <w:pPr>
              <w:spacing w:before="0" w:after="0"/>
              <w:jc w:val="left"/>
            </w:pPr>
            <w:r>
              <w:rPr>
                <w:sz w:val="18"/>
                <w:szCs w:val="18"/>
              </w:rPr>
              <w:t xml:space="preserve">Short-term investments</w:t>
            </w:r>
          </w:p>
        </w:tc>
        <w:tc>
          <w:tcPr>
            <w:tcW w:w="800" w:type="dxa"/>
            <w:vAlign w:val="center"/>
          </w:tcPr>
          <w:p>
            <w:pPr>
              <w:spacing w:before="0" w:after="0"/>
              <w:jc w:val="left"/>
            </w:pPr>
            <w:r>
              <w:rPr>
                <w:sz w:val="18"/>
                <w:szCs w:val="18"/>
              </w:rPr>
              <w:t xml:space="preserve">1</w:t>
            </w:r>
          </w:p>
        </w:tc>
        <w:tc>
          <w:tcPr>
            <w:tcW w:w="1700" w:type="dxa"/>
            <w:vAlign w:val="center"/>
          </w:tcPr>
          <w:p>
            <w:pPr>
              <w:spacing w:before="0" w:after="0"/>
              <w:jc w:val="right"/>
            </w:pPr>
            <w:r>
              <w:rPr>
                <w:sz w:val="18"/>
                <w:szCs w:val="18"/>
              </w:rPr>
              <w:t xml:space="preserve">11,565</w:t>
            </w:r>
          </w:p>
        </w:tc>
        <w:tc>
          <w:tcPr>
            <w:tcW w:w="1700" w:type="dxa"/>
            <w:vAlign w:val="center"/>
          </w:tcPr>
          <w:p>
            <w:pPr>
              <w:spacing w:before="0" w:after="0"/>
              <w:jc w:val="right"/>
            </w:pPr>
            <w:r>
              <w:rPr>
                <w:sz w:val="18"/>
                <w:szCs w:val="18"/>
              </w:rPr>
              <w:t xml:space="preserve">11,906</w:t>
            </w:r>
          </w:p>
        </w:tc>
      </w:tr>
      <w:tr>
        <w:tc>
          <w:tcPr>
            <w:tcW w:w="4872" w:type="dxa"/>
            <w:vAlign w:val="center"/>
          </w:tcPr>
          <w:p>
            <w:pPr>
              <w:spacing w:before="0" w:after="0"/>
              <w:jc w:val="left"/>
            </w:pPr>
            <w:r>
              <w:rPr>
                <w:sz w:val="18"/>
                <w:szCs w:val="18"/>
              </w:rPr>
              <w:t xml:space="preserve">Accounts receivable, net</w:t>
            </w:r>
          </w:p>
        </w:tc>
        <w:tc>
          <w:tcPr>
            <w:tcW w:w="800" w:type="dxa"/>
            <w:vAlign w:val="center"/>
          </w:tcPr>
          <w:p>
            <w:pPr>
              <w:spacing w:before="0" w:after="0"/>
              <w:jc w:val="left"/>
            </w:pPr>
            <w:r>
              <w:rPr>
                <w:sz w:val="18"/>
                <w:szCs w:val="18"/>
              </w:rPr>
              <w:t xml:space="preserve">7</w:t>
            </w:r>
          </w:p>
        </w:tc>
        <w:tc>
          <w:tcPr>
            <w:tcW w:w="1700" w:type="dxa"/>
            <w:vAlign w:val="center"/>
          </w:tcPr>
          <w:p>
            <w:pPr>
              <w:spacing w:before="0" w:after="0"/>
              <w:jc w:val="right"/>
            </w:pPr>
            <w:r>
              <w:rPr>
                <w:sz w:val="18"/>
                <w:szCs w:val="18"/>
              </w:rPr>
              <w:t xml:space="preserve">9,301</w:t>
            </w:r>
          </w:p>
        </w:tc>
        <w:tc>
          <w:tcPr>
            <w:tcW w:w="1700" w:type="dxa"/>
            <w:vAlign w:val="center"/>
          </w:tcPr>
          <w:p>
            <w:pPr>
              <w:spacing w:before="0" w:after="0"/>
              <w:jc w:val="right"/>
            </w:pPr>
            <w:r>
              <w:rPr>
                <w:sz w:val="18"/>
                <w:szCs w:val="18"/>
              </w:rPr>
              <w:t xml:space="preserve">9,944</w:t>
            </w:r>
          </w:p>
        </w:tc>
      </w:tr>
      <w:tr>
        <w:tc>
          <w:tcPr>
            <w:tcW w:w="4872" w:type="dxa"/>
            <w:vAlign w:val="center"/>
          </w:tcPr>
          <w:p>
            <w:pPr>
              <w:spacing w:before="0" w:after="0"/>
              <w:jc w:val="left"/>
            </w:pPr>
            <w:r>
              <w:rPr>
                <w:sz w:val="18"/>
                <w:szCs w:val="18"/>
              </w:rPr>
              <w:t xml:space="preserve">Inventories</w:t>
            </w:r>
          </w:p>
        </w:tc>
        <w:tc>
          <w:tcPr>
            <w:tcW w:w="800" w:type="dxa"/>
            <w:vAlign w:val="center"/>
          </w:tcPr>
          <w:p>
            <w:pPr>
              <w:spacing w:before="0" w:after="0"/>
              <w:jc w:val="left"/>
            </w:pPr>
            <w:r>
              <w:rPr>
                <w:sz w:val="18"/>
                <w:szCs w:val="18"/>
              </w:rPr>
              <w:t xml:space="preserve"/>
            </w:r>
          </w:p>
        </w:tc>
        <w:tc>
          <w:tcPr>
            <w:tcW w:w="1700" w:type="dxa"/>
            <w:vAlign w:val="center"/>
          </w:tcPr>
          <w:p>
            <w:pPr>
              <w:spacing w:before="0" w:after="0"/>
              <w:jc w:val="right"/>
            </w:pPr>
            <w:r>
              <w:rPr>
                <w:sz w:val="18"/>
                <w:szCs w:val="18"/>
              </w:rPr>
              <w:t xml:space="preserve">24,815</w:t>
            </w:r>
          </w:p>
        </w:tc>
        <w:tc>
          <w:tcPr>
            <w:tcW w:w="1700" w:type="dxa"/>
            <w:vAlign w:val="center"/>
          </w:tcPr>
          <w:p>
            <w:pPr>
              <w:spacing w:before="0" w:after="0"/>
              <w:jc w:val="right"/>
            </w:pPr>
            <w:r>
              <w:rPr>
                <w:sz w:val="18"/>
                <w:szCs w:val="18"/>
              </w:rPr>
              <w:t xml:space="preserve">25,179</w:t>
            </w:r>
          </w:p>
        </w:tc>
      </w:tr>
      <w:tr>
        <w:tc>
          <w:tcPr>
            <w:tcW w:w="4872" w:type="dxa"/>
            <w:vAlign w:val="center"/>
          </w:tcPr>
          <w:p>
            <w:pPr>
              <w:spacing w:before="0" w:after="0"/>
              <w:jc w:val="left"/>
            </w:pPr>
            <w:r>
              <w:rPr>
                <w:sz w:val="18"/>
                <w:szCs w:val="18"/>
              </w:rPr>
              <w:t xml:space="preserve">Prepaid expenses and other current assets</w:t>
            </w:r>
          </w:p>
        </w:tc>
        <w:tc>
          <w:tcPr>
            <w:tcW w:w="800" w:type="dxa"/>
            <w:vAlign w:val="center"/>
          </w:tcPr>
          <w:p>
            <w:pPr>
              <w:spacing w:before="0" w:after="0"/>
              <w:jc w:val="left"/>
            </w:pPr>
            <w:r>
              <w:rPr>
                <w:sz w:val="18"/>
                <w:szCs w:val="18"/>
              </w:rPr>
              <w:t xml:space="preserve"/>
            </w:r>
          </w:p>
        </w:tc>
        <w:tc>
          <w:tcPr>
            <w:tcW w:w="1700" w:type="dxa"/>
            <w:vAlign w:val="center"/>
          </w:tcPr>
          <w:p>
            <w:pPr>
              <w:spacing w:before="0" w:after="0"/>
              <w:jc w:val="right"/>
            </w:pPr>
            <w:r>
              <w:rPr>
                <w:sz w:val="18"/>
                <w:szCs w:val="18"/>
              </w:rPr>
              <w:t xml:space="preserve">8,369</w:t>
            </w:r>
          </w:p>
        </w:tc>
        <w:tc>
          <w:tcPr>
            <w:tcW w:w="1700" w:type="dxa"/>
            <w:vAlign w:val="center"/>
          </w:tcPr>
          <w:p>
            <w:pPr>
              <w:spacing w:before="0" w:after="0"/>
              <w:jc w:val="right"/>
            </w:pPr>
            <w:r>
              <w:rPr>
                <w:sz w:val="18"/>
                <w:szCs w:val="18"/>
              </w:rPr>
              <w:t xml:space="preserve">8,371</w:t>
            </w:r>
          </w:p>
        </w:tc>
      </w:tr>
      <w:tr>
        <w:tc>
          <w:tcPr>
            <w:tcW w:w="4872" w:type="dxa"/>
            <w:vAlign w:val="center"/>
          </w:tcPr>
          <w:p>
            <w:pPr>
              <w:spacing w:before="0" w:after="0"/>
              <w:jc w:val="left"/>
            </w:pPr>
            <w:r>
              <w:rPr>
                <w:b/>
                <w:sz w:val="18"/>
                <w:szCs w:val="18"/>
              </w:rPr>
              <w:t xml:space="preserve">Total current assets</w:t>
            </w:r>
          </w:p>
        </w:tc>
        <w:tc>
          <w:tcPr>
            <w:tcW w:w="800" w:type="dxa"/>
            <w:vAlign w:val="center"/>
          </w:tcPr>
          <w:p>
            <w:pPr>
              <w:spacing w:before="0" w:after="0"/>
              <w:jc w:val="left"/>
            </w:pPr>
            <w:r>
              <w:rPr>
                <w:b/>
                <w:sz w:val="18"/>
                <w:szCs w:val="18"/>
              </w:rPr>
              <w:t xml:space="preserve"/>
            </w:r>
          </w:p>
        </w:tc>
        <w:tc>
          <w:tcPr>
            <w:tcW w:w="1700" w:type="dxa"/>
            <w:vAlign w:val="center"/>
          </w:tcPr>
          <w:p>
            <w:pPr>
              <w:spacing w:before="0" w:after="0"/>
              <w:jc w:val="right"/>
            </w:pPr>
            <w:r>
              <w:rPr>
                <w:b/>
                <w:sz w:val="18"/>
                <w:szCs w:val="18"/>
              </w:rPr>
              <w:t xml:space="preserve">106,670</w:t>
            </w:r>
          </w:p>
        </w:tc>
        <w:tc>
          <w:tcPr>
            <w:tcW w:w="1700" w:type="dxa"/>
            <w:vAlign w:val="center"/>
          </w:tcPr>
          <w:p>
            <w:pPr>
              <w:spacing w:before="0" w:after="0"/>
              <w:jc w:val="right"/>
            </w:pPr>
            <w:r>
              <w:rPr>
                <w:b/>
                <w:sz w:val="18"/>
                <w:szCs w:val="18"/>
              </w:rPr>
              <w:t xml:space="preserve">110,641</w:t>
            </w:r>
          </w:p>
        </w:tc>
      </w:tr>
      <w:tr>
        <w:tc>
          <w:tcPr>
            <w:tcW w:w="4872" w:type="dxa"/>
            <w:vAlign w:val="center"/>
          </w:tcPr>
          <w:p>
            <w:pPr>
              <w:spacing w:before="0" w:after="0"/>
              <w:jc w:val="left"/>
            </w:pPr>
            <w:r>
              <w:rPr>
                <w:b/>
                <w:sz w:val="18"/>
                <w:szCs w:val="18"/>
              </w:rPr>
              <w:t xml:space="preserve">Non-current assets</w:t>
            </w:r>
          </w:p>
        </w:tc>
        <w:tc>
          <w:tcPr>
            <w:tcW w:w="800" w:type="dxa"/>
            <w:vAlign w:val="center"/>
          </w:tcPr>
          <w:p>
            <w:pPr>
              <w:spacing w:before="0" w:after="0"/>
              <w:jc w:val="left"/>
            </w:pPr>
            <w:r>
              <w:rPr>
                <w:b/>
                <w:sz w:val="18"/>
                <w:szCs w:val="18"/>
              </w:rPr>
              <w:t xml:space="preserve"/>
            </w:r>
          </w:p>
        </w:tc>
        <w:tc>
          <w:tcPr>
            <w:tcW w:w="1700" w:type="dxa"/>
            <w:vAlign w:val="center"/>
          </w:tcPr>
          <w:p>
            <w:pPr>
              <w:spacing w:before="0" w:after="0"/>
              <w:jc w:val="right"/>
            </w:pPr>
            <w:r>
              <w:rPr>
                <w:b/>
                <w:sz w:val="18"/>
                <w:szCs w:val="18"/>
              </w:rPr>
              <w:t xml:space="preserve"/>
            </w:r>
          </w:p>
        </w:tc>
        <w:tc>
          <w:tcPr>
            <w:tcW w:w="1700" w:type="dxa"/>
            <w:vAlign w:val="center"/>
          </w:tcPr>
          <w:p>
            <w:pPr>
              <w:spacing w:before="0" w:after="0"/>
              <w:jc w:val="right"/>
            </w:pPr>
            <w:r>
              <w:rPr>
                <w:b/>
                <w:sz w:val="18"/>
                <w:szCs w:val="18"/>
              </w:rPr>
              <w:t xml:space="preserve"/>
            </w:r>
          </w:p>
        </w:tc>
      </w:tr>
      <w:tr>
        <w:tc>
          <w:tcPr>
            <w:tcW w:w="4872" w:type="dxa"/>
            <w:vAlign w:val="center"/>
          </w:tcPr>
          <w:p>
            <w:pPr>
              <w:spacing w:before="0" w:after="0"/>
              <w:jc w:val="left"/>
            </w:pPr>
            <w:r>
              <w:rPr>
                <w:sz w:val="18"/>
                <w:szCs w:val="18"/>
              </w:rPr>
              <w:t xml:space="preserve">Property and equipment, net</w:t>
            </w:r>
          </w:p>
        </w:tc>
        <w:tc>
          <w:tcPr>
            <w:tcW w:w="800" w:type="dxa"/>
            <w:vAlign w:val="center"/>
          </w:tcPr>
          <w:p>
            <w:pPr>
              <w:spacing w:before="0" w:after="0"/>
              <w:jc w:val="left"/>
            </w:pPr>
            <w:r>
              <w:rPr>
                <w:sz w:val="18"/>
                <w:szCs w:val="18"/>
              </w:rPr>
              <w:t xml:space="preserve"/>
            </w:r>
          </w:p>
        </w:tc>
        <w:tc>
          <w:tcPr>
            <w:tcW w:w="1700" w:type="dxa"/>
            <w:vAlign w:val="center"/>
          </w:tcPr>
          <w:p>
            <w:pPr>
              <w:spacing w:before="0" w:after="0"/>
              <w:jc w:val="right"/>
            </w:pPr>
            <w:r>
              <w:rPr>
                <w:sz w:val="18"/>
                <w:szCs w:val="18"/>
              </w:rPr>
              <w:t xml:space="preserve">118,056</w:t>
            </w:r>
          </w:p>
        </w:tc>
        <w:tc>
          <w:tcPr>
            <w:tcW w:w="1700" w:type="dxa"/>
            <w:vAlign w:val="center"/>
          </w:tcPr>
          <w:p>
            <w:pPr>
              <w:spacing w:before="0" w:after="0"/>
              <w:jc w:val="right"/>
            </w:pPr>
            <w:r>
              <w:rPr>
                <w:sz w:val="18"/>
                <w:szCs w:val="18"/>
              </w:rPr>
              <w:t xml:space="preserve">141,474</w:t>
            </w:r>
          </w:p>
        </w:tc>
      </w:tr>
      <w:tr>
        <w:tc>
          <w:tcPr>
            <w:tcW w:w="4872" w:type="dxa"/>
            <w:vAlign w:val="center"/>
          </w:tcPr>
          <w:p>
            <w:pPr>
              <w:spacing w:before="0" w:after="0"/>
              <w:jc w:val="left"/>
            </w:pPr>
            <w:r>
              <w:rPr>
                <w:sz w:val="18"/>
                <w:szCs w:val="18"/>
              </w:rPr>
              <w:t xml:space="preserve">Operating lease right-of-use assets</w:t>
            </w:r>
          </w:p>
        </w:tc>
        <w:tc>
          <w:tcPr>
            <w:tcW w:w="800" w:type="dxa"/>
            <w:vAlign w:val="center"/>
          </w:tcPr>
          <w:p>
            <w:pPr>
              <w:spacing w:before="0" w:after="0"/>
              <w:jc w:val="left"/>
            </w:pPr>
            <w:r>
              <w:rPr>
                <w:sz w:val="18"/>
                <w:szCs w:val="18"/>
              </w:rPr>
              <w:t xml:space="preserve">14</w:t>
            </w:r>
          </w:p>
        </w:tc>
        <w:tc>
          <w:tcPr>
            <w:tcW w:w="1700" w:type="dxa"/>
            <w:vAlign w:val="center"/>
          </w:tcPr>
          <w:p>
            <w:pPr>
              <w:spacing w:before="0" w:after="0"/>
              <w:jc w:val="right"/>
            </w:pPr>
            <w:r>
              <w:rPr>
                <w:sz w:val="18"/>
                <w:szCs w:val="18"/>
              </w:rPr>
              <w:t xml:space="preserve">113,441</w:t>
            </w:r>
          </w:p>
        </w:tc>
        <w:tc>
          <w:tcPr>
            <w:tcW w:w="1700" w:type="dxa"/>
            <w:vAlign w:val="center"/>
          </w:tcPr>
          <w:p>
            <w:pPr>
              <w:spacing w:before="0" w:after="0"/>
              <w:jc w:val="right"/>
            </w:pPr>
            <w:r>
              <w:rPr>
                <w:sz w:val="18"/>
                <w:szCs w:val="18"/>
              </w:rPr>
              <w:t xml:space="preserve">139,019</w:t>
            </w:r>
          </w:p>
        </w:tc>
      </w:tr>
      <w:tr>
        <w:tc>
          <w:tcPr>
            <w:tcW w:w="4872" w:type="dxa"/>
            <w:vAlign w:val="center"/>
          </w:tcPr>
          <w:p>
            <w:pPr>
              <w:spacing w:before="0" w:after="0"/>
              <w:jc w:val="left"/>
            </w:pPr>
            <w:r>
              <w:rPr>
                <w:sz w:val="18"/>
                <w:szCs w:val="18"/>
              </w:rPr>
              <w:t xml:space="preserve">Deferred income taxes</w:t>
            </w:r>
          </w:p>
        </w:tc>
        <w:tc>
          <w:tcPr>
            <w:tcW w:w="800" w:type="dxa"/>
            <w:vAlign w:val="center"/>
          </w:tcPr>
          <w:p>
            <w:pPr>
              <w:spacing w:before="0" w:after="0"/>
              <w:jc w:val="left"/>
            </w:pPr>
            <w:r>
              <w:rPr>
                <w:sz w:val="18"/>
                <w:szCs w:val="18"/>
              </w:rPr>
              <w:t xml:space="preserve"/>
            </w:r>
          </w:p>
        </w:tc>
        <w:tc>
          <w:tcPr>
            <w:tcW w:w="1700" w:type="dxa"/>
            <w:vAlign w:val="center"/>
          </w:tcPr>
          <w:p>
            <w:pPr>
              <w:spacing w:before="0" w:after="0"/>
              <w:jc w:val="right"/>
            </w:pPr>
            <w:r>
              <w:rPr>
                <w:sz w:val="18"/>
                <w:szCs w:val="18"/>
              </w:rPr>
              <w:t xml:space="preserve">5,702</w:t>
            </w:r>
          </w:p>
        </w:tc>
        <w:tc>
          <w:tcPr>
            <w:tcW w:w="1700" w:type="dxa"/>
            <w:vAlign w:val="center"/>
          </w:tcPr>
          <w:p>
            <w:pPr>
              <w:spacing w:before="0" w:after="0"/>
              <w:jc w:val="right"/>
            </w:pPr>
            <w:r>
              <w:rPr>
                <w:sz w:val="18"/>
                <w:szCs w:val="18"/>
              </w:rPr>
              <w:t xml:space="preserve">6,617</w:t>
            </w:r>
          </w:p>
        </w:tc>
      </w:tr>
      <w:tr>
        <w:tc>
          <w:tcPr>
            <w:tcW w:w="4872" w:type="dxa"/>
            <w:vAlign w:val="center"/>
          </w:tcPr>
          <w:p>
            <w:pPr>
              <w:spacing w:before="0" w:after="0"/>
              <w:jc w:val="left"/>
            </w:pPr>
            <w:r>
              <w:rPr>
                <w:sz w:val="18"/>
                <w:szCs w:val="18"/>
              </w:rPr>
              <w:t xml:space="preserve">Goodwill</w:t>
            </w:r>
          </w:p>
        </w:tc>
        <w:tc>
          <w:tcPr>
            <w:tcW w:w="800" w:type="dxa"/>
            <w:vAlign w:val="center"/>
          </w:tcPr>
          <w:p>
            <w:pPr>
              <w:spacing w:before="0" w:after="0"/>
              <w:jc w:val="left"/>
            </w:pPr>
            <w:r>
              <w:rPr>
                <w:sz w:val="18"/>
                <w:szCs w:val="18"/>
              </w:rPr>
              <w:t xml:space="preserve"/>
            </w:r>
          </w:p>
        </w:tc>
        <w:tc>
          <w:tcPr>
            <w:tcW w:w="1700" w:type="dxa"/>
            <w:vAlign w:val="center"/>
          </w:tcPr>
          <w:p>
            <w:pPr>
              <w:spacing w:before="0" w:after="0"/>
              <w:jc w:val="right"/>
            </w:pPr>
            <w:r>
              <w:rPr>
                <w:sz w:val="18"/>
                <w:szCs w:val="18"/>
              </w:rPr>
              <w:t xml:space="preserve">7,829</w:t>
            </w:r>
          </w:p>
        </w:tc>
        <w:tc>
          <w:tcPr>
            <w:tcW w:w="1700" w:type="dxa"/>
            <w:vAlign w:val="center"/>
          </w:tcPr>
          <w:p>
            <w:pPr>
              <w:spacing w:before="0" w:after="0"/>
              <w:jc w:val="right"/>
            </w:pPr>
            <w:r>
              <w:rPr>
                <w:sz w:val="18"/>
                <w:szCs w:val="18"/>
              </w:rPr>
              <w:t xml:space="preserve">7,984</w:t>
            </w:r>
          </w:p>
        </w:tc>
      </w:tr>
      <w:tr>
        <w:tc>
          <w:tcPr>
            <w:tcW w:w="4872" w:type="dxa"/>
            <w:vAlign w:val="center"/>
          </w:tcPr>
          <w:p>
            <w:pPr>
              <w:spacing w:before="0" w:after="0"/>
              <w:jc w:val="left"/>
            </w:pPr>
            <w:r>
              <w:rPr>
                <w:sz w:val="18"/>
                <w:szCs w:val="18"/>
              </w:rPr>
              <w:t xml:space="preserve">Other intangible assets, net</w:t>
            </w:r>
          </w:p>
        </w:tc>
        <w:tc>
          <w:tcPr>
            <w:tcW w:w="800" w:type="dxa"/>
            <w:vAlign w:val="center"/>
          </w:tcPr>
          <w:p>
            <w:pPr>
              <w:spacing w:before="0" w:after="0"/>
              <w:jc w:val="left"/>
            </w:pPr>
            <w:r>
              <w:rPr>
                <w:sz w:val="18"/>
                <w:szCs w:val="18"/>
              </w:rPr>
              <w:t xml:space="preserve"/>
            </w:r>
          </w:p>
        </w:tc>
        <w:tc>
          <w:tcPr>
            <w:tcW w:w="1700" w:type="dxa"/>
            <w:vAlign w:val="center"/>
          </w:tcPr>
          <w:p>
            <w:pPr>
              <w:spacing w:before="0" w:after="0"/>
              <w:jc w:val="right"/>
            </w:pPr>
            <w:r>
              <w:rPr>
                <w:sz w:val="18"/>
                <w:szCs w:val="18"/>
              </w:rPr>
              <w:t xml:space="preserve">3,941</w:t>
            </w:r>
          </w:p>
        </w:tc>
        <w:tc>
          <w:tcPr>
            <w:tcW w:w="1700" w:type="dxa"/>
            <w:vAlign w:val="center"/>
          </w:tcPr>
          <w:p>
            <w:pPr>
              <w:spacing w:before="0" w:after="0"/>
              <w:jc w:val="right"/>
            </w:pPr>
            <w:r>
              <w:rPr>
                <w:sz w:val="18"/>
                <w:szCs w:val="18"/>
              </w:rPr>
              <w:t xml:space="preserve">4,369</w:t>
            </w:r>
          </w:p>
        </w:tc>
      </w:tr>
      <w:tr>
        <w:tc>
          <w:tcPr>
            <w:tcW w:w="4872" w:type="dxa"/>
            <w:vAlign w:val="center"/>
          </w:tcPr>
          <w:p>
            <w:pPr>
              <w:spacing w:before="0" w:after="0"/>
              <w:jc w:val="left"/>
            </w:pPr>
            <w:r>
              <w:rPr>
                <w:sz w:val="18"/>
                <w:szCs w:val="18"/>
              </w:rPr>
              <w:t xml:space="preserve">Security deposits</w:t>
            </w:r>
          </w:p>
        </w:tc>
        <w:tc>
          <w:tcPr>
            <w:tcW w:w="800" w:type="dxa"/>
            <w:vAlign w:val="center"/>
          </w:tcPr>
          <w:p>
            <w:pPr>
              <w:spacing w:before="0" w:after="0"/>
              <w:jc w:val="left"/>
            </w:pPr>
            <w:r>
              <w:rPr>
                <w:sz w:val="18"/>
                <w:szCs w:val="18"/>
              </w:rPr>
              <w:t xml:space="preserve"/>
            </w:r>
          </w:p>
        </w:tc>
        <w:tc>
          <w:tcPr>
            <w:tcW w:w="1700" w:type="dxa"/>
            <w:vAlign w:val="center"/>
          </w:tcPr>
          <w:p>
            <w:pPr>
              <w:spacing w:before="0" w:after="0"/>
              <w:jc w:val="right"/>
            </w:pPr>
            <w:r>
              <w:rPr>
                <w:sz w:val="18"/>
                <w:szCs w:val="18"/>
              </w:rPr>
              <w:t xml:space="preserve">7,726</w:t>
            </w:r>
          </w:p>
        </w:tc>
        <w:tc>
          <w:tcPr>
            <w:tcW w:w="1700" w:type="dxa"/>
            <w:vAlign w:val="center"/>
          </w:tcPr>
          <w:p>
            <w:pPr>
              <w:spacing w:before="0" w:after="0"/>
              <w:jc w:val="right"/>
            </w:pPr>
            <w:r>
              <w:rPr>
                <w:sz w:val="18"/>
                <w:szCs w:val="18"/>
              </w:rPr>
              <w:t xml:space="preserve">8,666</w:t>
            </w:r>
          </w:p>
        </w:tc>
      </w:tr>
      <w:tr>
        <w:tc>
          <w:tcPr>
            <w:tcW w:w="4872" w:type="dxa"/>
            <w:vAlign w:val="center"/>
          </w:tcPr>
          <w:p>
            <w:pPr>
              <w:spacing w:before="0" w:after="0"/>
              <w:jc w:val="left"/>
            </w:pPr>
            <w:r>
              <w:rPr>
                <w:sz w:val="18"/>
                <w:szCs w:val="18"/>
              </w:rPr>
              <w:t xml:space="preserve">Other long-term assets</w:t>
            </w:r>
          </w:p>
        </w:tc>
        <w:tc>
          <w:tcPr>
            <w:tcW w:w="800" w:type="dxa"/>
            <w:vAlign w:val="center"/>
          </w:tcPr>
          <w:p>
            <w:pPr>
              <w:spacing w:before="0" w:after="0"/>
              <w:jc w:val="left"/>
            </w:pPr>
            <w:r>
              <w:rPr>
                <w:sz w:val="18"/>
                <w:szCs w:val="18"/>
              </w:rPr>
              <w:t xml:space="preserve"/>
            </w:r>
          </w:p>
        </w:tc>
        <w:tc>
          <w:tcPr>
            <w:tcW w:w="1700" w:type="dxa"/>
            <w:vAlign w:val="center"/>
          </w:tcPr>
          <w:p>
            <w:pPr>
              <w:spacing w:before="0" w:after="0"/>
              <w:jc w:val="right"/>
            </w:pPr>
            <w:r>
              <w:rPr>
                <w:sz w:val="18"/>
                <w:szCs w:val="18"/>
              </w:rPr>
              <w:t xml:space="preserve">3,587</w:t>
            </w:r>
          </w:p>
        </w:tc>
        <w:tc>
          <w:tcPr>
            <w:tcW w:w="1700" w:type="dxa"/>
            <w:vAlign w:val="center"/>
          </w:tcPr>
          <w:p>
            <w:pPr>
              <w:spacing w:before="0" w:after="0"/>
              <w:jc w:val="right"/>
            </w:pPr>
            <w:r>
              <w:rPr>
                <w:sz w:val="18"/>
                <w:szCs w:val="18"/>
              </w:rPr>
              <w:t xml:space="preserve">3,924</w:t>
            </w:r>
          </w:p>
        </w:tc>
      </w:tr>
      <w:tr>
        <w:tc>
          <w:tcPr>
            <w:tcW w:w="4872" w:type="dxa"/>
            <w:vAlign w:val="center"/>
          </w:tcPr>
          <w:p>
            <w:pPr>
              <w:spacing w:before="0" w:after="0"/>
              <w:jc w:val="left"/>
            </w:pPr>
            <w:r>
              <w:rPr>
                <w:b/>
                <w:sz w:val="18"/>
                <w:szCs w:val="18"/>
              </w:rPr>
              <w:t xml:space="preserve">Total non-current assets</w:t>
            </w:r>
          </w:p>
        </w:tc>
        <w:tc>
          <w:tcPr>
            <w:tcW w:w="800" w:type="dxa"/>
            <w:vAlign w:val="center"/>
          </w:tcPr>
          <w:p>
            <w:pPr>
              <w:spacing w:before="0" w:after="0"/>
              <w:jc w:val="left"/>
            </w:pPr>
            <w:r>
              <w:rPr>
                <w:b/>
                <w:sz w:val="18"/>
                <w:szCs w:val="18"/>
              </w:rPr>
              <w:t xml:space="preserve"/>
            </w:r>
          </w:p>
        </w:tc>
        <w:tc>
          <w:tcPr>
            <w:tcW w:w="1700" w:type="dxa"/>
            <w:vAlign w:val="center"/>
          </w:tcPr>
          <w:p>
            <w:pPr>
              <w:spacing w:before="0" w:after="0"/>
              <w:jc w:val="right"/>
            </w:pPr>
            <w:r>
              <w:rPr>
                <w:b/>
                <w:sz w:val="18"/>
                <w:szCs w:val="18"/>
              </w:rPr>
              <w:t xml:space="preserve">260,282</w:t>
            </w:r>
          </w:p>
        </w:tc>
        <w:tc>
          <w:tcPr>
            <w:tcW w:w="1700" w:type="dxa"/>
            <w:vAlign w:val="center"/>
          </w:tcPr>
          <w:p>
            <w:pPr>
              <w:spacing w:before="0" w:after="0"/>
              <w:jc w:val="right"/>
            </w:pPr>
            <w:r>
              <w:rPr>
                <w:b/>
                <w:sz w:val="18"/>
                <w:szCs w:val="18"/>
              </w:rPr>
              <w:t xml:space="preserve">312,053</w:t>
            </w:r>
          </w:p>
        </w:tc>
      </w:tr>
      <w:tr>
        <w:tc>
          <w:tcPr>
            <w:tcW w:w="4872" w:type="dxa"/>
            <w:vAlign w:val="center"/>
          </w:tcPr>
          <w:p>
            <w:pPr>
              <w:spacing w:before="0" w:after="0"/>
              <w:jc w:val="left"/>
            </w:pPr>
            <w:r>
              <w:rPr>
                <w:b/>
                <w:sz w:val="18"/>
                <w:szCs w:val="18"/>
              </w:rPr>
              <w:t xml:space="preserve">Total assets</w:t>
            </w:r>
          </w:p>
        </w:tc>
        <w:tc>
          <w:tcPr>
            <w:tcW w:w="800" w:type="dxa"/>
            <w:vAlign w:val="center"/>
          </w:tcPr>
          <w:p>
            <w:pPr>
              <w:spacing w:before="0" w:after="0"/>
              <w:jc w:val="left"/>
            </w:pPr>
            <w:r>
              <w:rPr>
                <w:b/>
                <w:sz w:val="18"/>
                <w:szCs w:val="18"/>
              </w:rPr>
              <w:t xml:space="preserve"/>
            </w:r>
          </w:p>
        </w:tc>
        <w:tc>
          <w:tcPr>
            <w:tcW w:w="1700" w:type="dxa"/>
            <w:vAlign w:val="center"/>
          </w:tcPr>
          <w:p>
            <w:pPr>
              <w:spacing w:before="0" w:after="0"/>
              <w:jc w:val="right"/>
            </w:pPr>
            <w:r>
              <w:rPr>
                <w:b/>
                <w:sz w:val="18"/>
                <w:szCs w:val="18"/>
              </w:rPr>
              <w:t xml:space="preserve">366,952</w:t>
            </w:r>
          </w:p>
        </w:tc>
        <w:tc>
          <w:tcPr>
            <w:tcW w:w="1700" w:type="dxa"/>
            <w:vAlign w:val="center"/>
          </w:tcPr>
          <w:p>
            <w:pPr>
              <w:spacing w:before="0" w:after="0"/>
              <w:jc w:val="right"/>
            </w:pPr>
            <w:r>
              <w:rPr>
                <w:b/>
                <w:sz w:val="18"/>
                <w:szCs w:val="18"/>
              </w:rPr>
              <w:t xml:space="preserve">422,694</w:t>
            </w:r>
          </w:p>
        </w:tc>
      </w:tr>
    </w:tbl>
    <w:p>
      <w:pPr/>
    </w:p>
    <w:p>
      <w:r>
        <w:br w:type="page"/>
      </w:r>
    </w:p>
    <w:p>
      <w:pPr>
        <w:pStyle w:val="Heading3"/>
        <w:keepNext/>
      </w:pPr>
      <w:r>
        <w:t xml:space="preserve">Balance Sheets (Liabilities and Stockholders' Equity)</w:t>
      </w:r>
    </w:p>
    <w:p>
      <w:pPr>
        <w:jc w:val="right"/>
      </w:pPr>
      <w:r>
        <w:rPr>
          <w:sz w:val="18"/>
          <w:szCs w:val="18"/>
        </w:rPr>
        <w:t xml:space="preserve">(In thousands of U.S. dollars)</w:t>
      </w:r>
    </w:p>
    <w:tbl>
      <w:tblPr>
        <w:tblW w:w="907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72" w:type="dxa"/>
          <w:right w:w="72" w:type="dxa"/>
        </w:tblCellMar>
      </w:tblPr>
      <w:tblGrid>
        <w:gridCol w:w="4872"/>
        <w:gridCol w:w="800"/>
        <w:gridCol w:w="1700"/>
        <w:gridCol w:w="1700"/>
      </w:tblGrid>
      <w:tr>
        <w:trPr>
          <w:tblHeader/>
        </w:trPr>
        <w:tc>
          <w:tcPr>
            <w:tcW w:w="4872" w:type="dxa"/>
            <w:shd w:val="clear" w:color="auto" w:fill="DDEBF7"/>
            <w:vAlign w:val="center"/>
          </w:tcPr>
          <w:p>
            <w:pPr>
              <w:spacing w:before="0" w:after="0"/>
              <w:jc w:val="center"/>
            </w:pPr>
            <w:r>
              <w:rPr>
                <w:b/>
                <w:sz w:val="18"/>
                <w:szCs w:val="18"/>
              </w:rPr>
              <w:t xml:space="preserve"/>
            </w:r>
          </w:p>
        </w:tc>
        <w:tc>
          <w:tcPr>
            <w:tcW w:w="800" w:type="dxa"/>
            <w:shd w:val="clear" w:color="auto" w:fill="DDEBF7"/>
            <w:vAlign w:val="center"/>
          </w:tcPr>
          <w:p>
            <w:pPr>
              <w:spacing w:before="0" w:after="0"/>
              <w:jc w:val="center"/>
            </w:pPr>
            <w:r>
              <w:rPr>
                <w:b/>
                <w:sz w:val="18"/>
                <w:szCs w:val="18"/>
              </w:rPr>
              <w:t xml:space="preserve">Note</w:t>
            </w:r>
          </w:p>
        </w:tc>
        <w:tc>
          <w:tcPr>
            <w:tcW w:w="1700" w:type="dxa"/>
            <w:shd w:val="clear" w:color="auto" w:fill="DDEBF7"/>
            <w:vAlign w:val="center"/>
          </w:tcPr>
          <w:p>
            <w:pPr>
              <w:spacing w:before="0" w:after="0"/>
              <w:jc w:val="center"/>
            </w:pPr>
            <w:r>
              <w:rPr>
                <w:b/>
                <w:sz w:val="18"/>
                <w:szCs w:val="18"/>
              </w:rPr>
              <w:t xml:space="preserve">Q1 2025</w:t>
            </w:r>
          </w:p>
        </w:tc>
        <w:tc>
          <w:tcPr>
            <w:tcW w:w="1700" w:type="dxa"/>
            <w:shd w:val="clear" w:color="auto" w:fill="DDEBF7"/>
            <w:vAlign w:val="center"/>
          </w:tcPr>
          <w:p>
            <w:pPr>
              <w:spacing w:before="0" w:after="0"/>
              <w:jc w:val="center"/>
            </w:pPr>
            <w:r>
              <w:rPr>
                <w:b/>
                <w:sz w:val="18"/>
                <w:szCs w:val="18"/>
              </w:rPr>
              <w:t xml:space="preserve">Q1 2026</w:t>
            </w:r>
          </w:p>
        </w:tc>
      </w:tr>
      <w:tr>
        <w:tc>
          <w:tcPr>
            <w:tcW w:w="4872" w:type="dxa"/>
            <w:vAlign w:val="center"/>
          </w:tcPr>
          <w:p>
            <w:pPr>
              <w:spacing w:before="0" w:after="0"/>
              <w:jc w:val="left"/>
            </w:pPr>
            <w:r>
              <w:rPr>
                <w:b/>
                <w:sz w:val="18"/>
                <w:szCs w:val="18"/>
              </w:rPr>
              <w:t xml:space="preserve">Current liabilities</w:t>
            </w:r>
          </w:p>
        </w:tc>
        <w:tc>
          <w:tcPr>
            <w:tcW w:w="800" w:type="dxa"/>
            <w:vAlign w:val="center"/>
          </w:tcPr>
          <w:p>
            <w:pPr>
              <w:spacing w:before="0" w:after="0"/>
              <w:jc w:val="left"/>
            </w:pPr>
            <w:r>
              <w:rPr>
                <w:b/>
                <w:sz w:val="18"/>
                <w:szCs w:val="18"/>
              </w:rPr>
              <w:t xml:space="preserve"/>
            </w:r>
          </w:p>
        </w:tc>
        <w:tc>
          <w:tcPr>
            <w:tcW w:w="1700" w:type="dxa"/>
            <w:vAlign w:val="center"/>
          </w:tcPr>
          <w:p>
            <w:pPr>
              <w:spacing w:before="0" w:after="0"/>
              <w:jc w:val="right"/>
            </w:pPr>
            <w:r>
              <w:rPr>
                <w:b/>
                <w:sz w:val="18"/>
                <w:szCs w:val="18"/>
              </w:rPr>
              <w:t xml:space="preserve"/>
            </w:r>
          </w:p>
        </w:tc>
        <w:tc>
          <w:tcPr>
            <w:tcW w:w="1700" w:type="dxa"/>
            <w:vAlign w:val="center"/>
          </w:tcPr>
          <w:p>
            <w:pPr>
              <w:spacing w:before="0" w:after="0"/>
              <w:jc w:val="right"/>
            </w:pPr>
            <w:r>
              <w:rPr>
                <w:b/>
                <w:sz w:val="18"/>
                <w:szCs w:val="18"/>
              </w:rPr>
              <w:t xml:space="preserve"/>
            </w:r>
          </w:p>
        </w:tc>
      </w:tr>
      <w:tr>
        <w:tc>
          <w:tcPr>
            <w:tcW w:w="4872" w:type="dxa"/>
            <w:vAlign w:val="center"/>
          </w:tcPr>
          <w:p>
            <w:pPr>
              <w:spacing w:before="0" w:after="0"/>
              <w:jc w:val="left"/>
            </w:pPr>
            <w:r>
              <w:rPr>
                <w:sz w:val="18"/>
                <w:szCs w:val="18"/>
              </w:rPr>
              <w:t xml:space="preserve">Accounts payable</w:t>
            </w:r>
          </w:p>
        </w:tc>
        <w:tc>
          <w:tcPr>
            <w:tcW w:w="800" w:type="dxa"/>
            <w:vAlign w:val="center"/>
          </w:tcPr>
          <w:p>
            <w:pPr>
              <w:spacing w:before="0" w:after="0"/>
              <w:jc w:val="left"/>
            </w:pPr>
            <w:r>
              <w:rPr>
                <w:sz w:val="18"/>
                <w:szCs w:val="18"/>
              </w:rPr>
              <w:t xml:space="preserve"/>
            </w:r>
          </w:p>
        </w:tc>
        <w:tc>
          <w:tcPr>
            <w:tcW w:w="1700" w:type="dxa"/>
            <w:vAlign w:val="center"/>
          </w:tcPr>
          <w:p>
            <w:pPr>
              <w:spacing w:before="0" w:after="0"/>
              <w:jc w:val="right"/>
            </w:pPr>
            <w:r>
              <w:rPr>
                <w:sz w:val="18"/>
                <w:szCs w:val="18"/>
              </w:rPr>
              <w:t xml:space="preserve">16,553</w:t>
            </w:r>
          </w:p>
        </w:tc>
        <w:tc>
          <w:tcPr>
            <w:tcW w:w="1700" w:type="dxa"/>
            <w:vAlign w:val="center"/>
          </w:tcPr>
          <w:p>
            <w:pPr>
              <w:spacing w:before="0" w:after="0"/>
              <w:jc w:val="right"/>
            </w:pPr>
            <w:r>
              <w:rPr>
                <w:sz w:val="18"/>
                <w:szCs w:val="18"/>
              </w:rPr>
              <w:t xml:space="preserve">17,622</w:t>
            </w:r>
          </w:p>
        </w:tc>
      </w:tr>
      <w:tr>
        <w:tc>
          <w:tcPr>
            <w:tcW w:w="4872" w:type="dxa"/>
            <w:vAlign w:val="center"/>
          </w:tcPr>
          <w:p>
            <w:pPr>
              <w:spacing w:before="0" w:after="0"/>
              <w:jc w:val="left"/>
            </w:pPr>
            <w:r>
              <w:rPr>
                <w:sz w:val="18"/>
                <w:szCs w:val="18"/>
              </w:rPr>
              <w:t xml:space="preserve">Accrued payroll and benefits</w:t>
            </w:r>
          </w:p>
        </w:tc>
        <w:tc>
          <w:tcPr>
            <w:tcW w:w="800" w:type="dxa"/>
            <w:vAlign w:val="center"/>
          </w:tcPr>
          <w:p>
            <w:pPr>
              <w:spacing w:before="0" w:after="0"/>
              <w:jc w:val="left"/>
            </w:pPr>
            <w:r>
              <w:rPr>
                <w:sz w:val="18"/>
                <w:szCs w:val="18"/>
              </w:rPr>
              <w:t xml:space="preserve">3</w:t>
            </w:r>
          </w:p>
        </w:tc>
        <w:tc>
          <w:tcPr>
            <w:tcW w:w="1700" w:type="dxa"/>
            <w:vAlign w:val="center"/>
          </w:tcPr>
          <w:p>
            <w:pPr>
              <w:spacing w:before="0" w:after="0"/>
              <w:jc w:val="right"/>
            </w:pPr>
            <w:r>
              <w:rPr>
                <w:sz w:val="18"/>
                <w:szCs w:val="18"/>
              </w:rPr>
              <w:t xml:space="preserve">11,997</w:t>
            </w:r>
          </w:p>
        </w:tc>
        <w:tc>
          <w:tcPr>
            <w:tcW w:w="1700" w:type="dxa"/>
            <w:vAlign w:val="center"/>
          </w:tcPr>
          <w:p>
            <w:pPr>
              <w:spacing w:before="0" w:after="0"/>
              <w:jc w:val="right"/>
            </w:pPr>
            <w:r>
              <w:rPr>
                <w:sz w:val="18"/>
                <w:szCs w:val="18"/>
              </w:rPr>
              <w:t xml:space="preserve">13,373</w:t>
            </w:r>
          </w:p>
        </w:tc>
      </w:tr>
      <w:tr>
        <w:tc>
          <w:tcPr>
            <w:tcW w:w="4872" w:type="dxa"/>
            <w:vAlign w:val="center"/>
          </w:tcPr>
          <w:p>
            <w:pPr>
              <w:spacing w:before="0" w:after="0"/>
              <w:jc w:val="left"/>
            </w:pPr>
            <w:r>
              <w:rPr>
                <w:sz w:val="18"/>
                <w:szCs w:val="18"/>
              </w:rPr>
              <w:t xml:space="preserve">Current portion of operating lease liabilities</w:t>
            </w:r>
          </w:p>
        </w:tc>
        <w:tc>
          <w:tcPr>
            <w:tcW w:w="800" w:type="dxa"/>
            <w:vAlign w:val="center"/>
          </w:tcPr>
          <w:p>
            <w:pPr>
              <w:spacing w:before="0" w:after="0"/>
              <w:jc w:val="left"/>
            </w:pPr>
            <w:r>
              <w:rPr>
                <w:sz w:val="18"/>
                <w:szCs w:val="18"/>
              </w:rPr>
              <w:t xml:space="preserve"/>
            </w:r>
          </w:p>
        </w:tc>
        <w:tc>
          <w:tcPr>
            <w:tcW w:w="1700" w:type="dxa"/>
            <w:vAlign w:val="center"/>
          </w:tcPr>
          <w:p>
            <w:pPr>
              <w:spacing w:before="0" w:after="0"/>
              <w:jc w:val="right"/>
            </w:pPr>
            <w:r>
              <w:rPr>
                <w:sz w:val="18"/>
                <w:szCs w:val="18"/>
              </w:rPr>
              <w:t xml:space="preserve">16,456</w:t>
            </w:r>
          </w:p>
        </w:tc>
        <w:tc>
          <w:tcPr>
            <w:tcW w:w="1700" w:type="dxa"/>
            <w:vAlign w:val="center"/>
          </w:tcPr>
          <w:p>
            <w:pPr>
              <w:spacing w:before="0" w:after="0"/>
              <w:jc w:val="right"/>
            </w:pPr>
            <w:r>
              <w:rPr>
                <w:sz w:val="18"/>
                <w:szCs w:val="18"/>
              </w:rPr>
              <w:t xml:space="preserve">19,986</w:t>
            </w:r>
          </w:p>
        </w:tc>
      </w:tr>
      <w:tr>
        <w:tc>
          <w:tcPr>
            <w:tcW w:w="4872" w:type="dxa"/>
            <w:vAlign w:val="center"/>
          </w:tcPr>
          <w:p>
            <w:pPr>
              <w:spacing w:before="0" w:after="0"/>
              <w:jc w:val="left"/>
            </w:pPr>
            <w:r>
              <w:rPr>
                <w:sz w:val="18"/>
                <w:szCs w:val="18"/>
              </w:rPr>
              <w:t xml:space="preserve">Current portion of long-term debt</w:t>
            </w:r>
          </w:p>
        </w:tc>
        <w:tc>
          <w:tcPr>
            <w:tcW w:w="800" w:type="dxa"/>
            <w:vAlign w:val="center"/>
          </w:tcPr>
          <w:p>
            <w:pPr>
              <w:spacing w:before="0" w:after="0"/>
              <w:jc w:val="left"/>
            </w:pPr>
            <w:r>
              <w:rPr>
                <w:sz w:val="18"/>
                <w:szCs w:val="18"/>
              </w:rPr>
              <w:t xml:space="preserve"/>
            </w:r>
          </w:p>
        </w:tc>
        <w:tc>
          <w:tcPr>
            <w:tcW w:w="1700" w:type="dxa"/>
            <w:vAlign w:val="center"/>
          </w:tcPr>
          <w:p>
            <w:pPr>
              <w:spacing w:before="0" w:after="0"/>
              <w:jc w:val="right"/>
            </w:pPr>
            <w:r>
              <w:rPr>
                <w:sz w:val="18"/>
                <w:szCs w:val="18"/>
              </w:rPr>
              <w:t xml:space="preserve">7,665</w:t>
            </w:r>
          </w:p>
        </w:tc>
        <w:tc>
          <w:tcPr>
            <w:tcW w:w="1700" w:type="dxa"/>
            <w:vAlign w:val="center"/>
          </w:tcPr>
          <w:p>
            <w:pPr>
              <w:spacing w:before="0" w:after="0"/>
              <w:jc w:val="right"/>
            </w:pPr>
            <w:r>
              <w:rPr>
                <w:sz w:val="18"/>
                <w:szCs w:val="18"/>
              </w:rPr>
              <w:t xml:space="preserve">7,963</w:t>
            </w:r>
          </w:p>
        </w:tc>
      </w:tr>
      <w:tr>
        <w:tc>
          <w:tcPr>
            <w:tcW w:w="4872" w:type="dxa"/>
            <w:vAlign w:val="center"/>
          </w:tcPr>
          <w:p>
            <w:pPr>
              <w:spacing w:before="0" w:after="0"/>
              <w:jc w:val="left"/>
            </w:pPr>
            <w:r>
              <w:rPr>
                <w:sz w:val="18"/>
                <w:szCs w:val="18"/>
              </w:rPr>
              <w:t xml:space="preserve">Deferred revenue (gift cards and loyalty)</w:t>
            </w:r>
          </w:p>
        </w:tc>
        <w:tc>
          <w:tcPr>
            <w:tcW w:w="800" w:type="dxa"/>
            <w:vAlign w:val="center"/>
          </w:tcPr>
          <w:p>
            <w:pPr>
              <w:spacing w:before="0" w:after="0"/>
              <w:jc w:val="left"/>
            </w:pPr>
            <w:r>
              <w:rPr>
                <w:sz w:val="18"/>
                <w:szCs w:val="18"/>
              </w:rPr>
              <w:t xml:space="preserve"/>
            </w:r>
          </w:p>
        </w:tc>
        <w:tc>
          <w:tcPr>
            <w:tcW w:w="1700" w:type="dxa"/>
            <w:vAlign w:val="center"/>
          </w:tcPr>
          <w:p>
            <w:pPr>
              <w:spacing w:before="0" w:after="0"/>
              <w:jc w:val="right"/>
            </w:pPr>
            <w:r>
              <w:rPr>
                <w:sz w:val="18"/>
                <w:szCs w:val="18"/>
              </w:rPr>
              <w:t xml:space="preserve">9,855</w:t>
            </w:r>
          </w:p>
        </w:tc>
        <w:tc>
          <w:tcPr>
            <w:tcW w:w="1700" w:type="dxa"/>
            <w:vAlign w:val="center"/>
          </w:tcPr>
          <w:p>
            <w:pPr>
              <w:spacing w:before="0" w:after="0"/>
              <w:jc w:val="right"/>
            </w:pPr>
            <w:r>
              <w:rPr>
                <w:sz w:val="18"/>
                <w:szCs w:val="18"/>
              </w:rPr>
              <w:t xml:space="preserve">10,499</w:t>
            </w:r>
          </w:p>
        </w:tc>
      </w:tr>
      <w:tr>
        <w:tc>
          <w:tcPr>
            <w:tcW w:w="4872" w:type="dxa"/>
            <w:vAlign w:val="center"/>
          </w:tcPr>
          <w:p>
            <w:pPr>
              <w:spacing w:before="0" w:after="0"/>
              <w:jc w:val="left"/>
            </w:pPr>
            <w:r>
              <w:rPr>
                <w:sz w:val="18"/>
                <w:szCs w:val="18"/>
              </w:rPr>
              <w:t xml:space="preserve">Income taxes payable</w:t>
            </w:r>
          </w:p>
        </w:tc>
        <w:tc>
          <w:tcPr>
            <w:tcW w:w="800" w:type="dxa"/>
            <w:vAlign w:val="center"/>
          </w:tcPr>
          <w:p>
            <w:pPr>
              <w:spacing w:before="0" w:after="0"/>
              <w:jc w:val="left"/>
            </w:pPr>
            <w:r>
              <w:rPr>
                <w:sz w:val="18"/>
                <w:szCs w:val="18"/>
              </w:rPr>
              <w:t xml:space="preserve"/>
            </w:r>
          </w:p>
        </w:tc>
        <w:tc>
          <w:tcPr>
            <w:tcW w:w="1700" w:type="dxa"/>
            <w:vAlign w:val="center"/>
          </w:tcPr>
          <w:p>
            <w:pPr>
              <w:spacing w:before="0" w:after="0"/>
              <w:jc w:val="right"/>
            </w:pPr>
            <w:r>
              <w:rPr>
                <w:sz w:val="18"/>
                <w:szCs w:val="18"/>
              </w:rPr>
              <w:t xml:space="preserve">2,877</w:t>
            </w:r>
          </w:p>
        </w:tc>
        <w:tc>
          <w:tcPr>
            <w:tcW w:w="1700" w:type="dxa"/>
            <w:vAlign w:val="center"/>
          </w:tcPr>
          <w:p>
            <w:pPr>
              <w:spacing w:before="0" w:after="0"/>
              <w:jc w:val="right"/>
            </w:pPr>
            <w:r>
              <w:rPr>
                <w:sz w:val="18"/>
                <w:szCs w:val="18"/>
              </w:rPr>
              <w:t xml:space="preserve">3,299</w:t>
            </w:r>
          </w:p>
        </w:tc>
      </w:tr>
      <w:tr>
        <w:tc>
          <w:tcPr>
            <w:tcW w:w="4872" w:type="dxa"/>
            <w:vAlign w:val="center"/>
          </w:tcPr>
          <w:p>
            <w:pPr>
              <w:spacing w:before="0" w:after="0"/>
              <w:jc w:val="left"/>
            </w:pPr>
            <w:r>
              <w:rPr>
                <w:sz w:val="18"/>
                <w:szCs w:val="18"/>
              </w:rPr>
              <w:t xml:space="preserve">Other accrued liabilities</w:t>
            </w:r>
          </w:p>
        </w:tc>
        <w:tc>
          <w:tcPr>
            <w:tcW w:w="800" w:type="dxa"/>
            <w:vAlign w:val="center"/>
          </w:tcPr>
          <w:p>
            <w:pPr>
              <w:spacing w:before="0" w:after="0"/>
              <w:jc w:val="left"/>
            </w:pPr>
            <w:r>
              <w:rPr>
                <w:sz w:val="18"/>
                <w:szCs w:val="18"/>
              </w:rPr>
              <w:t xml:space="preserve"/>
            </w:r>
          </w:p>
        </w:tc>
        <w:tc>
          <w:tcPr>
            <w:tcW w:w="1700" w:type="dxa"/>
            <w:vAlign w:val="center"/>
          </w:tcPr>
          <w:p>
            <w:pPr>
              <w:spacing w:before="0" w:after="0"/>
              <w:jc w:val="right"/>
            </w:pPr>
            <w:r>
              <w:rPr>
                <w:sz w:val="18"/>
                <w:szCs w:val="18"/>
              </w:rPr>
              <w:t xml:space="preserve">6,021</w:t>
            </w:r>
          </w:p>
        </w:tc>
        <w:tc>
          <w:tcPr>
            <w:tcW w:w="1700" w:type="dxa"/>
            <w:vAlign w:val="center"/>
          </w:tcPr>
          <w:p>
            <w:pPr>
              <w:spacing w:before="0" w:after="0"/>
              <w:jc w:val="right"/>
            </w:pPr>
            <w:r>
              <w:rPr>
                <w:sz w:val="18"/>
                <w:szCs w:val="18"/>
              </w:rPr>
              <w:t xml:space="preserve">6,310</w:t>
            </w:r>
          </w:p>
        </w:tc>
      </w:tr>
      <w:tr>
        <w:tc>
          <w:tcPr>
            <w:tcW w:w="4872" w:type="dxa"/>
            <w:vAlign w:val="center"/>
          </w:tcPr>
          <w:p>
            <w:pPr>
              <w:spacing w:before="0" w:after="0"/>
              <w:jc w:val="left"/>
            </w:pPr>
            <w:r>
              <w:rPr>
                <w:b/>
                <w:sz w:val="18"/>
                <w:szCs w:val="18"/>
              </w:rPr>
              <w:t xml:space="preserve">Total current liabilities</w:t>
            </w:r>
          </w:p>
        </w:tc>
        <w:tc>
          <w:tcPr>
            <w:tcW w:w="800" w:type="dxa"/>
            <w:vAlign w:val="center"/>
          </w:tcPr>
          <w:p>
            <w:pPr>
              <w:spacing w:before="0" w:after="0"/>
              <w:jc w:val="left"/>
            </w:pPr>
            <w:r>
              <w:rPr>
                <w:b/>
                <w:sz w:val="18"/>
                <w:szCs w:val="18"/>
              </w:rPr>
              <w:t xml:space="preserve"/>
            </w:r>
          </w:p>
        </w:tc>
        <w:tc>
          <w:tcPr>
            <w:tcW w:w="1700" w:type="dxa"/>
            <w:vAlign w:val="center"/>
          </w:tcPr>
          <w:p>
            <w:pPr>
              <w:spacing w:before="0" w:after="0"/>
              <w:jc w:val="right"/>
            </w:pPr>
            <w:r>
              <w:rPr>
                <w:b/>
                <w:sz w:val="18"/>
                <w:szCs w:val="18"/>
              </w:rPr>
              <w:t xml:space="preserve">71,424</w:t>
            </w:r>
          </w:p>
        </w:tc>
        <w:tc>
          <w:tcPr>
            <w:tcW w:w="1700" w:type="dxa"/>
            <w:vAlign w:val="center"/>
          </w:tcPr>
          <w:p>
            <w:pPr>
              <w:spacing w:before="0" w:after="0"/>
              <w:jc w:val="right"/>
            </w:pPr>
            <w:r>
              <w:rPr>
                <w:b/>
                <w:sz w:val="18"/>
                <w:szCs w:val="18"/>
              </w:rPr>
              <w:t xml:space="preserve">79,052</w:t>
            </w:r>
          </w:p>
        </w:tc>
      </w:tr>
      <w:tr>
        <w:tc>
          <w:tcPr>
            <w:tcW w:w="4872" w:type="dxa"/>
            <w:vAlign w:val="center"/>
          </w:tcPr>
          <w:p>
            <w:pPr>
              <w:spacing w:before="0" w:after="0"/>
              <w:jc w:val="left"/>
            </w:pPr>
            <w:r>
              <w:rPr>
                <w:b/>
                <w:sz w:val="18"/>
                <w:szCs w:val="18"/>
              </w:rPr>
              <w:t xml:space="preserve">Non-current liabilities</w:t>
            </w:r>
          </w:p>
        </w:tc>
        <w:tc>
          <w:tcPr>
            <w:tcW w:w="800" w:type="dxa"/>
            <w:vAlign w:val="center"/>
          </w:tcPr>
          <w:p>
            <w:pPr>
              <w:spacing w:before="0" w:after="0"/>
              <w:jc w:val="left"/>
            </w:pPr>
            <w:r>
              <w:rPr>
                <w:b/>
                <w:sz w:val="18"/>
                <w:szCs w:val="18"/>
              </w:rPr>
              <w:t xml:space="preserve"/>
            </w:r>
          </w:p>
        </w:tc>
        <w:tc>
          <w:tcPr>
            <w:tcW w:w="1700" w:type="dxa"/>
            <w:vAlign w:val="center"/>
          </w:tcPr>
          <w:p>
            <w:pPr>
              <w:spacing w:before="0" w:after="0"/>
              <w:jc w:val="right"/>
            </w:pPr>
            <w:r>
              <w:rPr>
                <w:b/>
                <w:sz w:val="18"/>
                <w:szCs w:val="18"/>
              </w:rPr>
              <w:t xml:space="preserve"/>
            </w:r>
          </w:p>
        </w:tc>
        <w:tc>
          <w:tcPr>
            <w:tcW w:w="1700" w:type="dxa"/>
            <w:vAlign w:val="center"/>
          </w:tcPr>
          <w:p>
            <w:pPr>
              <w:spacing w:before="0" w:after="0"/>
              <w:jc w:val="right"/>
            </w:pPr>
            <w:r>
              <w:rPr>
                <w:b/>
                <w:sz w:val="18"/>
                <w:szCs w:val="18"/>
              </w:rPr>
              <w:t xml:space="preserve"/>
            </w:r>
          </w:p>
        </w:tc>
      </w:tr>
      <w:tr>
        <w:tc>
          <w:tcPr>
            <w:tcW w:w="4872" w:type="dxa"/>
            <w:vAlign w:val="center"/>
          </w:tcPr>
          <w:p>
            <w:pPr>
              <w:spacing w:before="0" w:after="0"/>
              <w:jc w:val="left"/>
            </w:pPr>
            <w:r>
              <w:rPr>
                <w:sz w:val="18"/>
                <w:szCs w:val="18"/>
              </w:rPr>
              <w:t xml:space="preserve">Long-term debt, net of current portion</w:t>
            </w:r>
          </w:p>
        </w:tc>
        <w:tc>
          <w:tcPr>
            <w:tcW w:w="800" w:type="dxa"/>
            <w:vAlign w:val="center"/>
          </w:tcPr>
          <w:p>
            <w:pPr>
              <w:spacing w:before="0" w:after="0"/>
              <w:jc w:val="left"/>
            </w:pPr>
            <w:r>
              <w:rPr>
                <w:sz w:val="18"/>
                <w:szCs w:val="18"/>
              </w:rPr>
              <w:t xml:space="preserve"/>
            </w:r>
          </w:p>
        </w:tc>
        <w:tc>
          <w:tcPr>
            <w:tcW w:w="1700" w:type="dxa"/>
            <w:vAlign w:val="center"/>
          </w:tcPr>
          <w:p>
            <w:pPr>
              <w:spacing w:before="0" w:after="0"/>
              <w:jc w:val="right"/>
            </w:pPr>
            <w:r>
              <w:rPr>
                <w:sz w:val="18"/>
                <w:szCs w:val="18"/>
              </w:rPr>
              <w:t xml:space="preserve">32,890</w:t>
            </w:r>
          </w:p>
        </w:tc>
        <w:tc>
          <w:tcPr>
            <w:tcW w:w="1700" w:type="dxa"/>
            <w:vAlign w:val="center"/>
          </w:tcPr>
          <w:p>
            <w:pPr>
              <w:spacing w:before="0" w:after="0"/>
              <w:jc w:val="right"/>
            </w:pPr>
            <w:r>
              <w:rPr>
                <w:sz w:val="18"/>
                <w:szCs w:val="18"/>
              </w:rPr>
              <w:t xml:space="preserve">38,534</w:t>
            </w:r>
          </w:p>
        </w:tc>
      </w:tr>
      <w:tr>
        <w:tc>
          <w:tcPr>
            <w:tcW w:w="4872" w:type="dxa"/>
            <w:vAlign w:val="center"/>
          </w:tcPr>
          <w:p>
            <w:pPr>
              <w:spacing w:before="0" w:after="0"/>
              <w:jc w:val="left"/>
            </w:pPr>
            <w:r>
              <w:rPr>
                <w:sz w:val="18"/>
                <w:szCs w:val="18"/>
              </w:rPr>
              <w:t xml:space="preserve">Operating lease liabilities, net of current portion</w:t>
            </w:r>
          </w:p>
        </w:tc>
        <w:tc>
          <w:tcPr>
            <w:tcW w:w="800" w:type="dxa"/>
            <w:vAlign w:val="center"/>
          </w:tcPr>
          <w:p>
            <w:pPr>
              <w:spacing w:before="0" w:after="0"/>
              <w:jc w:val="left"/>
            </w:pPr>
            <w:r>
              <w:rPr>
                <w:sz w:val="18"/>
                <w:szCs w:val="18"/>
              </w:rPr>
              <w:t xml:space="preserve"/>
            </w:r>
          </w:p>
        </w:tc>
        <w:tc>
          <w:tcPr>
            <w:tcW w:w="1700" w:type="dxa"/>
            <w:vAlign w:val="center"/>
          </w:tcPr>
          <w:p>
            <w:pPr>
              <w:spacing w:before="0" w:after="0"/>
              <w:jc w:val="right"/>
            </w:pPr>
            <w:r>
              <w:rPr>
                <w:sz w:val="18"/>
                <w:szCs w:val="18"/>
              </w:rPr>
              <w:t xml:space="preserve">105,858</w:t>
            </w:r>
          </w:p>
        </w:tc>
        <w:tc>
          <w:tcPr>
            <w:tcW w:w="1700" w:type="dxa"/>
            <w:vAlign w:val="center"/>
          </w:tcPr>
          <w:p>
            <w:pPr>
              <w:spacing w:before="0" w:after="0"/>
              <w:jc w:val="right"/>
            </w:pPr>
            <w:r>
              <w:rPr>
                <w:sz w:val="18"/>
                <w:szCs w:val="18"/>
              </w:rPr>
              <w:t xml:space="preserve">119,043</w:t>
            </w:r>
          </w:p>
        </w:tc>
      </w:tr>
      <w:tr>
        <w:tc>
          <w:tcPr>
            <w:tcW w:w="4872" w:type="dxa"/>
            <w:vAlign w:val="center"/>
          </w:tcPr>
          <w:p>
            <w:pPr>
              <w:spacing w:before="0" w:after="0"/>
              <w:jc w:val="left"/>
            </w:pPr>
            <w:r>
              <w:rPr>
                <w:sz w:val="18"/>
                <w:szCs w:val="18"/>
              </w:rPr>
              <w:t xml:space="preserve">Deferred rent and asset retirement obligations</w:t>
            </w:r>
          </w:p>
        </w:tc>
        <w:tc>
          <w:tcPr>
            <w:tcW w:w="800" w:type="dxa"/>
            <w:vAlign w:val="center"/>
          </w:tcPr>
          <w:p>
            <w:pPr>
              <w:spacing w:before="0" w:after="0"/>
              <w:jc w:val="left"/>
            </w:pPr>
            <w:r>
              <w:rPr>
                <w:sz w:val="18"/>
                <w:szCs w:val="18"/>
              </w:rPr>
              <w:t xml:space="preserve"/>
            </w:r>
          </w:p>
        </w:tc>
        <w:tc>
          <w:tcPr>
            <w:tcW w:w="1700" w:type="dxa"/>
            <w:vAlign w:val="center"/>
          </w:tcPr>
          <w:p>
            <w:pPr>
              <w:spacing w:before="0" w:after="0"/>
              <w:jc w:val="right"/>
            </w:pPr>
            <w:r>
              <w:rPr>
                <w:sz w:val="18"/>
                <w:szCs w:val="18"/>
              </w:rPr>
              <w:t xml:space="preserve">4,573</w:t>
            </w:r>
          </w:p>
        </w:tc>
        <w:tc>
          <w:tcPr>
            <w:tcW w:w="1700" w:type="dxa"/>
            <w:vAlign w:val="center"/>
          </w:tcPr>
          <w:p>
            <w:pPr>
              <w:spacing w:before="0" w:after="0"/>
              <w:jc w:val="right"/>
            </w:pPr>
            <w:r>
              <w:rPr>
                <w:sz w:val="18"/>
                <w:szCs w:val="18"/>
              </w:rPr>
              <w:t xml:space="preserve">5,011</w:t>
            </w:r>
          </w:p>
        </w:tc>
      </w:tr>
      <w:tr>
        <w:tc>
          <w:tcPr>
            <w:tcW w:w="4872" w:type="dxa"/>
            <w:vAlign w:val="center"/>
          </w:tcPr>
          <w:p>
            <w:pPr>
              <w:spacing w:before="0" w:after="0"/>
              <w:jc w:val="left"/>
            </w:pPr>
            <w:r>
              <w:rPr>
                <w:sz w:val="18"/>
                <w:szCs w:val="18"/>
              </w:rPr>
              <w:t xml:space="preserve">Other long-term liabilities</w:t>
            </w:r>
          </w:p>
        </w:tc>
        <w:tc>
          <w:tcPr>
            <w:tcW w:w="800" w:type="dxa"/>
            <w:vAlign w:val="center"/>
          </w:tcPr>
          <w:p>
            <w:pPr>
              <w:spacing w:before="0" w:after="0"/>
              <w:jc w:val="left"/>
            </w:pPr>
            <w:r>
              <w:rPr>
                <w:sz w:val="18"/>
                <w:szCs w:val="18"/>
              </w:rPr>
              <w:t xml:space="preserve"/>
            </w:r>
          </w:p>
        </w:tc>
        <w:tc>
          <w:tcPr>
            <w:tcW w:w="1700" w:type="dxa"/>
            <w:vAlign w:val="center"/>
          </w:tcPr>
          <w:p>
            <w:pPr>
              <w:spacing w:before="0" w:after="0"/>
              <w:jc w:val="right"/>
            </w:pPr>
            <w:r>
              <w:rPr>
                <w:sz w:val="18"/>
                <w:szCs w:val="18"/>
              </w:rPr>
              <w:t xml:space="preserve">3,248</w:t>
            </w:r>
          </w:p>
        </w:tc>
        <w:tc>
          <w:tcPr>
            <w:tcW w:w="1700" w:type="dxa"/>
            <w:vAlign w:val="center"/>
          </w:tcPr>
          <w:p>
            <w:pPr>
              <w:spacing w:before="0" w:after="0"/>
              <w:jc w:val="right"/>
            </w:pPr>
            <w:r>
              <w:rPr>
                <w:sz w:val="18"/>
                <w:szCs w:val="18"/>
              </w:rPr>
              <w:t xml:space="preserve">3,414</w:t>
            </w:r>
          </w:p>
        </w:tc>
      </w:tr>
      <w:tr>
        <w:tc>
          <w:tcPr>
            <w:tcW w:w="4872" w:type="dxa"/>
            <w:vAlign w:val="center"/>
          </w:tcPr>
          <w:p>
            <w:pPr>
              <w:spacing w:before="0" w:after="0"/>
              <w:jc w:val="left"/>
            </w:pPr>
            <w:r>
              <w:rPr>
                <w:b/>
                <w:sz w:val="18"/>
                <w:szCs w:val="18"/>
              </w:rPr>
              <w:t xml:space="preserve">Total non-current liabilities</w:t>
            </w:r>
          </w:p>
        </w:tc>
        <w:tc>
          <w:tcPr>
            <w:tcW w:w="800" w:type="dxa"/>
            <w:vAlign w:val="center"/>
          </w:tcPr>
          <w:p>
            <w:pPr>
              <w:spacing w:before="0" w:after="0"/>
              <w:jc w:val="left"/>
            </w:pPr>
            <w:r>
              <w:rPr>
                <w:b/>
                <w:sz w:val="18"/>
                <w:szCs w:val="18"/>
              </w:rPr>
              <w:t xml:space="preserve"/>
            </w:r>
          </w:p>
        </w:tc>
        <w:tc>
          <w:tcPr>
            <w:tcW w:w="1700" w:type="dxa"/>
            <w:vAlign w:val="center"/>
          </w:tcPr>
          <w:p>
            <w:pPr>
              <w:spacing w:before="0" w:after="0"/>
              <w:jc w:val="right"/>
            </w:pPr>
            <w:r>
              <w:rPr>
                <w:b/>
                <w:sz w:val="18"/>
                <w:szCs w:val="18"/>
              </w:rPr>
              <w:t xml:space="preserve">146,569</w:t>
            </w:r>
          </w:p>
        </w:tc>
        <w:tc>
          <w:tcPr>
            <w:tcW w:w="1700" w:type="dxa"/>
            <w:vAlign w:val="center"/>
          </w:tcPr>
          <w:p>
            <w:pPr>
              <w:spacing w:before="0" w:after="0"/>
              <w:jc w:val="right"/>
            </w:pPr>
            <w:r>
              <w:rPr>
                <w:b/>
                <w:sz w:val="18"/>
                <w:szCs w:val="18"/>
              </w:rPr>
              <w:t xml:space="preserve">166,002</w:t>
            </w:r>
          </w:p>
        </w:tc>
      </w:tr>
      <w:tr>
        <w:tc>
          <w:tcPr>
            <w:tcW w:w="4872" w:type="dxa"/>
            <w:vAlign w:val="center"/>
          </w:tcPr>
          <w:p>
            <w:pPr>
              <w:spacing w:before="0" w:after="0"/>
              <w:jc w:val="left"/>
            </w:pPr>
            <w:r>
              <w:rPr>
                <w:b/>
                <w:sz w:val="18"/>
                <w:szCs w:val="18"/>
              </w:rPr>
              <w:t xml:space="preserve">Total liabilities</w:t>
            </w:r>
          </w:p>
        </w:tc>
        <w:tc>
          <w:tcPr>
            <w:tcW w:w="800" w:type="dxa"/>
            <w:vAlign w:val="center"/>
          </w:tcPr>
          <w:p>
            <w:pPr>
              <w:spacing w:before="0" w:after="0"/>
              <w:jc w:val="left"/>
            </w:pPr>
            <w:r>
              <w:rPr>
                <w:b/>
                <w:sz w:val="18"/>
                <w:szCs w:val="18"/>
              </w:rPr>
              <w:t xml:space="preserve"/>
            </w:r>
          </w:p>
        </w:tc>
        <w:tc>
          <w:tcPr>
            <w:tcW w:w="1700" w:type="dxa"/>
            <w:vAlign w:val="center"/>
          </w:tcPr>
          <w:p>
            <w:pPr>
              <w:spacing w:before="0" w:after="0"/>
              <w:jc w:val="right"/>
            </w:pPr>
            <w:r>
              <w:rPr>
                <w:b/>
                <w:sz w:val="18"/>
                <w:szCs w:val="18"/>
              </w:rPr>
              <w:t xml:space="preserve">217,993</w:t>
            </w:r>
          </w:p>
        </w:tc>
        <w:tc>
          <w:tcPr>
            <w:tcW w:w="1700" w:type="dxa"/>
            <w:vAlign w:val="center"/>
          </w:tcPr>
          <w:p>
            <w:pPr>
              <w:spacing w:before="0" w:after="0"/>
              <w:jc w:val="right"/>
            </w:pPr>
            <w:r>
              <w:rPr>
                <w:b/>
                <w:sz w:val="18"/>
                <w:szCs w:val="18"/>
              </w:rPr>
              <w:t xml:space="preserve">245,054</w:t>
            </w:r>
          </w:p>
        </w:tc>
      </w:tr>
      <w:tr>
        <w:tc>
          <w:tcPr>
            <w:tcW w:w="4872" w:type="dxa"/>
            <w:vAlign w:val="center"/>
          </w:tcPr>
          <w:p>
            <w:pPr>
              <w:spacing w:before="0" w:after="0"/>
              <w:jc w:val="left"/>
            </w:pPr>
            <w:r>
              <w:rPr>
                <w:b/>
                <w:sz w:val="18"/>
                <w:szCs w:val="18"/>
              </w:rPr>
              <w:t xml:space="preserve">Stockholders' equity</w:t>
            </w:r>
          </w:p>
        </w:tc>
        <w:tc>
          <w:tcPr>
            <w:tcW w:w="800" w:type="dxa"/>
            <w:vAlign w:val="center"/>
          </w:tcPr>
          <w:p>
            <w:pPr>
              <w:spacing w:before="0" w:after="0"/>
              <w:jc w:val="left"/>
            </w:pPr>
            <w:r>
              <w:rPr>
                <w:b/>
                <w:sz w:val="18"/>
                <w:szCs w:val="18"/>
              </w:rPr>
              <w:t xml:space="preserve"/>
            </w:r>
          </w:p>
        </w:tc>
        <w:tc>
          <w:tcPr>
            <w:tcW w:w="1700" w:type="dxa"/>
            <w:vAlign w:val="center"/>
          </w:tcPr>
          <w:p>
            <w:pPr>
              <w:spacing w:before="0" w:after="0"/>
              <w:jc w:val="right"/>
            </w:pPr>
            <w:r>
              <w:rPr>
                <w:b/>
                <w:sz w:val="18"/>
                <w:szCs w:val="18"/>
              </w:rPr>
              <w:t xml:space="preserve"/>
            </w:r>
          </w:p>
        </w:tc>
        <w:tc>
          <w:tcPr>
            <w:tcW w:w="1700" w:type="dxa"/>
            <w:vAlign w:val="center"/>
          </w:tcPr>
          <w:p>
            <w:pPr>
              <w:spacing w:before="0" w:after="0"/>
              <w:jc w:val="right"/>
            </w:pPr>
            <w:r>
              <w:rPr>
                <w:b/>
                <w:sz w:val="18"/>
                <w:szCs w:val="18"/>
              </w:rPr>
              <w:t xml:space="preserve"/>
            </w:r>
          </w:p>
        </w:tc>
      </w:tr>
      <w:tr>
        <w:tc>
          <w:tcPr>
            <w:tcW w:w="4872" w:type="dxa"/>
            <w:vAlign w:val="center"/>
          </w:tcPr>
          <w:p>
            <w:pPr>
              <w:spacing w:before="0" w:after="0"/>
              <w:jc w:val="left"/>
            </w:pPr>
            <w:r>
              <w:rPr>
                <w:sz w:val="18"/>
                <w:szCs w:val="18"/>
              </w:rPr>
              <w:t xml:space="preserve">Common stock</w:t>
            </w:r>
          </w:p>
        </w:tc>
        <w:tc>
          <w:tcPr>
            <w:tcW w:w="800" w:type="dxa"/>
            <w:vAlign w:val="center"/>
          </w:tcPr>
          <w:p>
            <w:pPr>
              <w:spacing w:before="0" w:after="0"/>
              <w:jc w:val="left"/>
            </w:pPr>
            <w:r>
              <w:rPr>
                <w:sz w:val="18"/>
                <w:szCs w:val="18"/>
              </w:rPr>
              <w:t xml:space="preserve"/>
            </w:r>
          </w:p>
        </w:tc>
        <w:tc>
          <w:tcPr>
            <w:tcW w:w="1700" w:type="dxa"/>
            <w:vAlign w:val="center"/>
          </w:tcPr>
          <w:p>
            <w:pPr>
              <w:spacing w:before="0" w:after="0"/>
              <w:jc w:val="right"/>
            </w:pPr>
            <w:r>
              <w:rPr>
                <w:sz w:val="18"/>
                <w:szCs w:val="18"/>
              </w:rPr>
              <w:t xml:space="preserve">388</w:t>
            </w:r>
          </w:p>
        </w:tc>
        <w:tc>
          <w:tcPr>
            <w:tcW w:w="1700" w:type="dxa"/>
            <w:vAlign w:val="center"/>
          </w:tcPr>
          <w:p>
            <w:pPr>
              <w:spacing w:before="0" w:after="0"/>
              <w:jc w:val="right"/>
            </w:pPr>
            <w:r>
              <w:rPr>
                <w:sz w:val="18"/>
                <w:szCs w:val="18"/>
              </w:rPr>
              <w:t xml:space="preserve">424</w:t>
            </w:r>
          </w:p>
        </w:tc>
      </w:tr>
      <w:tr>
        <w:tc>
          <w:tcPr>
            <w:tcW w:w="4872" w:type="dxa"/>
            <w:vAlign w:val="center"/>
          </w:tcPr>
          <w:p>
            <w:pPr>
              <w:spacing w:before="0" w:after="0"/>
              <w:jc w:val="left"/>
            </w:pPr>
            <w:r>
              <w:rPr>
                <w:sz w:val="18"/>
                <w:szCs w:val="18"/>
              </w:rPr>
              <w:t xml:space="preserve">Additional paid-in capital</w:t>
            </w:r>
          </w:p>
        </w:tc>
        <w:tc>
          <w:tcPr>
            <w:tcW w:w="800" w:type="dxa"/>
            <w:vAlign w:val="center"/>
          </w:tcPr>
          <w:p>
            <w:pPr>
              <w:spacing w:before="0" w:after="0"/>
              <w:jc w:val="left"/>
            </w:pPr>
            <w:r>
              <w:rPr>
                <w:sz w:val="18"/>
                <w:szCs w:val="18"/>
              </w:rPr>
              <w:t xml:space="preserve">17</w:t>
            </w:r>
          </w:p>
        </w:tc>
        <w:tc>
          <w:tcPr>
            <w:tcW w:w="1700" w:type="dxa"/>
            <w:vAlign w:val="center"/>
          </w:tcPr>
          <w:p>
            <w:pPr>
              <w:spacing w:before="0" w:after="0"/>
              <w:jc w:val="right"/>
            </w:pPr>
            <w:r>
              <w:rPr>
                <w:sz w:val="18"/>
                <w:szCs w:val="18"/>
              </w:rPr>
              <w:t xml:space="preserve">49,036</w:t>
            </w:r>
          </w:p>
        </w:tc>
        <w:tc>
          <w:tcPr>
            <w:tcW w:w="1700" w:type="dxa"/>
            <w:vAlign w:val="center"/>
          </w:tcPr>
          <w:p>
            <w:pPr>
              <w:spacing w:before="0" w:after="0"/>
              <w:jc w:val="right"/>
            </w:pPr>
            <w:r>
              <w:rPr>
                <w:sz w:val="18"/>
                <w:szCs w:val="18"/>
              </w:rPr>
              <w:t xml:space="preserve">50,258</w:t>
            </w:r>
          </w:p>
        </w:tc>
      </w:tr>
      <w:tr>
        <w:tc>
          <w:tcPr>
            <w:tcW w:w="4872" w:type="dxa"/>
            <w:vAlign w:val="center"/>
          </w:tcPr>
          <w:p>
            <w:pPr>
              <w:spacing w:before="0" w:after="0"/>
              <w:jc w:val="left"/>
            </w:pPr>
            <w:r>
              <w:rPr>
                <w:sz w:val="18"/>
                <w:szCs w:val="18"/>
              </w:rPr>
              <w:t xml:space="preserve">Retained earnings</w:t>
            </w:r>
          </w:p>
        </w:tc>
        <w:tc>
          <w:tcPr>
            <w:tcW w:w="800" w:type="dxa"/>
            <w:vAlign w:val="center"/>
          </w:tcPr>
          <w:p>
            <w:pPr>
              <w:spacing w:before="0" w:after="0"/>
              <w:jc w:val="left"/>
            </w:pPr>
            <w:r>
              <w:rPr>
                <w:sz w:val="18"/>
                <w:szCs w:val="18"/>
              </w:rPr>
              <w:t xml:space="preserve"/>
            </w:r>
          </w:p>
        </w:tc>
        <w:tc>
          <w:tcPr>
            <w:tcW w:w="1700" w:type="dxa"/>
            <w:vAlign w:val="center"/>
          </w:tcPr>
          <w:p>
            <w:pPr>
              <w:spacing w:before="0" w:after="0"/>
              <w:jc w:val="right"/>
            </w:pPr>
            <w:r>
              <w:rPr>
                <w:sz w:val="18"/>
                <w:szCs w:val="18"/>
              </w:rPr>
              <w:t xml:space="preserve">102,558</w:t>
            </w:r>
          </w:p>
        </w:tc>
        <w:tc>
          <w:tcPr>
            <w:tcW w:w="1700" w:type="dxa"/>
            <w:vAlign w:val="center"/>
          </w:tcPr>
          <w:p>
            <w:pPr>
              <w:spacing w:before="0" w:after="0"/>
              <w:jc w:val="right"/>
            </w:pPr>
            <w:r>
              <w:rPr>
                <w:sz w:val="18"/>
                <w:szCs w:val="18"/>
              </w:rPr>
              <w:t xml:space="preserve">132,355</w:t>
            </w:r>
          </w:p>
        </w:tc>
      </w:tr>
      <w:tr>
        <w:tc>
          <w:tcPr>
            <w:tcW w:w="4872" w:type="dxa"/>
            <w:vAlign w:val="center"/>
          </w:tcPr>
          <w:p>
            <w:pPr>
              <w:spacing w:before="0" w:after="0"/>
              <w:jc w:val="left"/>
            </w:pPr>
            <w:r>
              <w:rPr>
                <w:sz w:val="18"/>
                <w:szCs w:val="18"/>
              </w:rPr>
              <w:t xml:space="preserve">Treasury stock, at cost</w:t>
            </w:r>
          </w:p>
        </w:tc>
        <w:tc>
          <w:tcPr>
            <w:tcW w:w="800" w:type="dxa"/>
            <w:vAlign w:val="center"/>
          </w:tcPr>
          <w:p>
            <w:pPr>
              <w:spacing w:before="0" w:after="0"/>
              <w:jc w:val="left"/>
            </w:pPr>
            <w:r>
              <w:rPr>
                <w:sz w:val="18"/>
                <w:szCs w:val="18"/>
              </w:rPr>
              <w:t xml:space="preserve"/>
            </w:r>
          </w:p>
        </w:tc>
        <w:tc>
          <w:tcPr>
            <w:tcW w:w="1700" w:type="dxa"/>
            <w:vAlign w:val="center"/>
          </w:tcPr>
          <w:p>
            <w:pPr>
              <w:spacing w:before="0" w:after="0"/>
              <w:jc w:val="right"/>
            </w:pPr>
            <w:r>
              <w:rPr>
                <w:sz w:val="18"/>
                <w:szCs w:val="18"/>
              </w:rPr>
              <w:t xml:space="preserve">(3,649)</w:t>
            </w:r>
          </w:p>
        </w:tc>
        <w:tc>
          <w:tcPr>
            <w:tcW w:w="1700" w:type="dxa"/>
            <w:vAlign w:val="center"/>
          </w:tcPr>
          <w:p>
            <w:pPr>
              <w:spacing w:before="0" w:after="0"/>
              <w:jc w:val="right"/>
            </w:pPr>
            <w:r>
              <w:rPr>
                <w:sz w:val="18"/>
                <w:szCs w:val="18"/>
              </w:rPr>
              <w:t xml:space="preserve">(4,162)</w:t>
            </w:r>
          </w:p>
        </w:tc>
      </w:tr>
      <w:tr>
        <w:tc>
          <w:tcPr>
            <w:tcW w:w="4872" w:type="dxa"/>
            <w:vAlign w:val="center"/>
          </w:tcPr>
          <w:p>
            <w:pPr>
              <w:spacing w:before="0" w:after="0"/>
              <w:jc w:val="left"/>
            </w:pPr>
            <w:r>
              <w:rPr>
                <w:sz w:val="18"/>
                <w:szCs w:val="18"/>
              </w:rPr>
              <w:t xml:space="preserve">Accumulated other comprehensive income (loss)</w:t>
            </w:r>
          </w:p>
        </w:tc>
        <w:tc>
          <w:tcPr>
            <w:tcW w:w="800" w:type="dxa"/>
            <w:vAlign w:val="center"/>
          </w:tcPr>
          <w:p>
            <w:pPr>
              <w:spacing w:before="0" w:after="0"/>
              <w:jc w:val="left"/>
            </w:pPr>
            <w:r>
              <w:rPr>
                <w:sz w:val="18"/>
                <w:szCs w:val="18"/>
              </w:rPr>
              <w:t xml:space="preserve"/>
            </w:r>
          </w:p>
        </w:tc>
        <w:tc>
          <w:tcPr>
            <w:tcW w:w="1700" w:type="dxa"/>
            <w:vAlign w:val="center"/>
          </w:tcPr>
          <w:p>
            <w:pPr>
              <w:spacing w:before="0" w:after="0"/>
              <w:jc w:val="right"/>
            </w:pPr>
            <w:r>
              <w:rPr>
                <w:sz w:val="18"/>
                <w:szCs w:val="18"/>
              </w:rPr>
              <w:t xml:space="preserve">626</w:t>
            </w:r>
          </w:p>
        </w:tc>
        <w:tc>
          <w:tcPr>
            <w:tcW w:w="1700" w:type="dxa"/>
            <w:vAlign w:val="center"/>
          </w:tcPr>
          <w:p>
            <w:pPr>
              <w:spacing w:before="0" w:after="0"/>
              <w:jc w:val="right"/>
            </w:pPr>
            <w:r>
              <w:rPr>
                <w:sz w:val="18"/>
                <w:szCs w:val="18"/>
              </w:rPr>
              <w:t xml:space="preserve">(1,235)</w:t>
            </w:r>
          </w:p>
        </w:tc>
      </w:tr>
      <w:tr>
        <w:tc>
          <w:tcPr>
            <w:tcW w:w="4872" w:type="dxa"/>
            <w:vAlign w:val="center"/>
          </w:tcPr>
          <w:p>
            <w:pPr>
              <w:spacing w:before="0" w:after="0"/>
              <w:jc w:val="left"/>
            </w:pPr>
            <w:r>
              <w:rPr>
                <w:b/>
                <w:sz w:val="18"/>
                <w:szCs w:val="18"/>
              </w:rPr>
              <w:t xml:space="preserve">Total stockholders' equity</w:t>
            </w:r>
          </w:p>
        </w:tc>
        <w:tc>
          <w:tcPr>
            <w:tcW w:w="800" w:type="dxa"/>
            <w:vAlign w:val="center"/>
          </w:tcPr>
          <w:p>
            <w:pPr>
              <w:spacing w:before="0" w:after="0"/>
              <w:jc w:val="left"/>
            </w:pPr>
            <w:r>
              <w:rPr>
                <w:b/>
                <w:sz w:val="18"/>
                <w:szCs w:val="18"/>
              </w:rPr>
              <w:t xml:space="preserve"/>
            </w:r>
          </w:p>
        </w:tc>
        <w:tc>
          <w:tcPr>
            <w:tcW w:w="1700" w:type="dxa"/>
            <w:vAlign w:val="center"/>
          </w:tcPr>
          <w:p>
            <w:pPr>
              <w:spacing w:before="0" w:after="0"/>
              <w:jc w:val="right"/>
            </w:pPr>
            <w:r>
              <w:rPr>
                <w:b/>
                <w:sz w:val="18"/>
                <w:szCs w:val="18"/>
              </w:rPr>
              <w:t xml:space="preserve">148,959</w:t>
            </w:r>
          </w:p>
        </w:tc>
        <w:tc>
          <w:tcPr>
            <w:tcW w:w="1700" w:type="dxa"/>
            <w:vAlign w:val="center"/>
          </w:tcPr>
          <w:p>
            <w:pPr>
              <w:spacing w:before="0" w:after="0"/>
              <w:jc w:val="right"/>
            </w:pPr>
            <w:r>
              <w:rPr>
                <w:b/>
                <w:sz w:val="18"/>
                <w:szCs w:val="18"/>
              </w:rPr>
              <w:t xml:space="preserve">177,640</w:t>
            </w:r>
          </w:p>
        </w:tc>
      </w:tr>
      <w:tr>
        <w:tc>
          <w:tcPr>
            <w:tcW w:w="4872" w:type="dxa"/>
            <w:vAlign w:val="center"/>
          </w:tcPr>
          <w:p>
            <w:pPr>
              <w:spacing w:before="0" w:after="0"/>
              <w:jc w:val="left"/>
            </w:pPr>
            <w:r>
              <w:rPr>
                <w:b/>
                <w:sz w:val="18"/>
                <w:szCs w:val="18"/>
              </w:rPr>
              <w:t xml:space="preserve">Total liabilities and stockholders' equity</w:t>
            </w:r>
          </w:p>
        </w:tc>
        <w:tc>
          <w:tcPr>
            <w:tcW w:w="800" w:type="dxa"/>
            <w:vAlign w:val="center"/>
          </w:tcPr>
          <w:p>
            <w:pPr>
              <w:spacing w:before="0" w:after="0"/>
              <w:jc w:val="left"/>
            </w:pPr>
            <w:r>
              <w:rPr>
                <w:b/>
                <w:sz w:val="18"/>
                <w:szCs w:val="18"/>
              </w:rPr>
              <w:t xml:space="preserve"/>
            </w:r>
          </w:p>
        </w:tc>
        <w:tc>
          <w:tcPr>
            <w:tcW w:w="1700" w:type="dxa"/>
            <w:vAlign w:val="center"/>
          </w:tcPr>
          <w:p>
            <w:pPr>
              <w:spacing w:before="0" w:after="0"/>
              <w:jc w:val="right"/>
            </w:pPr>
            <w:r>
              <w:rPr>
                <w:b/>
                <w:sz w:val="18"/>
                <w:szCs w:val="18"/>
              </w:rPr>
              <w:t xml:space="preserve">366,952</w:t>
            </w:r>
          </w:p>
        </w:tc>
        <w:tc>
          <w:tcPr>
            <w:tcW w:w="1700" w:type="dxa"/>
            <w:vAlign w:val="center"/>
          </w:tcPr>
          <w:p>
            <w:pPr>
              <w:spacing w:before="0" w:after="0"/>
              <w:jc w:val="right"/>
            </w:pPr>
            <w:r>
              <w:rPr>
                <w:b/>
                <w:sz w:val="18"/>
                <w:szCs w:val="18"/>
              </w:rPr>
              <w:t xml:space="preserve">422,694</w:t>
            </w:r>
          </w:p>
        </w:tc>
      </w:tr>
    </w:tbl>
    <w:p>
      <w:pPr/>
    </w:p>
    <w:p>
      <w:r>
        <w:br w:type="page"/>
      </w:r>
    </w:p>
    <w:p>
      <w:pPr>
        <w:pStyle w:val="Heading3"/>
        <w:keepNext/>
      </w:pPr>
      <w:r>
        <w:t xml:space="preserve">Statements of Income</w:t>
      </w:r>
    </w:p>
    <w:p>
      <w:pPr>
        <w:jc w:val="right"/>
      </w:pPr>
      <w:r>
        <w:rPr>
          <w:sz w:val="18"/>
          <w:szCs w:val="18"/>
        </w:rPr>
        <w:t xml:space="preserve">(In thousands of U.S. dollars)</w:t>
      </w:r>
    </w:p>
    <w:tbl>
      <w:tblPr>
        <w:tblW w:w="907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72" w:type="dxa"/>
          <w:right w:w="72" w:type="dxa"/>
        </w:tblCellMar>
      </w:tblPr>
      <w:tblGrid>
        <w:gridCol w:w="4872"/>
        <w:gridCol w:w="800"/>
        <w:gridCol w:w="1700"/>
        <w:gridCol w:w="1700"/>
      </w:tblGrid>
      <w:tr>
        <w:trPr>
          <w:tblHeader/>
        </w:trPr>
        <w:tc>
          <w:tcPr>
            <w:tcW w:w="4872" w:type="dxa"/>
            <w:shd w:val="clear" w:color="auto" w:fill="DDEBF7"/>
            <w:vAlign w:val="center"/>
          </w:tcPr>
          <w:p>
            <w:pPr>
              <w:spacing w:before="0" w:after="0"/>
              <w:jc w:val="center"/>
            </w:pPr>
            <w:r>
              <w:rPr>
                <w:b/>
                <w:sz w:val="18"/>
                <w:szCs w:val="18"/>
              </w:rPr>
              <w:t xml:space="preserve"/>
            </w:r>
          </w:p>
        </w:tc>
        <w:tc>
          <w:tcPr>
            <w:tcW w:w="800" w:type="dxa"/>
            <w:shd w:val="clear" w:color="auto" w:fill="DDEBF7"/>
            <w:vAlign w:val="center"/>
          </w:tcPr>
          <w:p>
            <w:pPr>
              <w:spacing w:before="0" w:after="0"/>
              <w:jc w:val="center"/>
            </w:pPr>
            <w:r>
              <w:rPr>
                <w:b/>
                <w:sz w:val="18"/>
                <w:szCs w:val="18"/>
              </w:rPr>
              <w:t xml:space="preserve">Note</w:t>
            </w:r>
          </w:p>
        </w:tc>
        <w:tc>
          <w:tcPr>
            <w:tcW w:w="1700" w:type="dxa"/>
            <w:shd w:val="clear" w:color="auto" w:fill="DDEBF7"/>
            <w:vAlign w:val="center"/>
          </w:tcPr>
          <w:p>
            <w:pPr>
              <w:spacing w:before="0" w:after="0"/>
              <w:jc w:val="center"/>
            </w:pPr>
            <w:r>
              <w:rPr>
                <w:b/>
                <w:sz w:val="18"/>
                <w:szCs w:val="18"/>
              </w:rPr>
              <w:t xml:space="preserve">Q1 2025</w:t>
            </w:r>
          </w:p>
        </w:tc>
        <w:tc>
          <w:tcPr>
            <w:tcW w:w="1700" w:type="dxa"/>
            <w:shd w:val="clear" w:color="auto" w:fill="DDEBF7"/>
            <w:vAlign w:val="center"/>
          </w:tcPr>
          <w:p>
            <w:pPr>
              <w:spacing w:before="0" w:after="0"/>
              <w:jc w:val="center"/>
            </w:pPr>
            <w:r>
              <w:rPr>
                <w:b/>
                <w:sz w:val="18"/>
                <w:szCs w:val="18"/>
              </w:rPr>
              <w:t xml:space="preserve">Q1 2026</w:t>
            </w:r>
          </w:p>
        </w:tc>
      </w:tr>
      <w:tr>
        <w:tc>
          <w:tcPr>
            <w:tcW w:w="4872" w:type="dxa"/>
            <w:vAlign w:val="center"/>
          </w:tcPr>
          <w:p>
            <w:pPr>
              <w:spacing w:before="0" w:after="0"/>
              <w:jc w:val="left"/>
            </w:pPr>
            <w:r>
              <w:rPr>
                <w:b/>
                <w:sz w:val="18"/>
                <w:szCs w:val="18"/>
              </w:rPr>
              <w:t xml:space="preserve">Revenue</w:t>
            </w:r>
          </w:p>
        </w:tc>
        <w:tc>
          <w:tcPr>
            <w:tcW w:w="800" w:type="dxa"/>
            <w:vAlign w:val="center"/>
          </w:tcPr>
          <w:p>
            <w:pPr>
              <w:spacing w:before="0" w:after="0"/>
              <w:jc w:val="left"/>
            </w:pPr>
            <w:r>
              <w:rPr>
                <w:b/>
                <w:sz w:val="18"/>
                <w:szCs w:val="18"/>
              </w:rPr>
              <w:t xml:space="preserve"/>
            </w:r>
          </w:p>
        </w:tc>
        <w:tc>
          <w:tcPr>
            <w:tcW w:w="1700" w:type="dxa"/>
            <w:vAlign w:val="center"/>
          </w:tcPr>
          <w:p>
            <w:pPr>
              <w:spacing w:before="0" w:after="0"/>
              <w:jc w:val="right"/>
            </w:pPr>
            <w:r>
              <w:rPr>
                <w:b/>
                <w:sz w:val="18"/>
                <w:szCs w:val="18"/>
              </w:rPr>
              <w:t xml:space="preserve"/>
            </w:r>
          </w:p>
        </w:tc>
        <w:tc>
          <w:tcPr>
            <w:tcW w:w="1700" w:type="dxa"/>
            <w:vAlign w:val="center"/>
          </w:tcPr>
          <w:p>
            <w:pPr>
              <w:spacing w:before="0" w:after="0"/>
              <w:jc w:val="right"/>
            </w:pPr>
            <w:r>
              <w:rPr>
                <w:b/>
                <w:sz w:val="18"/>
                <w:szCs w:val="18"/>
              </w:rPr>
              <w:t xml:space="preserve"/>
            </w:r>
          </w:p>
        </w:tc>
      </w:tr>
      <w:tr>
        <w:tc>
          <w:tcPr>
            <w:tcW w:w="4872" w:type="dxa"/>
            <w:vAlign w:val="center"/>
          </w:tcPr>
          <w:p>
            <w:pPr>
              <w:spacing w:before="0" w:after="0"/>
              <w:jc w:val="left"/>
            </w:pPr>
            <w:r>
              <w:rPr>
                <w:sz w:val="18"/>
                <w:szCs w:val="18"/>
              </w:rPr>
              <w:t xml:space="preserve">Company-operated stores</w:t>
            </w:r>
          </w:p>
        </w:tc>
        <w:tc>
          <w:tcPr>
            <w:tcW w:w="800" w:type="dxa"/>
            <w:vAlign w:val="center"/>
          </w:tcPr>
          <w:p>
            <w:pPr>
              <w:spacing w:before="0" w:after="0"/>
              <w:jc w:val="left"/>
            </w:pPr>
            <w:r>
              <w:rPr>
                <w:sz w:val="18"/>
                <w:szCs w:val="18"/>
              </w:rPr>
              <w:t xml:space="preserve"/>
            </w:r>
          </w:p>
        </w:tc>
        <w:tc>
          <w:tcPr>
            <w:tcW w:w="1700" w:type="dxa"/>
            <w:vAlign w:val="center"/>
          </w:tcPr>
          <w:p>
            <w:pPr>
              <w:spacing w:before="0" w:after="0"/>
              <w:jc w:val="right"/>
            </w:pPr>
            <w:r>
              <w:rPr>
                <w:sz w:val="18"/>
                <w:szCs w:val="18"/>
              </w:rPr>
              <w:t xml:space="preserve">59,384</w:t>
            </w:r>
          </w:p>
        </w:tc>
        <w:tc>
          <w:tcPr>
            <w:tcW w:w="1700" w:type="dxa"/>
            <w:vAlign w:val="center"/>
          </w:tcPr>
          <w:p>
            <w:pPr>
              <w:spacing w:before="0" w:after="0"/>
              <w:jc w:val="right"/>
            </w:pPr>
            <w:r>
              <w:rPr>
                <w:sz w:val="18"/>
                <w:szCs w:val="18"/>
              </w:rPr>
              <w:t xml:space="preserve">64,735</w:t>
            </w:r>
          </w:p>
        </w:tc>
      </w:tr>
      <w:tr>
        <w:tc>
          <w:tcPr>
            <w:tcW w:w="4872" w:type="dxa"/>
            <w:vAlign w:val="center"/>
          </w:tcPr>
          <w:p>
            <w:pPr>
              <w:spacing w:before="0" w:after="0"/>
              <w:jc w:val="left"/>
            </w:pPr>
            <w:r>
              <w:rPr>
                <w:sz w:val="18"/>
                <w:szCs w:val="18"/>
              </w:rPr>
              <w:t xml:space="preserve">Online store</w:t>
            </w:r>
          </w:p>
        </w:tc>
        <w:tc>
          <w:tcPr>
            <w:tcW w:w="800" w:type="dxa"/>
            <w:vAlign w:val="center"/>
          </w:tcPr>
          <w:p>
            <w:pPr>
              <w:spacing w:before="0" w:after="0"/>
              <w:jc w:val="left"/>
            </w:pPr>
            <w:r>
              <w:rPr>
                <w:sz w:val="18"/>
                <w:szCs w:val="18"/>
              </w:rPr>
              <w:t xml:space="preserve"/>
            </w:r>
          </w:p>
        </w:tc>
        <w:tc>
          <w:tcPr>
            <w:tcW w:w="1700" w:type="dxa"/>
            <w:vAlign w:val="center"/>
          </w:tcPr>
          <w:p>
            <w:pPr>
              <w:spacing w:before="0" w:after="0"/>
              <w:jc w:val="right"/>
            </w:pPr>
            <w:r>
              <w:rPr>
                <w:sz w:val="18"/>
                <w:szCs w:val="18"/>
              </w:rPr>
              <w:t xml:space="preserve">7,767</w:t>
            </w:r>
          </w:p>
        </w:tc>
        <w:tc>
          <w:tcPr>
            <w:tcW w:w="1700" w:type="dxa"/>
            <w:vAlign w:val="center"/>
          </w:tcPr>
          <w:p>
            <w:pPr>
              <w:spacing w:before="0" w:after="0"/>
              <w:jc w:val="right"/>
            </w:pPr>
            <w:r>
              <w:rPr>
                <w:sz w:val="18"/>
                <w:szCs w:val="18"/>
              </w:rPr>
              <w:t xml:space="preserve">8,417</w:t>
            </w:r>
          </w:p>
        </w:tc>
      </w:tr>
      <w:tr>
        <w:tc>
          <w:tcPr>
            <w:tcW w:w="4872" w:type="dxa"/>
            <w:vAlign w:val="center"/>
          </w:tcPr>
          <w:p>
            <w:pPr>
              <w:spacing w:before="0" w:after="0"/>
              <w:jc w:val="left"/>
            </w:pPr>
            <w:r>
              <w:rPr>
                <w:sz w:val="18"/>
                <w:szCs w:val="18"/>
              </w:rPr>
              <w:t xml:space="preserve">Wholesale</w:t>
            </w:r>
          </w:p>
        </w:tc>
        <w:tc>
          <w:tcPr>
            <w:tcW w:w="800" w:type="dxa"/>
            <w:vAlign w:val="center"/>
          </w:tcPr>
          <w:p>
            <w:pPr>
              <w:spacing w:before="0" w:after="0"/>
              <w:jc w:val="left"/>
            </w:pPr>
            <w:r>
              <w:rPr>
                <w:sz w:val="18"/>
                <w:szCs w:val="18"/>
              </w:rPr>
              <w:t xml:space="preserve"/>
            </w:r>
          </w:p>
        </w:tc>
        <w:tc>
          <w:tcPr>
            <w:tcW w:w="1700" w:type="dxa"/>
            <w:vAlign w:val="center"/>
          </w:tcPr>
          <w:p>
            <w:pPr>
              <w:spacing w:before="0" w:after="0"/>
              <w:jc w:val="right"/>
            </w:pPr>
            <w:r>
              <w:rPr>
                <w:sz w:val="18"/>
                <w:szCs w:val="18"/>
              </w:rPr>
              <w:t xml:space="preserve">4,764</w:t>
            </w:r>
          </w:p>
        </w:tc>
        <w:tc>
          <w:tcPr>
            <w:tcW w:w="1700" w:type="dxa"/>
            <w:vAlign w:val="center"/>
          </w:tcPr>
          <w:p>
            <w:pPr>
              <w:spacing w:before="0" w:after="0"/>
              <w:jc w:val="right"/>
            </w:pPr>
            <w:r>
              <w:rPr>
                <w:sz w:val="18"/>
                <w:szCs w:val="18"/>
              </w:rPr>
              <w:t xml:space="preserve">5,348</w:t>
            </w:r>
          </w:p>
        </w:tc>
      </w:tr>
      <w:tr>
        <w:tc>
          <w:tcPr>
            <w:tcW w:w="4872" w:type="dxa"/>
            <w:vAlign w:val="center"/>
          </w:tcPr>
          <w:p>
            <w:pPr>
              <w:spacing w:before="0" w:after="0"/>
              <w:jc w:val="left"/>
            </w:pPr>
            <w:r>
              <w:rPr>
                <w:b/>
                <w:sz w:val="18"/>
                <w:szCs w:val="18"/>
              </w:rPr>
              <w:t xml:space="preserve">Total revenue</w:t>
            </w:r>
          </w:p>
        </w:tc>
        <w:tc>
          <w:tcPr>
            <w:tcW w:w="800" w:type="dxa"/>
            <w:vAlign w:val="center"/>
          </w:tcPr>
          <w:p>
            <w:pPr>
              <w:spacing w:before="0" w:after="0"/>
              <w:jc w:val="left"/>
            </w:pPr>
            <w:r>
              <w:rPr>
                <w:b/>
                <w:sz w:val="18"/>
                <w:szCs w:val="18"/>
              </w:rPr>
              <w:t xml:space="preserve"/>
            </w:r>
          </w:p>
        </w:tc>
        <w:tc>
          <w:tcPr>
            <w:tcW w:w="1700" w:type="dxa"/>
            <w:vAlign w:val="center"/>
          </w:tcPr>
          <w:p>
            <w:pPr>
              <w:spacing w:before="0" w:after="0"/>
              <w:jc w:val="right"/>
            </w:pPr>
            <w:r>
              <w:rPr>
                <w:b/>
                <w:sz w:val="18"/>
                <w:szCs w:val="18"/>
              </w:rPr>
              <w:t xml:space="preserve">71,914</w:t>
            </w:r>
          </w:p>
        </w:tc>
        <w:tc>
          <w:tcPr>
            <w:tcW w:w="1700" w:type="dxa"/>
            <w:vAlign w:val="center"/>
          </w:tcPr>
          <w:p>
            <w:pPr>
              <w:spacing w:before="0" w:after="0"/>
              <w:jc w:val="right"/>
            </w:pPr>
            <w:r>
              <w:rPr>
                <w:b/>
                <w:sz w:val="18"/>
                <w:szCs w:val="18"/>
              </w:rPr>
              <w:t xml:space="preserve">78,500</w:t>
            </w:r>
          </w:p>
        </w:tc>
      </w:tr>
      <w:tr>
        <w:tc>
          <w:tcPr>
            <w:tcW w:w="4872" w:type="dxa"/>
            <w:vAlign w:val="center"/>
          </w:tcPr>
          <w:p>
            <w:pPr>
              <w:spacing w:before="0" w:after="0"/>
              <w:jc w:val="left"/>
            </w:pPr>
            <w:r>
              <w:rPr>
                <w:b/>
                <w:sz w:val="18"/>
                <w:szCs w:val="18"/>
              </w:rPr>
              <w:t xml:space="preserve">Operating expenses</w:t>
            </w:r>
          </w:p>
        </w:tc>
        <w:tc>
          <w:tcPr>
            <w:tcW w:w="800" w:type="dxa"/>
            <w:vAlign w:val="center"/>
          </w:tcPr>
          <w:p>
            <w:pPr>
              <w:spacing w:before="0" w:after="0"/>
              <w:jc w:val="left"/>
            </w:pPr>
            <w:r>
              <w:rPr>
                <w:b/>
                <w:sz w:val="18"/>
                <w:szCs w:val="18"/>
              </w:rPr>
              <w:t xml:space="preserve"/>
            </w:r>
          </w:p>
        </w:tc>
        <w:tc>
          <w:tcPr>
            <w:tcW w:w="1700" w:type="dxa"/>
            <w:vAlign w:val="center"/>
          </w:tcPr>
          <w:p>
            <w:pPr>
              <w:spacing w:before="0" w:after="0"/>
              <w:jc w:val="right"/>
            </w:pPr>
            <w:r>
              <w:rPr>
                <w:b/>
                <w:sz w:val="18"/>
                <w:szCs w:val="18"/>
              </w:rPr>
              <w:t xml:space="preserve"/>
            </w:r>
          </w:p>
        </w:tc>
        <w:tc>
          <w:tcPr>
            <w:tcW w:w="1700" w:type="dxa"/>
            <w:vAlign w:val="center"/>
          </w:tcPr>
          <w:p>
            <w:pPr>
              <w:spacing w:before="0" w:after="0"/>
              <w:jc w:val="right"/>
            </w:pPr>
            <w:r>
              <w:rPr>
                <w:b/>
                <w:sz w:val="18"/>
                <w:szCs w:val="18"/>
              </w:rPr>
              <w:t xml:space="preserve"/>
            </w:r>
          </w:p>
        </w:tc>
      </w:tr>
      <w:tr>
        <w:tc>
          <w:tcPr>
            <w:tcW w:w="4872" w:type="dxa"/>
            <w:vAlign w:val="center"/>
          </w:tcPr>
          <w:p>
            <w:pPr>
              <w:spacing w:before="0" w:after="0"/>
              <w:jc w:val="left"/>
            </w:pPr>
            <w:r>
              <w:rPr>
                <w:sz w:val="18"/>
                <w:szCs w:val="18"/>
              </w:rPr>
              <w:t xml:space="preserve">Product and distribution costs</w:t>
            </w:r>
          </w:p>
        </w:tc>
        <w:tc>
          <w:tcPr>
            <w:tcW w:w="800" w:type="dxa"/>
            <w:vAlign w:val="center"/>
          </w:tcPr>
          <w:p>
            <w:pPr>
              <w:spacing w:before="0" w:after="0"/>
              <w:jc w:val="left"/>
            </w:pPr>
            <w:r>
              <w:rPr>
                <w:sz w:val="18"/>
                <w:szCs w:val="18"/>
              </w:rPr>
              <w:t xml:space="preserve">11</w:t>
            </w:r>
          </w:p>
        </w:tc>
        <w:tc>
          <w:tcPr>
            <w:tcW w:w="1700" w:type="dxa"/>
            <w:vAlign w:val="center"/>
          </w:tcPr>
          <w:p>
            <w:pPr>
              <w:spacing w:before="0" w:after="0"/>
              <w:jc w:val="right"/>
            </w:pPr>
            <w:r>
              <w:rPr>
                <w:sz w:val="18"/>
                <w:szCs w:val="18"/>
              </w:rPr>
              <w:t xml:space="preserve">21,178</w:t>
            </w:r>
          </w:p>
        </w:tc>
        <w:tc>
          <w:tcPr>
            <w:tcW w:w="1700" w:type="dxa"/>
            <w:vAlign w:val="center"/>
          </w:tcPr>
          <w:p>
            <w:pPr>
              <w:spacing w:before="0" w:after="0"/>
              <w:jc w:val="right"/>
            </w:pPr>
            <w:r>
              <w:rPr>
                <w:sz w:val="18"/>
                <w:szCs w:val="18"/>
              </w:rPr>
              <w:t xml:space="preserve">22,989</w:t>
            </w:r>
          </w:p>
        </w:tc>
      </w:tr>
      <w:tr>
        <w:tc>
          <w:tcPr>
            <w:tcW w:w="4872" w:type="dxa"/>
            <w:vAlign w:val="center"/>
          </w:tcPr>
          <w:p>
            <w:pPr>
              <w:spacing w:before="0" w:after="0"/>
              <w:jc w:val="left"/>
            </w:pPr>
            <w:r>
              <w:rPr>
                <w:sz w:val="18"/>
                <w:szCs w:val="18"/>
              </w:rPr>
              <w:t xml:space="preserve">Store operating expenses</w:t>
            </w:r>
          </w:p>
        </w:tc>
        <w:tc>
          <w:tcPr>
            <w:tcW w:w="800" w:type="dxa"/>
            <w:vAlign w:val="center"/>
          </w:tcPr>
          <w:p>
            <w:pPr>
              <w:spacing w:before="0" w:after="0"/>
              <w:jc w:val="left"/>
            </w:pPr>
            <w:r>
              <w:rPr>
                <w:sz w:val="18"/>
                <w:szCs w:val="18"/>
              </w:rPr>
              <w:t xml:space="preserve"/>
            </w:r>
          </w:p>
        </w:tc>
        <w:tc>
          <w:tcPr>
            <w:tcW w:w="1700" w:type="dxa"/>
            <w:vAlign w:val="center"/>
          </w:tcPr>
          <w:p>
            <w:pPr>
              <w:spacing w:before="0" w:after="0"/>
              <w:jc w:val="right"/>
            </w:pPr>
            <w:r>
              <w:rPr>
                <w:sz w:val="18"/>
                <w:szCs w:val="18"/>
              </w:rPr>
              <w:t xml:space="preserve">23,906</w:t>
            </w:r>
          </w:p>
        </w:tc>
        <w:tc>
          <w:tcPr>
            <w:tcW w:w="1700" w:type="dxa"/>
            <w:vAlign w:val="center"/>
          </w:tcPr>
          <w:p>
            <w:pPr>
              <w:spacing w:before="0" w:after="0"/>
              <w:jc w:val="right"/>
            </w:pPr>
            <w:r>
              <w:rPr>
                <w:sz w:val="18"/>
                <w:szCs w:val="18"/>
              </w:rPr>
              <w:t xml:space="preserve">27,104</w:t>
            </w:r>
          </w:p>
        </w:tc>
      </w:tr>
      <w:tr>
        <w:tc>
          <w:tcPr>
            <w:tcW w:w="4872" w:type="dxa"/>
            <w:vAlign w:val="center"/>
          </w:tcPr>
          <w:p>
            <w:pPr>
              <w:spacing w:before="0" w:after="0"/>
              <w:jc w:val="left"/>
            </w:pPr>
            <w:r>
              <w:rPr>
                <w:sz w:val="18"/>
                <w:szCs w:val="18"/>
              </w:rPr>
              <w:t xml:space="preserve">Occupancy costs</w:t>
            </w:r>
          </w:p>
        </w:tc>
        <w:tc>
          <w:tcPr>
            <w:tcW w:w="800" w:type="dxa"/>
            <w:vAlign w:val="center"/>
          </w:tcPr>
          <w:p>
            <w:pPr>
              <w:spacing w:before="0" w:after="0"/>
              <w:jc w:val="left"/>
            </w:pPr>
            <w:r>
              <w:rPr>
                <w:sz w:val="18"/>
                <w:szCs w:val="18"/>
              </w:rPr>
              <w:t xml:space="preserve"/>
            </w:r>
          </w:p>
        </w:tc>
        <w:tc>
          <w:tcPr>
            <w:tcW w:w="1700" w:type="dxa"/>
            <w:vAlign w:val="center"/>
          </w:tcPr>
          <w:p>
            <w:pPr>
              <w:spacing w:before="0" w:after="0"/>
              <w:jc w:val="right"/>
            </w:pPr>
            <w:r>
              <w:rPr>
                <w:sz w:val="18"/>
                <w:szCs w:val="18"/>
              </w:rPr>
              <w:t xml:space="preserve">8,427</w:t>
            </w:r>
          </w:p>
        </w:tc>
        <w:tc>
          <w:tcPr>
            <w:tcW w:w="1700" w:type="dxa"/>
            <w:vAlign w:val="center"/>
          </w:tcPr>
          <w:p>
            <w:pPr>
              <w:spacing w:before="0" w:after="0"/>
              <w:jc w:val="right"/>
            </w:pPr>
            <w:r>
              <w:rPr>
                <w:sz w:val="18"/>
                <w:szCs w:val="18"/>
              </w:rPr>
              <w:t xml:space="preserve">8,877</w:t>
            </w:r>
          </w:p>
        </w:tc>
      </w:tr>
      <w:tr>
        <w:tc>
          <w:tcPr>
            <w:tcW w:w="4872" w:type="dxa"/>
            <w:vAlign w:val="center"/>
          </w:tcPr>
          <w:p>
            <w:pPr>
              <w:spacing w:before="0" w:after="0"/>
              <w:jc w:val="left"/>
            </w:pPr>
            <w:r>
              <w:rPr>
                <w:sz w:val="18"/>
                <w:szCs w:val="18"/>
              </w:rPr>
              <w:t xml:space="preserve">Depreciation and amortization</w:t>
            </w:r>
          </w:p>
        </w:tc>
        <w:tc>
          <w:tcPr>
            <w:tcW w:w="800" w:type="dxa"/>
            <w:vAlign w:val="center"/>
          </w:tcPr>
          <w:p>
            <w:pPr>
              <w:spacing w:before="0" w:after="0"/>
              <w:jc w:val="left"/>
            </w:pPr>
            <w:r>
              <w:rPr>
                <w:sz w:val="18"/>
                <w:szCs w:val="18"/>
              </w:rPr>
              <w:t xml:space="preserve"/>
            </w:r>
          </w:p>
        </w:tc>
        <w:tc>
          <w:tcPr>
            <w:tcW w:w="1700" w:type="dxa"/>
            <w:vAlign w:val="center"/>
          </w:tcPr>
          <w:p>
            <w:pPr>
              <w:spacing w:before="0" w:after="0"/>
              <w:jc w:val="right"/>
            </w:pPr>
            <w:r>
              <w:rPr>
                <w:sz w:val="18"/>
                <w:szCs w:val="18"/>
              </w:rPr>
              <w:t xml:space="preserve">3,620</w:t>
            </w:r>
          </w:p>
        </w:tc>
        <w:tc>
          <w:tcPr>
            <w:tcW w:w="1700" w:type="dxa"/>
            <w:vAlign w:val="center"/>
          </w:tcPr>
          <w:p>
            <w:pPr>
              <w:spacing w:before="0" w:after="0"/>
              <w:jc w:val="right"/>
            </w:pPr>
            <w:r>
              <w:rPr>
                <w:sz w:val="18"/>
                <w:szCs w:val="18"/>
              </w:rPr>
              <w:t xml:space="preserve">3,941</w:t>
            </w:r>
          </w:p>
        </w:tc>
      </w:tr>
      <w:tr>
        <w:tc>
          <w:tcPr>
            <w:tcW w:w="4872" w:type="dxa"/>
            <w:vAlign w:val="center"/>
          </w:tcPr>
          <w:p>
            <w:pPr>
              <w:spacing w:before="0" w:after="0"/>
              <w:jc w:val="left"/>
            </w:pPr>
            <w:r>
              <w:rPr>
                <w:sz w:val="18"/>
                <w:szCs w:val="18"/>
              </w:rPr>
              <w:t xml:space="preserve">General and administrative expenses</w:t>
            </w:r>
          </w:p>
        </w:tc>
        <w:tc>
          <w:tcPr>
            <w:tcW w:w="800" w:type="dxa"/>
            <w:vAlign w:val="center"/>
          </w:tcPr>
          <w:p>
            <w:pPr>
              <w:spacing w:before="0" w:after="0"/>
              <w:jc w:val="left"/>
            </w:pPr>
            <w:r>
              <w:rPr>
                <w:sz w:val="18"/>
                <w:szCs w:val="18"/>
              </w:rPr>
              <w:t xml:space="preserve"/>
            </w:r>
          </w:p>
        </w:tc>
        <w:tc>
          <w:tcPr>
            <w:tcW w:w="1700" w:type="dxa"/>
            <w:vAlign w:val="center"/>
          </w:tcPr>
          <w:p>
            <w:pPr>
              <w:spacing w:before="0" w:after="0"/>
              <w:jc w:val="right"/>
            </w:pPr>
            <w:r>
              <w:rPr>
                <w:sz w:val="18"/>
                <w:szCs w:val="18"/>
              </w:rPr>
              <w:t xml:space="preserve">4,548</w:t>
            </w:r>
          </w:p>
        </w:tc>
        <w:tc>
          <w:tcPr>
            <w:tcW w:w="1700" w:type="dxa"/>
            <w:vAlign w:val="center"/>
          </w:tcPr>
          <w:p>
            <w:pPr>
              <w:spacing w:before="0" w:after="0"/>
              <w:jc w:val="right"/>
            </w:pPr>
            <w:r>
              <w:rPr>
                <w:sz w:val="18"/>
                <w:szCs w:val="18"/>
              </w:rPr>
              <w:t xml:space="preserve">4,842</w:t>
            </w:r>
          </w:p>
        </w:tc>
      </w:tr>
      <w:tr>
        <w:tc>
          <w:tcPr>
            <w:tcW w:w="4872" w:type="dxa"/>
            <w:vAlign w:val="center"/>
          </w:tcPr>
          <w:p>
            <w:pPr>
              <w:spacing w:before="0" w:after="0"/>
              <w:jc w:val="left"/>
            </w:pPr>
            <w:r>
              <w:rPr>
                <w:sz w:val="18"/>
                <w:szCs w:val="18"/>
              </w:rPr>
              <w:t xml:space="preserve">Store opening expenses</w:t>
            </w:r>
          </w:p>
        </w:tc>
        <w:tc>
          <w:tcPr>
            <w:tcW w:w="800" w:type="dxa"/>
            <w:vAlign w:val="center"/>
          </w:tcPr>
          <w:p>
            <w:pPr>
              <w:spacing w:before="0" w:after="0"/>
              <w:jc w:val="left"/>
            </w:pPr>
            <w:r>
              <w:rPr>
                <w:sz w:val="18"/>
                <w:szCs w:val="18"/>
              </w:rPr>
              <w:t xml:space="preserve"/>
            </w:r>
          </w:p>
        </w:tc>
        <w:tc>
          <w:tcPr>
            <w:tcW w:w="1700" w:type="dxa"/>
            <w:vAlign w:val="center"/>
          </w:tcPr>
          <w:p>
            <w:pPr>
              <w:spacing w:before="0" w:after="0"/>
              <w:jc w:val="right"/>
            </w:pPr>
            <w:r>
              <w:rPr>
                <w:sz w:val="18"/>
                <w:szCs w:val="18"/>
              </w:rPr>
              <w:t xml:space="preserve">464</w:t>
            </w:r>
          </w:p>
        </w:tc>
        <w:tc>
          <w:tcPr>
            <w:tcW w:w="1700" w:type="dxa"/>
            <w:vAlign w:val="center"/>
          </w:tcPr>
          <w:p>
            <w:pPr>
              <w:spacing w:before="0" w:after="0"/>
              <w:jc w:val="right"/>
            </w:pPr>
            <w:r>
              <w:rPr>
                <w:sz w:val="18"/>
                <w:szCs w:val="18"/>
              </w:rPr>
              <w:t xml:space="preserve">357</w:t>
            </w:r>
          </w:p>
        </w:tc>
      </w:tr>
      <w:tr>
        <w:tc>
          <w:tcPr>
            <w:tcW w:w="4872" w:type="dxa"/>
            <w:vAlign w:val="center"/>
          </w:tcPr>
          <w:p>
            <w:pPr>
              <w:spacing w:before="0" w:after="0"/>
              <w:jc w:val="left"/>
            </w:pPr>
            <w:r>
              <w:rPr>
                <w:b/>
                <w:sz w:val="18"/>
                <w:szCs w:val="18"/>
              </w:rPr>
              <w:t xml:space="preserve">Total operating expenses</w:t>
            </w:r>
          </w:p>
        </w:tc>
        <w:tc>
          <w:tcPr>
            <w:tcW w:w="800" w:type="dxa"/>
            <w:vAlign w:val="center"/>
          </w:tcPr>
          <w:p>
            <w:pPr>
              <w:spacing w:before="0" w:after="0"/>
              <w:jc w:val="left"/>
            </w:pPr>
            <w:r>
              <w:rPr>
                <w:b/>
                <w:sz w:val="18"/>
                <w:szCs w:val="18"/>
              </w:rPr>
              <w:t xml:space="preserve"/>
            </w:r>
          </w:p>
        </w:tc>
        <w:tc>
          <w:tcPr>
            <w:tcW w:w="1700" w:type="dxa"/>
            <w:vAlign w:val="center"/>
          </w:tcPr>
          <w:p>
            <w:pPr>
              <w:spacing w:before="0" w:after="0"/>
              <w:jc w:val="right"/>
            </w:pPr>
            <w:r>
              <w:rPr>
                <w:b/>
                <w:sz w:val="18"/>
                <w:szCs w:val="18"/>
              </w:rPr>
              <w:t xml:space="preserve">62,145</w:t>
            </w:r>
          </w:p>
        </w:tc>
        <w:tc>
          <w:tcPr>
            <w:tcW w:w="1700" w:type="dxa"/>
            <w:vAlign w:val="center"/>
          </w:tcPr>
          <w:p>
            <w:pPr>
              <w:spacing w:before="0" w:after="0"/>
              <w:jc w:val="right"/>
            </w:pPr>
            <w:r>
              <w:rPr>
                <w:b/>
                <w:sz w:val="18"/>
                <w:szCs w:val="18"/>
              </w:rPr>
              <w:t xml:space="preserve">68,111</w:t>
            </w:r>
          </w:p>
        </w:tc>
      </w:tr>
      <w:tr>
        <w:tc>
          <w:tcPr>
            <w:tcW w:w="4872" w:type="dxa"/>
            <w:vAlign w:val="center"/>
          </w:tcPr>
          <w:p>
            <w:pPr>
              <w:spacing w:before="0" w:after="0"/>
              <w:jc w:val="left"/>
            </w:pPr>
            <w:r>
              <w:rPr>
                <w:b/>
                <w:sz w:val="18"/>
                <w:szCs w:val="18"/>
              </w:rPr>
              <w:t xml:space="preserve">Operating income</w:t>
            </w:r>
          </w:p>
        </w:tc>
        <w:tc>
          <w:tcPr>
            <w:tcW w:w="800" w:type="dxa"/>
            <w:vAlign w:val="center"/>
          </w:tcPr>
          <w:p>
            <w:pPr>
              <w:spacing w:before="0" w:after="0"/>
              <w:jc w:val="left"/>
            </w:pPr>
            <w:r>
              <w:rPr>
                <w:b/>
                <w:sz w:val="18"/>
                <w:szCs w:val="18"/>
              </w:rPr>
              <w:t xml:space="preserve"/>
            </w:r>
          </w:p>
        </w:tc>
        <w:tc>
          <w:tcPr>
            <w:tcW w:w="1700" w:type="dxa"/>
            <w:vAlign w:val="center"/>
          </w:tcPr>
          <w:p>
            <w:pPr>
              <w:spacing w:before="0" w:after="0"/>
              <w:jc w:val="right"/>
            </w:pPr>
            <w:r>
              <w:rPr>
                <w:b/>
                <w:sz w:val="18"/>
                <w:szCs w:val="18"/>
              </w:rPr>
              <w:t xml:space="preserve">9,770</w:t>
            </w:r>
          </w:p>
        </w:tc>
        <w:tc>
          <w:tcPr>
            <w:tcW w:w="1700" w:type="dxa"/>
            <w:vAlign w:val="center"/>
          </w:tcPr>
          <w:p>
            <w:pPr>
              <w:spacing w:before="0" w:after="0"/>
              <w:jc w:val="right"/>
            </w:pPr>
            <w:r>
              <w:rPr>
                <w:b/>
                <w:sz w:val="18"/>
                <w:szCs w:val="18"/>
              </w:rPr>
              <w:t xml:space="preserve">10,389</w:t>
            </w:r>
          </w:p>
        </w:tc>
      </w:tr>
      <w:tr>
        <w:tc>
          <w:tcPr>
            <w:tcW w:w="4872" w:type="dxa"/>
            <w:vAlign w:val="center"/>
          </w:tcPr>
          <w:p>
            <w:pPr>
              <w:spacing w:before="0" w:after="0"/>
              <w:jc w:val="left"/>
            </w:pPr>
            <w:r>
              <w:rPr>
                <w:sz w:val="18"/>
                <w:szCs w:val="18"/>
              </w:rPr>
              <w:t xml:space="preserve">Interest income</w:t>
            </w:r>
          </w:p>
        </w:tc>
        <w:tc>
          <w:tcPr>
            <w:tcW w:w="800" w:type="dxa"/>
            <w:vAlign w:val="center"/>
          </w:tcPr>
          <w:p>
            <w:pPr>
              <w:spacing w:before="0" w:after="0"/>
              <w:jc w:val="left"/>
            </w:pPr>
            <w:r>
              <w:rPr>
                <w:sz w:val="18"/>
                <w:szCs w:val="18"/>
              </w:rPr>
              <w:t xml:space="preserve"/>
            </w:r>
          </w:p>
        </w:tc>
        <w:tc>
          <w:tcPr>
            <w:tcW w:w="1700" w:type="dxa"/>
            <w:vAlign w:val="center"/>
          </w:tcPr>
          <w:p>
            <w:pPr>
              <w:spacing w:before="0" w:after="0"/>
              <w:jc w:val="right"/>
            </w:pPr>
            <w:r>
              <w:rPr>
                <w:sz w:val="18"/>
                <w:szCs w:val="18"/>
              </w:rPr>
              <w:t xml:space="preserve">72</w:t>
            </w:r>
          </w:p>
        </w:tc>
        <w:tc>
          <w:tcPr>
            <w:tcW w:w="1700" w:type="dxa"/>
            <w:vAlign w:val="center"/>
          </w:tcPr>
          <w:p>
            <w:pPr>
              <w:spacing w:before="0" w:after="0"/>
              <w:jc w:val="right"/>
            </w:pPr>
            <w:r>
              <w:rPr>
                <w:sz w:val="18"/>
                <w:szCs w:val="18"/>
              </w:rPr>
              <w:t xml:space="preserve">78</w:t>
            </w:r>
          </w:p>
        </w:tc>
      </w:tr>
      <w:tr>
        <w:tc>
          <w:tcPr>
            <w:tcW w:w="4872" w:type="dxa"/>
            <w:vAlign w:val="center"/>
          </w:tcPr>
          <w:p>
            <w:pPr>
              <w:spacing w:before="0" w:after="0"/>
              <w:jc w:val="left"/>
            </w:pPr>
            <w:r>
              <w:rPr>
                <w:sz w:val="18"/>
                <w:szCs w:val="18"/>
              </w:rPr>
              <w:t xml:space="preserve">Interest expense</w:t>
            </w:r>
          </w:p>
        </w:tc>
        <w:tc>
          <w:tcPr>
            <w:tcW w:w="800" w:type="dxa"/>
            <w:vAlign w:val="center"/>
          </w:tcPr>
          <w:p>
            <w:pPr>
              <w:spacing w:before="0" w:after="0"/>
              <w:jc w:val="left"/>
            </w:pPr>
            <w:r>
              <w:rPr>
                <w:sz w:val="18"/>
                <w:szCs w:val="18"/>
              </w:rPr>
              <w:t xml:space="preserve"/>
            </w:r>
          </w:p>
        </w:tc>
        <w:tc>
          <w:tcPr>
            <w:tcW w:w="1700" w:type="dxa"/>
            <w:vAlign w:val="center"/>
          </w:tcPr>
          <w:p>
            <w:pPr>
              <w:spacing w:before="0" w:after="0"/>
              <w:jc w:val="right"/>
            </w:pPr>
            <w:r>
              <w:rPr>
                <w:sz w:val="18"/>
                <w:szCs w:val="18"/>
              </w:rPr>
              <w:t xml:space="preserve">(285)</w:t>
            </w:r>
          </w:p>
        </w:tc>
        <w:tc>
          <w:tcPr>
            <w:tcW w:w="1700" w:type="dxa"/>
            <w:vAlign w:val="center"/>
          </w:tcPr>
          <w:p>
            <w:pPr>
              <w:spacing w:before="0" w:after="0"/>
              <w:jc w:val="right"/>
            </w:pPr>
            <w:r>
              <w:rPr>
                <w:sz w:val="18"/>
                <w:szCs w:val="18"/>
              </w:rPr>
              <w:t xml:space="preserve">(277)</w:t>
            </w:r>
          </w:p>
        </w:tc>
      </w:tr>
      <w:tr>
        <w:tc>
          <w:tcPr>
            <w:tcW w:w="4872" w:type="dxa"/>
            <w:vAlign w:val="center"/>
          </w:tcPr>
          <w:p>
            <w:pPr>
              <w:spacing w:before="0" w:after="0"/>
              <w:jc w:val="left"/>
            </w:pPr>
            <w:r>
              <w:rPr>
                <w:sz w:val="18"/>
                <w:szCs w:val="18"/>
              </w:rPr>
              <w:t xml:space="preserve">Other income (expense), net</w:t>
            </w:r>
          </w:p>
        </w:tc>
        <w:tc>
          <w:tcPr>
            <w:tcW w:w="800" w:type="dxa"/>
            <w:vAlign w:val="center"/>
          </w:tcPr>
          <w:p>
            <w:pPr>
              <w:spacing w:before="0" w:after="0"/>
              <w:jc w:val="left"/>
            </w:pPr>
            <w:r>
              <w:rPr>
                <w:sz w:val="18"/>
                <w:szCs w:val="18"/>
              </w:rPr>
              <w:t xml:space="preserve"/>
            </w:r>
          </w:p>
        </w:tc>
        <w:tc>
          <w:tcPr>
            <w:tcW w:w="1700" w:type="dxa"/>
            <w:vAlign w:val="center"/>
          </w:tcPr>
          <w:p>
            <w:pPr>
              <w:spacing w:before="0" w:after="0"/>
              <w:jc w:val="right"/>
            </w:pPr>
            <w:r>
              <w:rPr>
                <w:sz w:val="18"/>
                <w:szCs w:val="18"/>
              </w:rPr>
              <w:t xml:space="preserve">15</w:t>
            </w:r>
          </w:p>
        </w:tc>
        <w:tc>
          <w:tcPr>
            <w:tcW w:w="1700" w:type="dxa"/>
            <w:vAlign w:val="center"/>
          </w:tcPr>
          <w:p>
            <w:pPr>
              <w:spacing w:before="0" w:after="0"/>
              <w:jc w:val="right"/>
            </w:pPr>
            <w:r>
              <w:rPr>
                <w:sz w:val="18"/>
                <w:szCs w:val="18"/>
              </w:rPr>
              <w:t xml:space="preserve">(55)</w:t>
            </w:r>
          </w:p>
        </w:tc>
      </w:tr>
      <w:tr>
        <w:tc>
          <w:tcPr>
            <w:tcW w:w="4872" w:type="dxa"/>
            <w:vAlign w:val="center"/>
          </w:tcPr>
          <w:p>
            <w:pPr>
              <w:spacing w:before="0" w:after="0"/>
              <w:jc w:val="left"/>
            </w:pPr>
            <w:r>
              <w:rPr>
                <w:b/>
                <w:sz w:val="18"/>
                <w:szCs w:val="18"/>
              </w:rPr>
              <w:t xml:space="preserve">Income before income taxes</w:t>
            </w:r>
          </w:p>
        </w:tc>
        <w:tc>
          <w:tcPr>
            <w:tcW w:w="800" w:type="dxa"/>
            <w:vAlign w:val="center"/>
          </w:tcPr>
          <w:p>
            <w:pPr>
              <w:spacing w:before="0" w:after="0"/>
              <w:jc w:val="left"/>
            </w:pPr>
            <w:r>
              <w:rPr>
                <w:b/>
                <w:sz w:val="18"/>
                <w:szCs w:val="18"/>
              </w:rPr>
              <w:t xml:space="preserve"/>
            </w:r>
          </w:p>
        </w:tc>
        <w:tc>
          <w:tcPr>
            <w:tcW w:w="1700" w:type="dxa"/>
            <w:vAlign w:val="center"/>
          </w:tcPr>
          <w:p>
            <w:pPr>
              <w:spacing w:before="0" w:after="0"/>
              <w:jc w:val="right"/>
            </w:pPr>
            <w:r>
              <w:rPr>
                <w:b/>
                <w:sz w:val="18"/>
                <w:szCs w:val="18"/>
              </w:rPr>
              <w:t xml:space="preserve">9,572</w:t>
            </w:r>
          </w:p>
        </w:tc>
        <w:tc>
          <w:tcPr>
            <w:tcW w:w="1700" w:type="dxa"/>
            <w:vAlign w:val="center"/>
          </w:tcPr>
          <w:p>
            <w:pPr>
              <w:spacing w:before="0" w:after="0"/>
              <w:jc w:val="right"/>
            </w:pPr>
            <w:r>
              <w:rPr>
                <w:b/>
                <w:sz w:val="18"/>
                <w:szCs w:val="18"/>
              </w:rPr>
              <w:t xml:space="preserve">10,136</w:t>
            </w:r>
          </w:p>
        </w:tc>
      </w:tr>
      <w:tr>
        <w:tc>
          <w:tcPr>
            <w:tcW w:w="4872" w:type="dxa"/>
            <w:vAlign w:val="center"/>
          </w:tcPr>
          <w:p>
            <w:pPr>
              <w:spacing w:before="0" w:after="0"/>
              <w:jc w:val="left"/>
            </w:pPr>
            <w:r>
              <w:rPr>
                <w:sz w:val="18"/>
                <w:szCs w:val="18"/>
              </w:rPr>
              <w:t xml:space="preserve">Income tax expense</w:t>
            </w:r>
          </w:p>
        </w:tc>
        <w:tc>
          <w:tcPr>
            <w:tcW w:w="800" w:type="dxa"/>
            <w:vAlign w:val="center"/>
          </w:tcPr>
          <w:p>
            <w:pPr>
              <w:spacing w:before="0" w:after="0"/>
              <w:jc w:val="left"/>
            </w:pPr>
            <w:r>
              <w:rPr>
                <w:sz w:val="18"/>
                <w:szCs w:val="18"/>
              </w:rPr>
              <w:t xml:space="preserve"/>
            </w:r>
          </w:p>
        </w:tc>
        <w:tc>
          <w:tcPr>
            <w:tcW w:w="1700" w:type="dxa"/>
            <w:vAlign w:val="center"/>
          </w:tcPr>
          <w:p>
            <w:pPr>
              <w:spacing w:before="0" w:after="0"/>
              <w:jc w:val="right"/>
            </w:pPr>
            <w:r>
              <w:rPr>
                <w:sz w:val="18"/>
                <w:szCs w:val="18"/>
              </w:rPr>
              <w:t xml:space="preserve">(2,480)</w:t>
            </w:r>
          </w:p>
        </w:tc>
        <w:tc>
          <w:tcPr>
            <w:tcW w:w="1700" w:type="dxa"/>
            <w:vAlign w:val="center"/>
          </w:tcPr>
          <w:p>
            <w:pPr>
              <w:spacing w:before="0" w:after="0"/>
              <w:jc w:val="right"/>
            </w:pPr>
            <w:r>
              <w:rPr>
                <w:sz w:val="18"/>
                <w:szCs w:val="18"/>
              </w:rPr>
              <w:t xml:space="preserve">(2,689)</w:t>
            </w:r>
          </w:p>
        </w:tc>
      </w:tr>
      <w:tr>
        <w:tc>
          <w:tcPr>
            <w:tcW w:w="4872" w:type="dxa"/>
            <w:vAlign w:val="center"/>
          </w:tcPr>
          <w:p>
            <w:pPr>
              <w:spacing w:before="0" w:after="0"/>
              <w:jc w:val="left"/>
            </w:pPr>
            <w:r>
              <w:rPr>
                <w:b/>
                <w:sz w:val="18"/>
                <w:szCs w:val="18"/>
              </w:rPr>
              <w:t xml:space="preserve">Net income</w:t>
            </w:r>
          </w:p>
        </w:tc>
        <w:tc>
          <w:tcPr>
            <w:tcW w:w="800" w:type="dxa"/>
            <w:vAlign w:val="center"/>
          </w:tcPr>
          <w:p>
            <w:pPr>
              <w:spacing w:before="0" w:after="0"/>
              <w:jc w:val="left"/>
            </w:pPr>
            <w:r>
              <w:rPr>
                <w:b/>
                <w:sz w:val="18"/>
                <w:szCs w:val="18"/>
              </w:rPr>
              <w:t xml:space="preserve"/>
            </w:r>
          </w:p>
        </w:tc>
        <w:tc>
          <w:tcPr>
            <w:tcW w:w="1700" w:type="dxa"/>
            <w:vAlign w:val="center"/>
          </w:tcPr>
          <w:p>
            <w:pPr>
              <w:spacing w:before="0" w:after="0"/>
              <w:jc w:val="right"/>
            </w:pPr>
            <w:r>
              <w:rPr>
                <w:b/>
                <w:sz w:val="18"/>
                <w:szCs w:val="18"/>
              </w:rPr>
              <w:t xml:space="preserve">7,091</w:t>
            </w:r>
          </w:p>
        </w:tc>
        <w:tc>
          <w:tcPr>
            <w:tcW w:w="1700" w:type="dxa"/>
            <w:vAlign w:val="center"/>
          </w:tcPr>
          <w:p>
            <w:pPr>
              <w:spacing w:before="0" w:after="0"/>
              <w:jc w:val="right"/>
            </w:pPr>
            <w:r>
              <w:rPr>
                <w:b/>
                <w:sz w:val="18"/>
                <w:szCs w:val="18"/>
              </w:rPr>
              <w:t xml:space="preserve">7,447</w:t>
            </w:r>
          </w:p>
        </w:tc>
      </w:tr>
      <w:tr>
        <w:tc>
          <w:tcPr>
            <w:tcW w:w="4872" w:type="dxa"/>
            <w:vAlign w:val="center"/>
          </w:tcPr>
          <w:p>
            <w:pPr>
              <w:spacing w:before="0" w:after="0"/>
              <w:jc w:val="left"/>
            </w:pPr>
            <w:r>
              <w:rPr>
                <w:sz w:val="18"/>
                <w:szCs w:val="18"/>
              </w:rPr>
              <w:t xml:space="preserve">Earnings per share, basic (in dollars)</w:t>
            </w:r>
          </w:p>
        </w:tc>
        <w:tc>
          <w:tcPr>
            <w:tcW w:w="800" w:type="dxa"/>
            <w:vAlign w:val="center"/>
          </w:tcPr>
          <w:p>
            <w:pPr>
              <w:spacing w:before="0" w:after="0"/>
              <w:jc w:val="left"/>
            </w:pPr>
            <w:r>
              <w:rPr>
                <w:sz w:val="18"/>
                <w:szCs w:val="18"/>
              </w:rPr>
              <w:t xml:space="preserve"/>
            </w:r>
          </w:p>
        </w:tc>
        <w:tc>
          <w:tcPr>
            <w:tcW w:w="1700" w:type="dxa"/>
            <w:vAlign w:val="center"/>
          </w:tcPr>
          <w:p>
            <w:pPr>
              <w:spacing w:before="0" w:after="0"/>
              <w:jc w:val="right"/>
            </w:pPr>
            <w:r>
              <w:rPr>
                <w:sz w:val="18"/>
                <w:szCs w:val="18"/>
              </w:rPr>
              <w:t xml:space="preserve">0.17</w:t>
            </w:r>
          </w:p>
        </w:tc>
        <w:tc>
          <w:tcPr>
            <w:tcW w:w="1700" w:type="dxa"/>
            <w:vAlign w:val="center"/>
          </w:tcPr>
          <w:p>
            <w:pPr>
              <w:spacing w:before="0" w:after="0"/>
              <w:jc w:val="right"/>
            </w:pPr>
            <w:r>
              <w:rPr>
                <w:sz w:val="18"/>
                <w:szCs w:val="18"/>
              </w:rPr>
              <w:t xml:space="preserve">0.18</w:t>
            </w:r>
          </w:p>
        </w:tc>
      </w:tr>
      <w:tr>
        <w:tc>
          <w:tcPr>
            <w:tcW w:w="4872" w:type="dxa"/>
            <w:vAlign w:val="center"/>
          </w:tcPr>
          <w:p>
            <w:pPr>
              <w:spacing w:before="0" w:after="0"/>
              <w:jc w:val="left"/>
            </w:pPr>
            <w:r>
              <w:rPr>
                <w:sz w:val="18"/>
                <w:szCs w:val="18"/>
              </w:rPr>
              <w:t xml:space="preserve">Earnings per share, diluted (in dollars)</w:t>
            </w:r>
          </w:p>
        </w:tc>
        <w:tc>
          <w:tcPr>
            <w:tcW w:w="800" w:type="dxa"/>
            <w:vAlign w:val="center"/>
          </w:tcPr>
          <w:p>
            <w:pPr>
              <w:spacing w:before="0" w:after="0"/>
              <w:jc w:val="left"/>
            </w:pPr>
            <w:r>
              <w:rPr>
                <w:sz w:val="18"/>
                <w:szCs w:val="18"/>
              </w:rPr>
              <w:t xml:space="preserve">4</w:t>
            </w:r>
          </w:p>
        </w:tc>
        <w:tc>
          <w:tcPr>
            <w:tcW w:w="1700" w:type="dxa"/>
            <w:vAlign w:val="center"/>
          </w:tcPr>
          <w:p>
            <w:pPr>
              <w:spacing w:before="0" w:after="0"/>
              <w:jc w:val="right"/>
            </w:pPr>
            <w:r>
              <w:rPr>
                <w:sz w:val="18"/>
                <w:szCs w:val="18"/>
              </w:rPr>
              <w:t xml:space="preserve">0.17</w:t>
            </w:r>
          </w:p>
        </w:tc>
        <w:tc>
          <w:tcPr>
            <w:tcW w:w="1700" w:type="dxa"/>
            <w:vAlign w:val="center"/>
          </w:tcPr>
          <w:p>
            <w:pPr>
              <w:spacing w:before="0" w:after="0"/>
              <w:jc w:val="right"/>
            </w:pPr>
            <w:r>
              <w:rPr>
                <w:sz w:val="18"/>
                <w:szCs w:val="18"/>
              </w:rPr>
              <w:t xml:space="preserve">0.18</w:t>
            </w:r>
          </w:p>
        </w:tc>
      </w:tr>
    </w:tbl>
    <w:p>
      <w:pPr/>
    </w:p>
    <w:p>
      <w:r>
        <w:br w:type="page"/>
      </w:r>
    </w:p>
    <w:p>
      <w:pPr>
        <w:pStyle w:val="Heading3"/>
        <w:keepNext/>
      </w:pPr>
      <w:r>
        <w:t xml:space="preserve">Statements of Cash Flows</w:t>
      </w:r>
    </w:p>
    <w:p>
      <w:pPr>
        <w:jc w:val="right"/>
      </w:pPr>
      <w:r>
        <w:rPr>
          <w:sz w:val="18"/>
          <w:szCs w:val="18"/>
        </w:rPr>
        <w:t xml:space="preserve">(In thousands of U.S. dollars)</w:t>
      </w:r>
    </w:p>
    <w:tbl>
      <w:tblPr>
        <w:tblW w:w="907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72" w:type="dxa"/>
          <w:right w:w="72" w:type="dxa"/>
        </w:tblCellMar>
      </w:tblPr>
      <w:tblGrid>
        <w:gridCol w:w="4872"/>
        <w:gridCol w:w="800"/>
        <w:gridCol w:w="1700"/>
        <w:gridCol w:w="1700"/>
      </w:tblGrid>
      <w:tr>
        <w:trPr>
          <w:tblHeader/>
        </w:trPr>
        <w:tc>
          <w:tcPr>
            <w:tcW w:w="4872" w:type="dxa"/>
            <w:shd w:val="clear" w:color="auto" w:fill="DDEBF7"/>
            <w:vAlign w:val="center"/>
          </w:tcPr>
          <w:p>
            <w:pPr>
              <w:spacing w:before="0" w:after="0"/>
              <w:jc w:val="center"/>
            </w:pPr>
            <w:r>
              <w:rPr>
                <w:b/>
                <w:sz w:val="18"/>
                <w:szCs w:val="18"/>
              </w:rPr>
              <w:t xml:space="preserve"/>
            </w:r>
          </w:p>
        </w:tc>
        <w:tc>
          <w:tcPr>
            <w:tcW w:w="800" w:type="dxa"/>
            <w:shd w:val="clear" w:color="auto" w:fill="DDEBF7"/>
            <w:vAlign w:val="center"/>
          </w:tcPr>
          <w:p>
            <w:pPr>
              <w:spacing w:before="0" w:after="0"/>
              <w:jc w:val="center"/>
            </w:pPr>
            <w:r>
              <w:rPr>
                <w:b/>
                <w:sz w:val="18"/>
                <w:szCs w:val="18"/>
              </w:rPr>
              <w:t xml:space="preserve">Note</w:t>
            </w:r>
          </w:p>
        </w:tc>
        <w:tc>
          <w:tcPr>
            <w:tcW w:w="1700" w:type="dxa"/>
            <w:shd w:val="clear" w:color="auto" w:fill="DDEBF7"/>
            <w:vAlign w:val="center"/>
          </w:tcPr>
          <w:p>
            <w:pPr>
              <w:spacing w:before="0" w:after="0"/>
              <w:jc w:val="center"/>
            </w:pPr>
            <w:r>
              <w:rPr>
                <w:b/>
                <w:sz w:val="18"/>
                <w:szCs w:val="18"/>
              </w:rPr>
              <w:t xml:space="preserve">Q1 2025</w:t>
            </w:r>
          </w:p>
        </w:tc>
        <w:tc>
          <w:tcPr>
            <w:tcW w:w="1700" w:type="dxa"/>
            <w:shd w:val="clear" w:color="auto" w:fill="DDEBF7"/>
            <w:vAlign w:val="center"/>
          </w:tcPr>
          <w:p>
            <w:pPr>
              <w:spacing w:before="0" w:after="0"/>
              <w:jc w:val="center"/>
            </w:pPr>
            <w:r>
              <w:rPr>
                <w:b/>
                <w:sz w:val="18"/>
                <w:szCs w:val="18"/>
              </w:rPr>
              <w:t xml:space="preserve">Q1 2026</w:t>
            </w:r>
          </w:p>
        </w:tc>
      </w:tr>
      <w:tr>
        <w:tc>
          <w:tcPr>
            <w:tcW w:w="4872" w:type="dxa"/>
            <w:vAlign w:val="center"/>
          </w:tcPr>
          <w:p>
            <w:pPr>
              <w:spacing w:before="0" w:after="0"/>
              <w:jc w:val="left"/>
            </w:pPr>
            <w:r>
              <w:rPr>
                <w:b/>
                <w:sz w:val="18"/>
                <w:szCs w:val="18"/>
              </w:rPr>
              <w:t xml:space="preserve">Cash flows from operating activities</w:t>
            </w:r>
          </w:p>
        </w:tc>
        <w:tc>
          <w:tcPr>
            <w:tcW w:w="800" w:type="dxa"/>
            <w:vAlign w:val="center"/>
          </w:tcPr>
          <w:p>
            <w:pPr>
              <w:spacing w:before="0" w:after="0"/>
              <w:jc w:val="left"/>
            </w:pPr>
            <w:r>
              <w:rPr>
                <w:b/>
                <w:sz w:val="18"/>
                <w:szCs w:val="18"/>
              </w:rPr>
              <w:t xml:space="preserve"/>
            </w:r>
          </w:p>
        </w:tc>
        <w:tc>
          <w:tcPr>
            <w:tcW w:w="1700" w:type="dxa"/>
            <w:vAlign w:val="center"/>
          </w:tcPr>
          <w:p>
            <w:pPr>
              <w:spacing w:before="0" w:after="0"/>
              <w:jc w:val="right"/>
            </w:pPr>
            <w:r>
              <w:rPr>
                <w:b/>
                <w:sz w:val="18"/>
                <w:szCs w:val="18"/>
              </w:rPr>
              <w:t xml:space="preserve"/>
            </w:r>
          </w:p>
        </w:tc>
        <w:tc>
          <w:tcPr>
            <w:tcW w:w="1700" w:type="dxa"/>
            <w:vAlign w:val="center"/>
          </w:tcPr>
          <w:p>
            <w:pPr>
              <w:spacing w:before="0" w:after="0"/>
              <w:jc w:val="right"/>
            </w:pPr>
            <w:r>
              <w:rPr>
                <w:b/>
                <w:sz w:val="18"/>
                <w:szCs w:val="18"/>
              </w:rPr>
              <w:t xml:space="preserve"/>
            </w:r>
          </w:p>
        </w:tc>
      </w:tr>
      <w:tr>
        <w:tc>
          <w:tcPr>
            <w:tcW w:w="4872" w:type="dxa"/>
            <w:vAlign w:val="center"/>
          </w:tcPr>
          <w:p>
            <w:pPr>
              <w:spacing w:before="0" w:after="0"/>
              <w:jc w:val="left"/>
            </w:pPr>
            <w:r>
              <w:rPr>
                <w:sz w:val="18"/>
                <w:szCs w:val="18"/>
              </w:rPr>
              <w:t xml:space="preserve">Net income</w:t>
            </w:r>
          </w:p>
        </w:tc>
        <w:tc>
          <w:tcPr>
            <w:tcW w:w="800" w:type="dxa"/>
            <w:vAlign w:val="center"/>
          </w:tcPr>
          <w:p>
            <w:pPr>
              <w:spacing w:before="0" w:after="0"/>
              <w:jc w:val="left"/>
            </w:pPr>
            <w:r>
              <w:rPr>
                <w:sz w:val="18"/>
                <w:szCs w:val="18"/>
              </w:rPr>
              <w:t xml:space="preserve"/>
            </w:r>
          </w:p>
        </w:tc>
        <w:tc>
          <w:tcPr>
            <w:tcW w:w="1700" w:type="dxa"/>
            <w:vAlign w:val="center"/>
          </w:tcPr>
          <w:p>
            <w:pPr>
              <w:spacing w:before="0" w:after="0"/>
              <w:jc w:val="right"/>
            </w:pPr>
            <w:r>
              <w:rPr>
                <w:sz w:val="18"/>
                <w:szCs w:val="18"/>
              </w:rPr>
              <w:t xml:space="preserve">7,091</w:t>
            </w:r>
          </w:p>
        </w:tc>
        <w:tc>
          <w:tcPr>
            <w:tcW w:w="1700" w:type="dxa"/>
            <w:vAlign w:val="center"/>
          </w:tcPr>
          <w:p>
            <w:pPr>
              <w:spacing w:before="0" w:after="0"/>
              <w:jc w:val="right"/>
            </w:pPr>
            <w:r>
              <w:rPr>
                <w:sz w:val="18"/>
                <w:szCs w:val="18"/>
              </w:rPr>
              <w:t xml:space="preserve">7,447</w:t>
            </w:r>
          </w:p>
        </w:tc>
      </w:tr>
      <w:tr>
        <w:tc>
          <w:tcPr>
            <w:tcW w:w="4872" w:type="dxa"/>
            <w:vAlign w:val="center"/>
          </w:tcPr>
          <w:p>
            <w:pPr>
              <w:spacing w:before="0" w:after="0"/>
              <w:jc w:val="left"/>
            </w:pPr>
            <w:r>
              <w:rPr>
                <w:sz w:val="18"/>
                <w:szCs w:val="18"/>
              </w:rPr>
              <w:t xml:space="preserve">Depreciation and amortization</w:t>
            </w:r>
          </w:p>
        </w:tc>
        <w:tc>
          <w:tcPr>
            <w:tcW w:w="800" w:type="dxa"/>
            <w:vAlign w:val="center"/>
          </w:tcPr>
          <w:p>
            <w:pPr>
              <w:spacing w:before="0" w:after="0"/>
              <w:jc w:val="left"/>
            </w:pPr>
            <w:r>
              <w:rPr>
                <w:sz w:val="18"/>
                <w:szCs w:val="18"/>
              </w:rPr>
              <w:t xml:space="preserve"/>
            </w:r>
          </w:p>
        </w:tc>
        <w:tc>
          <w:tcPr>
            <w:tcW w:w="1700" w:type="dxa"/>
            <w:vAlign w:val="center"/>
          </w:tcPr>
          <w:p>
            <w:pPr>
              <w:spacing w:before="0" w:after="0"/>
              <w:jc w:val="right"/>
            </w:pPr>
            <w:r>
              <w:rPr>
                <w:sz w:val="18"/>
                <w:szCs w:val="18"/>
              </w:rPr>
              <w:t xml:space="preserve">3,620</w:t>
            </w:r>
          </w:p>
        </w:tc>
        <w:tc>
          <w:tcPr>
            <w:tcW w:w="1700" w:type="dxa"/>
            <w:vAlign w:val="center"/>
          </w:tcPr>
          <w:p>
            <w:pPr>
              <w:spacing w:before="0" w:after="0"/>
              <w:jc w:val="right"/>
            </w:pPr>
            <w:r>
              <w:rPr>
                <w:sz w:val="18"/>
                <w:szCs w:val="18"/>
              </w:rPr>
              <w:t xml:space="preserve">3,941</w:t>
            </w:r>
          </w:p>
        </w:tc>
      </w:tr>
      <w:tr>
        <w:tc>
          <w:tcPr>
            <w:tcW w:w="4872" w:type="dxa"/>
            <w:vAlign w:val="center"/>
          </w:tcPr>
          <w:p>
            <w:pPr>
              <w:spacing w:before="0" w:after="0"/>
              <w:jc w:val="left"/>
            </w:pPr>
            <w:r>
              <w:rPr>
                <w:sz w:val="18"/>
                <w:szCs w:val="18"/>
              </w:rPr>
              <w:t xml:space="preserve">Stock-based compensation</w:t>
            </w:r>
          </w:p>
        </w:tc>
        <w:tc>
          <w:tcPr>
            <w:tcW w:w="800" w:type="dxa"/>
            <w:vAlign w:val="center"/>
          </w:tcPr>
          <w:p>
            <w:pPr>
              <w:spacing w:before="0" w:after="0"/>
              <w:jc w:val="left"/>
            </w:pPr>
            <w:r>
              <w:rPr>
                <w:sz w:val="18"/>
                <w:szCs w:val="18"/>
              </w:rPr>
              <w:t xml:space="preserve"/>
            </w:r>
          </w:p>
        </w:tc>
        <w:tc>
          <w:tcPr>
            <w:tcW w:w="1700" w:type="dxa"/>
            <w:vAlign w:val="center"/>
          </w:tcPr>
          <w:p>
            <w:pPr>
              <w:spacing w:before="0" w:after="0"/>
              <w:jc w:val="right"/>
            </w:pPr>
            <w:r>
              <w:rPr>
                <w:sz w:val="18"/>
                <w:szCs w:val="18"/>
              </w:rPr>
              <w:t xml:space="preserve">431</w:t>
            </w:r>
          </w:p>
        </w:tc>
        <w:tc>
          <w:tcPr>
            <w:tcW w:w="1700" w:type="dxa"/>
            <w:vAlign w:val="center"/>
          </w:tcPr>
          <w:p>
            <w:pPr>
              <w:spacing w:before="0" w:after="0"/>
              <w:jc w:val="right"/>
            </w:pPr>
            <w:r>
              <w:rPr>
                <w:sz w:val="18"/>
                <w:szCs w:val="18"/>
              </w:rPr>
              <w:t xml:space="preserve">471</w:t>
            </w:r>
          </w:p>
        </w:tc>
      </w:tr>
      <w:tr>
        <w:tc>
          <w:tcPr>
            <w:tcW w:w="4872" w:type="dxa"/>
            <w:vAlign w:val="center"/>
          </w:tcPr>
          <w:p>
            <w:pPr>
              <w:spacing w:before="0" w:after="0"/>
              <w:jc w:val="left"/>
            </w:pPr>
            <w:r>
              <w:rPr>
                <w:sz w:val="18"/>
                <w:szCs w:val="18"/>
              </w:rPr>
              <w:t xml:space="preserve">Deferred income taxes</w:t>
            </w:r>
          </w:p>
        </w:tc>
        <w:tc>
          <w:tcPr>
            <w:tcW w:w="800" w:type="dxa"/>
            <w:vAlign w:val="center"/>
          </w:tcPr>
          <w:p>
            <w:pPr>
              <w:spacing w:before="0" w:after="0"/>
              <w:jc w:val="left"/>
            </w:pPr>
            <w:r>
              <w:rPr>
                <w:sz w:val="18"/>
                <w:szCs w:val="18"/>
              </w:rPr>
              <w:t xml:space="preserve"/>
            </w:r>
          </w:p>
        </w:tc>
        <w:tc>
          <w:tcPr>
            <w:tcW w:w="1700" w:type="dxa"/>
            <w:vAlign w:val="center"/>
          </w:tcPr>
          <w:p>
            <w:pPr>
              <w:spacing w:before="0" w:after="0"/>
              <w:jc w:val="right"/>
            </w:pPr>
            <w:r>
              <w:rPr>
                <w:sz w:val="18"/>
                <w:szCs w:val="18"/>
              </w:rPr>
              <w:t xml:space="preserve">175</w:t>
            </w:r>
          </w:p>
        </w:tc>
        <w:tc>
          <w:tcPr>
            <w:tcW w:w="1700" w:type="dxa"/>
            <w:vAlign w:val="center"/>
          </w:tcPr>
          <w:p>
            <w:pPr>
              <w:spacing w:before="0" w:after="0"/>
              <w:jc w:val="right"/>
            </w:pPr>
            <w:r>
              <w:rPr>
                <w:sz w:val="18"/>
                <w:szCs w:val="18"/>
              </w:rPr>
              <w:t xml:space="preserve">60</w:t>
            </w:r>
          </w:p>
        </w:tc>
      </w:tr>
      <w:tr>
        <w:tc>
          <w:tcPr>
            <w:tcW w:w="4872" w:type="dxa"/>
            <w:vAlign w:val="center"/>
          </w:tcPr>
          <w:p>
            <w:pPr>
              <w:spacing w:before="0" w:after="0"/>
              <w:jc w:val="left"/>
            </w:pPr>
            <w:r>
              <w:rPr>
                <w:sz w:val="18"/>
                <w:szCs w:val="18"/>
              </w:rPr>
              <w:t xml:space="preserve">Inventories</w:t>
            </w:r>
          </w:p>
        </w:tc>
        <w:tc>
          <w:tcPr>
            <w:tcW w:w="800" w:type="dxa"/>
            <w:vAlign w:val="center"/>
          </w:tcPr>
          <w:p>
            <w:pPr>
              <w:spacing w:before="0" w:after="0"/>
              <w:jc w:val="left"/>
            </w:pPr>
            <w:r>
              <w:rPr>
                <w:sz w:val="18"/>
                <w:szCs w:val="18"/>
              </w:rPr>
              <w:t xml:space="preserve"/>
            </w:r>
          </w:p>
        </w:tc>
        <w:tc>
          <w:tcPr>
            <w:tcW w:w="1700" w:type="dxa"/>
            <w:vAlign w:val="center"/>
          </w:tcPr>
          <w:p>
            <w:pPr>
              <w:spacing w:before="0" w:after="0"/>
              <w:jc w:val="right"/>
            </w:pPr>
            <w:r>
              <w:rPr>
                <w:sz w:val="18"/>
                <w:szCs w:val="18"/>
              </w:rPr>
              <w:t xml:space="preserve">(148)</w:t>
            </w:r>
          </w:p>
        </w:tc>
        <w:tc>
          <w:tcPr>
            <w:tcW w:w="1700" w:type="dxa"/>
            <w:vAlign w:val="center"/>
          </w:tcPr>
          <w:p>
            <w:pPr>
              <w:spacing w:before="0" w:after="0"/>
              <w:jc w:val="right"/>
            </w:pPr>
            <w:r>
              <w:rPr>
                <w:sz w:val="18"/>
                <w:szCs w:val="18"/>
              </w:rPr>
              <w:t xml:space="preserve">(290)</w:t>
            </w:r>
          </w:p>
        </w:tc>
      </w:tr>
      <w:tr>
        <w:tc>
          <w:tcPr>
            <w:tcW w:w="4872" w:type="dxa"/>
            <w:vAlign w:val="center"/>
          </w:tcPr>
          <w:p>
            <w:pPr>
              <w:spacing w:before="0" w:after="0"/>
              <w:jc w:val="left"/>
            </w:pPr>
            <w:r>
              <w:rPr>
                <w:sz w:val="18"/>
                <w:szCs w:val="18"/>
              </w:rPr>
              <w:t xml:space="preserve">Accounts receivable</w:t>
            </w:r>
          </w:p>
        </w:tc>
        <w:tc>
          <w:tcPr>
            <w:tcW w:w="800" w:type="dxa"/>
            <w:vAlign w:val="center"/>
          </w:tcPr>
          <w:p>
            <w:pPr>
              <w:spacing w:before="0" w:after="0"/>
              <w:jc w:val="left"/>
            </w:pPr>
            <w:r>
              <w:rPr>
                <w:sz w:val="18"/>
                <w:szCs w:val="18"/>
              </w:rPr>
              <w:t xml:space="preserve"/>
            </w:r>
          </w:p>
        </w:tc>
        <w:tc>
          <w:tcPr>
            <w:tcW w:w="1700" w:type="dxa"/>
            <w:vAlign w:val="center"/>
          </w:tcPr>
          <w:p>
            <w:pPr>
              <w:spacing w:before="0" w:after="0"/>
              <w:jc w:val="right"/>
            </w:pPr>
            <w:r>
              <w:rPr>
                <w:sz w:val="18"/>
                <w:szCs w:val="18"/>
              </w:rPr>
              <w:t xml:space="preserve">(249)</w:t>
            </w:r>
          </w:p>
        </w:tc>
        <w:tc>
          <w:tcPr>
            <w:tcW w:w="1700" w:type="dxa"/>
            <w:vAlign w:val="center"/>
          </w:tcPr>
          <w:p>
            <w:pPr>
              <w:spacing w:before="0" w:after="0"/>
              <w:jc w:val="right"/>
            </w:pPr>
            <w:r>
              <w:rPr>
                <w:sz w:val="18"/>
                <w:szCs w:val="18"/>
              </w:rPr>
              <w:t xml:space="preserve">(79)</w:t>
            </w:r>
          </w:p>
        </w:tc>
      </w:tr>
      <w:tr>
        <w:tc>
          <w:tcPr>
            <w:tcW w:w="4872" w:type="dxa"/>
            <w:vAlign w:val="center"/>
          </w:tcPr>
          <w:p>
            <w:pPr>
              <w:spacing w:before="0" w:after="0"/>
              <w:jc w:val="left"/>
            </w:pPr>
            <w:r>
              <w:rPr>
                <w:sz w:val="18"/>
                <w:szCs w:val="18"/>
              </w:rPr>
              <w:t xml:space="preserve">Accounts payable</w:t>
            </w:r>
          </w:p>
        </w:tc>
        <w:tc>
          <w:tcPr>
            <w:tcW w:w="800" w:type="dxa"/>
            <w:vAlign w:val="center"/>
          </w:tcPr>
          <w:p>
            <w:pPr>
              <w:spacing w:before="0" w:after="0"/>
              <w:jc w:val="left"/>
            </w:pPr>
            <w:r>
              <w:rPr>
                <w:sz w:val="18"/>
                <w:szCs w:val="18"/>
              </w:rPr>
              <w:t xml:space="preserve"/>
            </w:r>
          </w:p>
        </w:tc>
        <w:tc>
          <w:tcPr>
            <w:tcW w:w="1700" w:type="dxa"/>
            <w:vAlign w:val="center"/>
          </w:tcPr>
          <w:p>
            <w:pPr>
              <w:spacing w:before="0" w:after="0"/>
              <w:jc w:val="right"/>
            </w:pPr>
            <w:r>
              <w:rPr>
                <w:sz w:val="18"/>
                <w:szCs w:val="18"/>
              </w:rPr>
              <w:t xml:space="preserve">355</w:t>
            </w:r>
          </w:p>
        </w:tc>
        <w:tc>
          <w:tcPr>
            <w:tcW w:w="1700" w:type="dxa"/>
            <w:vAlign w:val="center"/>
          </w:tcPr>
          <w:p>
            <w:pPr>
              <w:spacing w:before="0" w:after="0"/>
              <w:jc w:val="right"/>
            </w:pPr>
            <w:r>
              <w:rPr>
                <w:sz w:val="18"/>
                <w:szCs w:val="18"/>
              </w:rPr>
              <w:t xml:space="preserve">288</w:t>
            </w:r>
          </w:p>
        </w:tc>
      </w:tr>
      <w:tr>
        <w:tc>
          <w:tcPr>
            <w:tcW w:w="4872" w:type="dxa"/>
            <w:vAlign w:val="center"/>
          </w:tcPr>
          <w:p>
            <w:pPr>
              <w:spacing w:before="0" w:after="0"/>
              <w:jc w:val="left"/>
            </w:pPr>
            <w:r>
              <w:rPr>
                <w:sz w:val="18"/>
                <w:szCs w:val="18"/>
              </w:rPr>
              <w:t xml:space="preserve">Deferred revenue</w:t>
            </w:r>
          </w:p>
        </w:tc>
        <w:tc>
          <w:tcPr>
            <w:tcW w:w="800" w:type="dxa"/>
            <w:vAlign w:val="center"/>
          </w:tcPr>
          <w:p>
            <w:pPr>
              <w:spacing w:before="0" w:after="0"/>
              <w:jc w:val="left"/>
            </w:pPr>
            <w:r>
              <w:rPr>
                <w:sz w:val="18"/>
                <w:szCs w:val="18"/>
              </w:rPr>
              <w:t xml:space="preserve"/>
            </w:r>
          </w:p>
        </w:tc>
        <w:tc>
          <w:tcPr>
            <w:tcW w:w="1700" w:type="dxa"/>
            <w:vAlign w:val="center"/>
          </w:tcPr>
          <w:p>
            <w:pPr>
              <w:spacing w:before="0" w:after="0"/>
              <w:jc w:val="right"/>
            </w:pPr>
            <w:r>
              <w:rPr>
                <w:sz w:val="18"/>
                <w:szCs w:val="18"/>
              </w:rPr>
              <w:t xml:space="preserve">100</w:t>
            </w:r>
          </w:p>
        </w:tc>
        <w:tc>
          <w:tcPr>
            <w:tcW w:w="1700" w:type="dxa"/>
            <w:vAlign w:val="center"/>
          </w:tcPr>
          <w:p>
            <w:pPr>
              <w:spacing w:before="0" w:after="0"/>
              <w:jc w:val="right"/>
            </w:pPr>
            <w:r>
              <w:rPr>
                <w:sz w:val="18"/>
                <w:szCs w:val="18"/>
              </w:rPr>
              <w:t xml:space="preserve">147</w:t>
            </w:r>
          </w:p>
        </w:tc>
      </w:tr>
      <w:tr>
        <w:tc>
          <w:tcPr>
            <w:tcW w:w="4872" w:type="dxa"/>
            <w:vAlign w:val="center"/>
          </w:tcPr>
          <w:p>
            <w:pPr>
              <w:spacing w:before="0" w:after="0"/>
              <w:jc w:val="left"/>
            </w:pPr>
            <w:r>
              <w:rPr>
                <w:sz w:val="18"/>
                <w:szCs w:val="18"/>
              </w:rPr>
              <w:t xml:space="preserve">Other accrued liabilities</w:t>
            </w:r>
          </w:p>
        </w:tc>
        <w:tc>
          <w:tcPr>
            <w:tcW w:w="800" w:type="dxa"/>
            <w:vAlign w:val="center"/>
          </w:tcPr>
          <w:p>
            <w:pPr>
              <w:spacing w:before="0" w:after="0"/>
              <w:jc w:val="left"/>
            </w:pPr>
            <w:r>
              <w:rPr>
                <w:sz w:val="18"/>
                <w:szCs w:val="18"/>
              </w:rPr>
              <w:t xml:space="preserve"/>
            </w:r>
          </w:p>
        </w:tc>
        <w:tc>
          <w:tcPr>
            <w:tcW w:w="1700" w:type="dxa"/>
            <w:vAlign w:val="center"/>
          </w:tcPr>
          <w:p>
            <w:pPr>
              <w:spacing w:before="0" w:after="0"/>
              <w:jc w:val="right"/>
            </w:pPr>
            <w:r>
              <w:rPr>
                <w:sz w:val="18"/>
                <w:szCs w:val="18"/>
              </w:rPr>
              <w:t xml:space="preserve">143</w:t>
            </w:r>
          </w:p>
        </w:tc>
        <w:tc>
          <w:tcPr>
            <w:tcW w:w="1700" w:type="dxa"/>
            <w:vAlign w:val="center"/>
          </w:tcPr>
          <w:p>
            <w:pPr>
              <w:spacing w:before="0" w:after="0"/>
              <w:jc w:val="right"/>
            </w:pPr>
            <w:r>
              <w:rPr>
                <w:sz w:val="18"/>
                <w:szCs w:val="18"/>
              </w:rPr>
              <w:t xml:space="preserve">(12)</w:t>
            </w:r>
          </w:p>
        </w:tc>
      </w:tr>
      <w:tr>
        <w:tc>
          <w:tcPr>
            <w:tcW w:w="4872" w:type="dxa"/>
            <w:vAlign w:val="center"/>
          </w:tcPr>
          <w:p>
            <w:pPr>
              <w:spacing w:before="0" w:after="0"/>
              <w:jc w:val="left"/>
            </w:pPr>
            <w:r>
              <w:rPr>
                <w:b/>
                <w:sz w:val="18"/>
                <w:szCs w:val="18"/>
              </w:rPr>
              <w:t xml:space="preserve">Net cash provided by operating activities</w:t>
            </w:r>
          </w:p>
        </w:tc>
        <w:tc>
          <w:tcPr>
            <w:tcW w:w="800" w:type="dxa"/>
            <w:vAlign w:val="center"/>
          </w:tcPr>
          <w:p>
            <w:pPr>
              <w:spacing w:before="0" w:after="0"/>
              <w:jc w:val="left"/>
            </w:pPr>
            <w:r>
              <w:rPr>
                <w:b/>
                <w:sz w:val="18"/>
                <w:szCs w:val="18"/>
              </w:rPr>
              <w:t xml:space="preserve"/>
            </w:r>
          </w:p>
        </w:tc>
        <w:tc>
          <w:tcPr>
            <w:tcW w:w="1700" w:type="dxa"/>
            <w:vAlign w:val="center"/>
          </w:tcPr>
          <w:p>
            <w:pPr>
              <w:spacing w:before="0" w:after="0"/>
              <w:jc w:val="right"/>
            </w:pPr>
            <w:r>
              <w:rPr>
                <w:b/>
                <w:sz w:val="18"/>
                <w:szCs w:val="18"/>
              </w:rPr>
              <w:t xml:space="preserve">11,521</w:t>
            </w:r>
          </w:p>
        </w:tc>
        <w:tc>
          <w:tcPr>
            <w:tcW w:w="1700" w:type="dxa"/>
            <w:vAlign w:val="center"/>
          </w:tcPr>
          <w:p>
            <w:pPr>
              <w:spacing w:before="0" w:after="0"/>
              <w:jc w:val="right"/>
            </w:pPr>
            <w:r>
              <w:rPr>
                <w:b/>
                <w:sz w:val="18"/>
                <w:szCs w:val="18"/>
              </w:rPr>
              <w:t xml:space="preserve">11,974</w:t>
            </w:r>
          </w:p>
        </w:tc>
      </w:tr>
      <w:tr>
        <w:tc>
          <w:tcPr>
            <w:tcW w:w="4872" w:type="dxa"/>
            <w:vAlign w:val="center"/>
          </w:tcPr>
          <w:p>
            <w:pPr>
              <w:spacing w:before="0" w:after="0"/>
              <w:jc w:val="left"/>
            </w:pPr>
            <w:r>
              <w:rPr>
                <w:b/>
                <w:sz w:val="18"/>
                <w:szCs w:val="18"/>
              </w:rPr>
              <w:t xml:space="preserve">Cash flows from investing activities</w:t>
            </w:r>
          </w:p>
        </w:tc>
        <w:tc>
          <w:tcPr>
            <w:tcW w:w="800" w:type="dxa"/>
            <w:vAlign w:val="center"/>
          </w:tcPr>
          <w:p>
            <w:pPr>
              <w:spacing w:before="0" w:after="0"/>
              <w:jc w:val="left"/>
            </w:pPr>
            <w:r>
              <w:rPr>
                <w:b/>
                <w:sz w:val="18"/>
                <w:szCs w:val="18"/>
              </w:rPr>
              <w:t xml:space="preserve"/>
            </w:r>
          </w:p>
        </w:tc>
        <w:tc>
          <w:tcPr>
            <w:tcW w:w="1700" w:type="dxa"/>
            <w:vAlign w:val="center"/>
          </w:tcPr>
          <w:p>
            <w:pPr>
              <w:spacing w:before="0" w:after="0"/>
              <w:jc w:val="right"/>
            </w:pPr>
            <w:r>
              <w:rPr>
                <w:b/>
                <w:sz w:val="18"/>
                <w:szCs w:val="18"/>
              </w:rPr>
              <w:t xml:space="preserve"/>
            </w:r>
          </w:p>
        </w:tc>
        <w:tc>
          <w:tcPr>
            <w:tcW w:w="1700" w:type="dxa"/>
            <w:vAlign w:val="center"/>
          </w:tcPr>
          <w:p>
            <w:pPr>
              <w:spacing w:before="0" w:after="0"/>
              <w:jc w:val="right"/>
            </w:pPr>
            <w:r>
              <w:rPr>
                <w:b/>
                <w:sz w:val="18"/>
                <w:szCs w:val="18"/>
              </w:rPr>
              <w:t xml:space="preserve"/>
            </w:r>
          </w:p>
        </w:tc>
      </w:tr>
      <w:tr>
        <w:tc>
          <w:tcPr>
            <w:tcW w:w="4872" w:type="dxa"/>
            <w:vAlign w:val="center"/>
          </w:tcPr>
          <w:p>
            <w:pPr>
              <w:spacing w:before="0" w:after="0"/>
              <w:jc w:val="left"/>
            </w:pPr>
            <w:r>
              <w:rPr>
                <w:sz w:val="18"/>
                <w:szCs w:val="18"/>
              </w:rPr>
              <w:t xml:space="preserve">Purchases of property and equipment</w:t>
            </w:r>
          </w:p>
        </w:tc>
        <w:tc>
          <w:tcPr>
            <w:tcW w:w="800" w:type="dxa"/>
            <w:vAlign w:val="center"/>
          </w:tcPr>
          <w:p>
            <w:pPr>
              <w:spacing w:before="0" w:after="0"/>
              <w:jc w:val="left"/>
            </w:pPr>
            <w:r>
              <w:rPr>
                <w:sz w:val="18"/>
                <w:szCs w:val="18"/>
              </w:rPr>
              <w:t xml:space="preserve"/>
            </w:r>
          </w:p>
        </w:tc>
        <w:tc>
          <w:tcPr>
            <w:tcW w:w="1700" w:type="dxa"/>
            <w:vAlign w:val="center"/>
          </w:tcPr>
          <w:p>
            <w:pPr>
              <w:spacing w:before="0" w:after="0"/>
              <w:jc w:val="right"/>
            </w:pPr>
            <w:r>
              <w:rPr>
                <w:sz w:val="18"/>
                <w:szCs w:val="18"/>
              </w:rPr>
              <w:t xml:space="preserve">(5,791)</w:t>
            </w:r>
          </w:p>
        </w:tc>
        <w:tc>
          <w:tcPr>
            <w:tcW w:w="1700" w:type="dxa"/>
            <w:vAlign w:val="center"/>
          </w:tcPr>
          <w:p>
            <w:pPr>
              <w:spacing w:before="0" w:after="0"/>
              <w:jc w:val="right"/>
            </w:pPr>
            <w:r>
              <w:rPr>
                <w:sz w:val="18"/>
                <w:szCs w:val="18"/>
              </w:rPr>
              <w:t xml:space="preserve">(6,987)</w:t>
            </w:r>
          </w:p>
        </w:tc>
      </w:tr>
      <w:tr>
        <w:tc>
          <w:tcPr>
            <w:tcW w:w="4872" w:type="dxa"/>
            <w:vAlign w:val="center"/>
          </w:tcPr>
          <w:p>
            <w:pPr>
              <w:spacing w:before="0" w:after="0"/>
              <w:jc w:val="left"/>
            </w:pPr>
            <w:r>
              <w:rPr>
                <w:sz w:val="18"/>
                <w:szCs w:val="18"/>
              </w:rPr>
              <w:t xml:space="preserve">Purchases of roasting equipment</w:t>
            </w:r>
          </w:p>
        </w:tc>
        <w:tc>
          <w:tcPr>
            <w:tcW w:w="800" w:type="dxa"/>
            <w:vAlign w:val="center"/>
          </w:tcPr>
          <w:p>
            <w:pPr>
              <w:spacing w:before="0" w:after="0"/>
              <w:jc w:val="left"/>
            </w:pPr>
            <w:r>
              <w:rPr>
                <w:sz w:val="18"/>
                <w:szCs w:val="18"/>
              </w:rPr>
              <w:t xml:space="preserve"/>
            </w:r>
          </w:p>
        </w:tc>
        <w:tc>
          <w:tcPr>
            <w:tcW w:w="1700" w:type="dxa"/>
            <w:vAlign w:val="center"/>
          </w:tcPr>
          <w:p>
            <w:pPr>
              <w:spacing w:before="0" w:after="0"/>
              <w:jc w:val="right"/>
            </w:pPr>
            <w:r>
              <w:rPr>
                <w:sz w:val="18"/>
                <w:szCs w:val="18"/>
              </w:rPr>
              <w:t xml:space="preserve">(550)</w:t>
            </w:r>
          </w:p>
        </w:tc>
        <w:tc>
          <w:tcPr>
            <w:tcW w:w="1700" w:type="dxa"/>
            <w:vAlign w:val="center"/>
          </w:tcPr>
          <w:p>
            <w:pPr>
              <w:spacing w:before="0" w:after="0"/>
              <w:jc w:val="right"/>
            </w:pPr>
            <w:r>
              <w:rPr>
                <w:sz w:val="18"/>
                <w:szCs w:val="18"/>
              </w:rPr>
              <w:t xml:space="preserve">(1,478)</w:t>
            </w:r>
          </w:p>
        </w:tc>
      </w:tr>
      <w:tr>
        <w:tc>
          <w:tcPr>
            <w:tcW w:w="4872" w:type="dxa"/>
            <w:vAlign w:val="center"/>
          </w:tcPr>
          <w:p>
            <w:pPr>
              <w:spacing w:before="0" w:after="0"/>
              <w:jc w:val="left"/>
            </w:pPr>
            <w:r>
              <w:rPr>
                <w:sz w:val="18"/>
                <w:szCs w:val="18"/>
              </w:rPr>
              <w:t xml:space="preserve">Purchases of short-term investments</w:t>
            </w:r>
          </w:p>
        </w:tc>
        <w:tc>
          <w:tcPr>
            <w:tcW w:w="800" w:type="dxa"/>
            <w:vAlign w:val="center"/>
          </w:tcPr>
          <w:p>
            <w:pPr>
              <w:spacing w:before="0" w:after="0"/>
              <w:jc w:val="left"/>
            </w:pPr>
            <w:r>
              <w:rPr>
                <w:sz w:val="18"/>
                <w:szCs w:val="18"/>
              </w:rPr>
              <w:t xml:space="preserve"/>
            </w:r>
          </w:p>
        </w:tc>
        <w:tc>
          <w:tcPr>
            <w:tcW w:w="1700" w:type="dxa"/>
            <w:vAlign w:val="center"/>
          </w:tcPr>
          <w:p>
            <w:pPr>
              <w:spacing w:before="0" w:after="0"/>
              <w:jc w:val="right"/>
            </w:pPr>
            <w:r>
              <w:rPr>
                <w:sz w:val="18"/>
                <w:szCs w:val="18"/>
              </w:rPr>
              <w:t xml:space="preserve">(738)</w:t>
            </w:r>
          </w:p>
        </w:tc>
        <w:tc>
          <w:tcPr>
            <w:tcW w:w="1700" w:type="dxa"/>
            <w:vAlign w:val="center"/>
          </w:tcPr>
          <w:p>
            <w:pPr>
              <w:spacing w:before="0" w:after="0"/>
              <w:jc w:val="right"/>
            </w:pPr>
            <w:r>
              <w:rPr>
                <w:sz w:val="18"/>
                <w:szCs w:val="18"/>
              </w:rPr>
              <w:t xml:space="preserve">(1,289)</w:t>
            </w:r>
          </w:p>
        </w:tc>
      </w:tr>
      <w:tr>
        <w:tc>
          <w:tcPr>
            <w:tcW w:w="4872" w:type="dxa"/>
            <w:vAlign w:val="center"/>
          </w:tcPr>
          <w:p>
            <w:pPr>
              <w:spacing w:before="0" w:after="0"/>
              <w:jc w:val="left"/>
            </w:pPr>
            <w:r>
              <w:rPr>
                <w:sz w:val="18"/>
                <w:szCs w:val="18"/>
              </w:rPr>
              <w:t xml:space="preserve">Maturities of short-term investments</w:t>
            </w:r>
          </w:p>
        </w:tc>
        <w:tc>
          <w:tcPr>
            <w:tcW w:w="800" w:type="dxa"/>
            <w:vAlign w:val="center"/>
          </w:tcPr>
          <w:p>
            <w:pPr>
              <w:spacing w:before="0" w:after="0"/>
              <w:jc w:val="left"/>
            </w:pPr>
            <w:r>
              <w:rPr>
                <w:sz w:val="18"/>
                <w:szCs w:val="18"/>
              </w:rPr>
              <w:t xml:space="preserve"/>
            </w:r>
          </w:p>
        </w:tc>
        <w:tc>
          <w:tcPr>
            <w:tcW w:w="1700" w:type="dxa"/>
            <w:vAlign w:val="center"/>
          </w:tcPr>
          <w:p>
            <w:pPr>
              <w:spacing w:before="0" w:after="0"/>
              <w:jc w:val="right"/>
            </w:pPr>
            <w:r>
              <w:rPr>
                <w:sz w:val="18"/>
                <w:szCs w:val="18"/>
              </w:rPr>
              <w:t xml:space="preserve">1,182</w:t>
            </w:r>
          </w:p>
        </w:tc>
        <w:tc>
          <w:tcPr>
            <w:tcW w:w="1700" w:type="dxa"/>
            <w:vAlign w:val="center"/>
          </w:tcPr>
          <w:p>
            <w:pPr>
              <w:spacing w:before="0" w:after="0"/>
              <w:jc w:val="right"/>
            </w:pPr>
            <w:r>
              <w:rPr>
                <w:sz w:val="18"/>
                <w:szCs w:val="18"/>
              </w:rPr>
              <w:t xml:space="preserve">1,154</w:t>
            </w:r>
          </w:p>
        </w:tc>
      </w:tr>
      <w:tr>
        <w:tc>
          <w:tcPr>
            <w:tcW w:w="4872" w:type="dxa"/>
            <w:vAlign w:val="center"/>
          </w:tcPr>
          <w:p>
            <w:pPr>
              <w:spacing w:before="0" w:after="0"/>
              <w:jc w:val="left"/>
            </w:pPr>
            <w:r>
              <w:rPr>
                <w:b/>
                <w:sz w:val="18"/>
                <w:szCs w:val="18"/>
              </w:rPr>
              <w:t xml:space="preserve">Net cash used in investing activities</w:t>
            </w:r>
          </w:p>
        </w:tc>
        <w:tc>
          <w:tcPr>
            <w:tcW w:w="800" w:type="dxa"/>
            <w:vAlign w:val="center"/>
          </w:tcPr>
          <w:p>
            <w:pPr>
              <w:spacing w:before="0" w:after="0"/>
              <w:jc w:val="left"/>
            </w:pPr>
            <w:r>
              <w:rPr>
                <w:b/>
                <w:sz w:val="18"/>
                <w:szCs w:val="18"/>
              </w:rPr>
              <w:t xml:space="preserve"/>
            </w:r>
          </w:p>
        </w:tc>
        <w:tc>
          <w:tcPr>
            <w:tcW w:w="1700" w:type="dxa"/>
            <w:vAlign w:val="center"/>
          </w:tcPr>
          <w:p>
            <w:pPr>
              <w:spacing w:before="0" w:after="0"/>
              <w:jc w:val="right"/>
            </w:pPr>
            <w:r>
              <w:rPr>
                <w:b/>
                <w:sz w:val="18"/>
                <w:szCs w:val="18"/>
              </w:rPr>
              <w:t xml:space="preserve">(5,896)</w:t>
            </w:r>
          </w:p>
        </w:tc>
        <w:tc>
          <w:tcPr>
            <w:tcW w:w="1700" w:type="dxa"/>
            <w:vAlign w:val="center"/>
          </w:tcPr>
          <w:p>
            <w:pPr>
              <w:spacing w:before="0" w:after="0"/>
              <w:jc w:val="right"/>
            </w:pPr>
            <w:r>
              <w:rPr>
                <w:b/>
                <w:sz w:val="18"/>
                <w:szCs w:val="18"/>
              </w:rPr>
              <w:t xml:space="preserve">(8,600)</w:t>
            </w:r>
          </w:p>
        </w:tc>
      </w:tr>
      <w:tr>
        <w:tc>
          <w:tcPr>
            <w:tcW w:w="4872" w:type="dxa"/>
            <w:vAlign w:val="center"/>
          </w:tcPr>
          <w:p>
            <w:pPr>
              <w:spacing w:before="0" w:after="0"/>
              <w:jc w:val="left"/>
            </w:pPr>
            <w:r>
              <w:rPr>
                <w:b/>
                <w:sz w:val="18"/>
                <w:szCs w:val="18"/>
              </w:rPr>
              <w:t xml:space="preserve">Cash flows from financing activities</w:t>
            </w:r>
          </w:p>
        </w:tc>
        <w:tc>
          <w:tcPr>
            <w:tcW w:w="800" w:type="dxa"/>
            <w:vAlign w:val="center"/>
          </w:tcPr>
          <w:p>
            <w:pPr>
              <w:spacing w:before="0" w:after="0"/>
              <w:jc w:val="left"/>
            </w:pPr>
            <w:r>
              <w:rPr>
                <w:b/>
                <w:sz w:val="18"/>
                <w:szCs w:val="18"/>
              </w:rPr>
              <w:t xml:space="preserve"/>
            </w:r>
          </w:p>
        </w:tc>
        <w:tc>
          <w:tcPr>
            <w:tcW w:w="1700" w:type="dxa"/>
            <w:vAlign w:val="center"/>
          </w:tcPr>
          <w:p>
            <w:pPr>
              <w:spacing w:before="0" w:after="0"/>
              <w:jc w:val="right"/>
            </w:pPr>
            <w:r>
              <w:rPr>
                <w:b/>
                <w:sz w:val="18"/>
                <w:szCs w:val="18"/>
              </w:rPr>
              <w:t xml:space="preserve"/>
            </w:r>
          </w:p>
        </w:tc>
        <w:tc>
          <w:tcPr>
            <w:tcW w:w="1700" w:type="dxa"/>
            <w:vAlign w:val="center"/>
          </w:tcPr>
          <w:p>
            <w:pPr>
              <w:spacing w:before="0" w:after="0"/>
              <w:jc w:val="right"/>
            </w:pPr>
            <w:r>
              <w:rPr>
                <w:b/>
                <w:sz w:val="18"/>
                <w:szCs w:val="18"/>
              </w:rPr>
              <w:t xml:space="preserve"/>
            </w:r>
          </w:p>
        </w:tc>
      </w:tr>
      <w:tr>
        <w:tc>
          <w:tcPr>
            <w:tcW w:w="4872" w:type="dxa"/>
            <w:vAlign w:val="center"/>
          </w:tcPr>
          <w:p>
            <w:pPr>
              <w:spacing w:before="0" w:after="0"/>
              <w:jc w:val="left"/>
            </w:pPr>
            <w:r>
              <w:rPr>
                <w:sz w:val="18"/>
                <w:szCs w:val="18"/>
              </w:rPr>
              <w:t xml:space="preserve">Proceeds from borrowings under the credit facility</w:t>
            </w:r>
          </w:p>
        </w:tc>
        <w:tc>
          <w:tcPr>
            <w:tcW w:w="800" w:type="dxa"/>
            <w:vAlign w:val="center"/>
          </w:tcPr>
          <w:p>
            <w:pPr>
              <w:spacing w:before="0" w:after="0"/>
              <w:jc w:val="left"/>
            </w:pPr>
            <w:r>
              <w:rPr>
                <w:sz w:val="18"/>
                <w:szCs w:val="18"/>
              </w:rPr>
              <w:t xml:space="preserve"/>
            </w:r>
          </w:p>
        </w:tc>
        <w:tc>
          <w:tcPr>
            <w:tcW w:w="1700" w:type="dxa"/>
            <w:vAlign w:val="center"/>
          </w:tcPr>
          <w:p>
            <w:pPr>
              <w:spacing w:before="0" w:after="0"/>
              <w:jc w:val="right"/>
            </w:pPr>
            <w:r>
              <w:rPr>
                <w:sz w:val="18"/>
                <w:szCs w:val="18"/>
              </w:rPr>
              <w:t xml:space="preserve">897</w:t>
            </w:r>
          </w:p>
        </w:tc>
        <w:tc>
          <w:tcPr>
            <w:tcW w:w="1700" w:type="dxa"/>
            <w:vAlign w:val="center"/>
          </w:tcPr>
          <w:p>
            <w:pPr>
              <w:spacing w:before="0" w:after="0"/>
              <w:jc w:val="right"/>
            </w:pPr>
            <w:r>
              <w:rPr>
                <w:sz w:val="18"/>
                <w:szCs w:val="18"/>
              </w:rPr>
              <w:t xml:space="preserve">66</w:t>
            </w:r>
          </w:p>
        </w:tc>
      </w:tr>
      <w:tr>
        <w:tc>
          <w:tcPr>
            <w:tcW w:w="4872" w:type="dxa"/>
            <w:vAlign w:val="center"/>
          </w:tcPr>
          <w:p>
            <w:pPr>
              <w:spacing w:before="0" w:after="0"/>
              <w:jc w:val="left"/>
            </w:pPr>
            <w:r>
              <w:rPr>
                <w:sz w:val="18"/>
                <w:szCs w:val="18"/>
              </w:rPr>
              <w:t xml:space="preserve">Repayments of long-term debt</w:t>
            </w:r>
          </w:p>
        </w:tc>
        <w:tc>
          <w:tcPr>
            <w:tcW w:w="800" w:type="dxa"/>
            <w:vAlign w:val="center"/>
          </w:tcPr>
          <w:p>
            <w:pPr>
              <w:spacing w:before="0" w:after="0"/>
              <w:jc w:val="left"/>
            </w:pPr>
            <w:r>
              <w:rPr>
                <w:sz w:val="18"/>
                <w:szCs w:val="18"/>
              </w:rPr>
              <w:t xml:space="preserve"/>
            </w:r>
          </w:p>
        </w:tc>
        <w:tc>
          <w:tcPr>
            <w:tcW w:w="1700" w:type="dxa"/>
            <w:vAlign w:val="center"/>
          </w:tcPr>
          <w:p>
            <w:pPr>
              <w:spacing w:before="0" w:after="0"/>
              <w:jc w:val="right"/>
            </w:pPr>
            <w:r>
              <w:rPr>
                <w:sz w:val="18"/>
                <w:szCs w:val="18"/>
              </w:rPr>
              <w:t xml:space="preserve">(1,223)</w:t>
            </w:r>
          </w:p>
        </w:tc>
        <w:tc>
          <w:tcPr>
            <w:tcW w:w="1700" w:type="dxa"/>
            <w:vAlign w:val="center"/>
          </w:tcPr>
          <w:p>
            <w:pPr>
              <w:spacing w:before="0" w:after="0"/>
              <w:jc w:val="right"/>
            </w:pPr>
            <w:r>
              <w:rPr>
                <w:sz w:val="18"/>
                <w:szCs w:val="18"/>
              </w:rPr>
              <w:t xml:space="preserve">(1,506)</w:t>
            </w:r>
          </w:p>
        </w:tc>
      </w:tr>
      <w:tr>
        <w:tc>
          <w:tcPr>
            <w:tcW w:w="4872" w:type="dxa"/>
            <w:vAlign w:val="center"/>
          </w:tcPr>
          <w:p>
            <w:pPr>
              <w:spacing w:before="0" w:after="0"/>
              <w:jc w:val="left"/>
            </w:pPr>
            <w:r>
              <w:rPr>
                <w:sz w:val="18"/>
                <w:szCs w:val="18"/>
              </w:rPr>
              <w:t xml:space="preserve">Dividends paid</w:t>
            </w:r>
          </w:p>
        </w:tc>
        <w:tc>
          <w:tcPr>
            <w:tcW w:w="800" w:type="dxa"/>
            <w:vAlign w:val="center"/>
          </w:tcPr>
          <w:p>
            <w:pPr>
              <w:spacing w:before="0" w:after="0"/>
              <w:jc w:val="left"/>
            </w:pPr>
            <w:r>
              <w:rPr>
                <w:sz w:val="18"/>
                <w:szCs w:val="18"/>
              </w:rPr>
              <w:t xml:space="preserve"/>
            </w:r>
          </w:p>
        </w:tc>
        <w:tc>
          <w:tcPr>
            <w:tcW w:w="1700" w:type="dxa"/>
            <w:vAlign w:val="center"/>
          </w:tcPr>
          <w:p>
            <w:pPr>
              <w:spacing w:before="0" w:after="0"/>
              <w:jc w:val="right"/>
            </w:pPr>
            <w:r>
              <w:rPr>
                <w:sz w:val="18"/>
                <w:szCs w:val="18"/>
              </w:rPr>
              <w:t xml:space="preserve">(863)</w:t>
            </w:r>
          </w:p>
        </w:tc>
        <w:tc>
          <w:tcPr>
            <w:tcW w:w="1700" w:type="dxa"/>
            <w:vAlign w:val="center"/>
          </w:tcPr>
          <w:p>
            <w:pPr>
              <w:spacing w:before="0" w:after="0"/>
              <w:jc w:val="right"/>
            </w:pPr>
            <w:r>
              <w:rPr>
                <w:sz w:val="18"/>
                <w:szCs w:val="18"/>
              </w:rPr>
              <w:t xml:space="preserve">(942)</w:t>
            </w:r>
          </w:p>
        </w:tc>
      </w:tr>
      <w:tr>
        <w:tc>
          <w:tcPr>
            <w:tcW w:w="4872" w:type="dxa"/>
            <w:vAlign w:val="center"/>
          </w:tcPr>
          <w:p>
            <w:pPr>
              <w:spacing w:before="0" w:after="0"/>
              <w:jc w:val="left"/>
            </w:pPr>
            <w:r>
              <w:rPr>
                <w:sz w:val="18"/>
                <w:szCs w:val="18"/>
              </w:rPr>
              <w:t xml:space="preserve">Proceeds from exercise of stock options</w:t>
            </w:r>
          </w:p>
        </w:tc>
        <w:tc>
          <w:tcPr>
            <w:tcW w:w="800" w:type="dxa"/>
            <w:vAlign w:val="center"/>
          </w:tcPr>
          <w:p>
            <w:pPr>
              <w:spacing w:before="0" w:after="0"/>
              <w:jc w:val="left"/>
            </w:pPr>
            <w:r>
              <w:rPr>
                <w:sz w:val="18"/>
                <w:szCs w:val="18"/>
              </w:rPr>
              <w:t xml:space="preserve"/>
            </w:r>
          </w:p>
        </w:tc>
        <w:tc>
          <w:tcPr>
            <w:tcW w:w="1700" w:type="dxa"/>
            <w:vAlign w:val="center"/>
          </w:tcPr>
          <w:p>
            <w:pPr>
              <w:spacing w:before="0" w:after="0"/>
              <w:jc w:val="right"/>
            </w:pPr>
            <w:r>
              <w:rPr>
                <w:sz w:val="18"/>
                <w:szCs w:val="18"/>
              </w:rPr>
              <w:t xml:space="preserve">169</w:t>
            </w:r>
          </w:p>
        </w:tc>
        <w:tc>
          <w:tcPr>
            <w:tcW w:w="1700" w:type="dxa"/>
            <w:vAlign w:val="center"/>
          </w:tcPr>
          <w:p>
            <w:pPr>
              <w:spacing w:before="0" w:after="0"/>
              <w:jc w:val="right"/>
            </w:pPr>
            <w:r>
              <w:rPr>
                <w:sz w:val="18"/>
                <w:szCs w:val="18"/>
              </w:rPr>
              <w:t xml:space="preserve">156</w:t>
            </w:r>
          </w:p>
        </w:tc>
      </w:tr>
      <w:tr>
        <w:tc>
          <w:tcPr>
            <w:tcW w:w="4872" w:type="dxa"/>
            <w:vAlign w:val="center"/>
          </w:tcPr>
          <w:p>
            <w:pPr>
              <w:spacing w:before="0" w:after="0"/>
              <w:jc w:val="left"/>
            </w:pPr>
            <w:r>
              <w:rPr>
                <w:b/>
                <w:sz w:val="18"/>
                <w:szCs w:val="18"/>
              </w:rPr>
              <w:t xml:space="preserve">Net cash used in financing activities</w:t>
            </w:r>
          </w:p>
        </w:tc>
        <w:tc>
          <w:tcPr>
            <w:tcW w:w="800" w:type="dxa"/>
            <w:vAlign w:val="center"/>
          </w:tcPr>
          <w:p>
            <w:pPr>
              <w:spacing w:before="0" w:after="0"/>
              <w:jc w:val="left"/>
            </w:pPr>
            <w:r>
              <w:rPr>
                <w:b/>
                <w:sz w:val="18"/>
                <w:szCs w:val="18"/>
              </w:rPr>
              <w:t xml:space="preserve"/>
            </w:r>
          </w:p>
        </w:tc>
        <w:tc>
          <w:tcPr>
            <w:tcW w:w="1700" w:type="dxa"/>
            <w:vAlign w:val="center"/>
          </w:tcPr>
          <w:p>
            <w:pPr>
              <w:spacing w:before="0" w:after="0"/>
              <w:jc w:val="right"/>
            </w:pPr>
            <w:r>
              <w:rPr>
                <w:b/>
                <w:sz w:val="18"/>
                <w:szCs w:val="18"/>
              </w:rPr>
              <w:t xml:space="preserve">(1,019)</w:t>
            </w:r>
          </w:p>
        </w:tc>
        <w:tc>
          <w:tcPr>
            <w:tcW w:w="1700" w:type="dxa"/>
            <w:vAlign w:val="center"/>
          </w:tcPr>
          <w:p>
            <w:pPr>
              <w:spacing w:before="0" w:after="0"/>
              <w:jc w:val="right"/>
            </w:pPr>
            <w:r>
              <w:rPr>
                <w:b/>
                <w:sz w:val="18"/>
                <w:szCs w:val="18"/>
              </w:rPr>
              <w:t xml:space="preserve">(2,225)</w:t>
            </w:r>
          </w:p>
        </w:tc>
      </w:tr>
      <w:tr>
        <w:tc>
          <w:tcPr>
            <w:tcW w:w="4872" w:type="dxa"/>
            <w:vAlign w:val="center"/>
          </w:tcPr>
          <w:p>
            <w:pPr>
              <w:spacing w:before="0" w:after="0"/>
              <w:jc w:val="left"/>
            </w:pPr>
            <w:r>
              <w:rPr>
                <w:b/>
                <w:sz w:val="18"/>
                <w:szCs w:val="18"/>
              </w:rPr>
              <w:t xml:space="preserve">Net increase (decrease) in cash and cash equivalents</w:t>
            </w:r>
          </w:p>
        </w:tc>
        <w:tc>
          <w:tcPr>
            <w:tcW w:w="800" w:type="dxa"/>
            <w:vAlign w:val="center"/>
          </w:tcPr>
          <w:p>
            <w:pPr>
              <w:spacing w:before="0" w:after="0"/>
              <w:jc w:val="left"/>
            </w:pPr>
            <w:r>
              <w:rPr>
                <w:b/>
                <w:sz w:val="18"/>
                <w:szCs w:val="18"/>
              </w:rPr>
              <w:t xml:space="preserve"/>
            </w:r>
          </w:p>
        </w:tc>
        <w:tc>
          <w:tcPr>
            <w:tcW w:w="1700" w:type="dxa"/>
            <w:vAlign w:val="center"/>
          </w:tcPr>
          <w:p>
            <w:pPr>
              <w:spacing w:before="0" w:after="0"/>
              <w:jc w:val="right"/>
            </w:pPr>
            <w:r>
              <w:rPr>
                <w:b/>
                <w:sz w:val="18"/>
                <w:szCs w:val="18"/>
              </w:rPr>
              <w:t xml:space="preserve">4,605</w:t>
            </w:r>
          </w:p>
        </w:tc>
        <w:tc>
          <w:tcPr>
            <w:tcW w:w="1700" w:type="dxa"/>
            <w:vAlign w:val="center"/>
          </w:tcPr>
          <w:p>
            <w:pPr>
              <w:spacing w:before="0" w:after="0"/>
              <w:jc w:val="right"/>
            </w:pPr>
            <w:r>
              <w:rPr>
                <w:b/>
                <w:sz w:val="18"/>
                <w:szCs w:val="18"/>
              </w:rPr>
              <w:t xml:space="preserve">1,149</w:t>
            </w:r>
          </w:p>
        </w:tc>
      </w:tr>
      <w:tr>
        <w:tc>
          <w:tcPr>
            <w:tcW w:w="4872" w:type="dxa"/>
            <w:vAlign w:val="center"/>
          </w:tcPr>
          <w:p>
            <w:pPr>
              <w:spacing w:before="0" w:after="0"/>
              <w:jc w:val="left"/>
            </w:pPr>
            <w:r>
              <w:rPr>
                <w:sz w:val="18"/>
                <w:szCs w:val="18"/>
              </w:rPr>
              <w:t xml:space="preserve">Cash and cash equivalents at beginning of period</w:t>
            </w:r>
          </w:p>
        </w:tc>
        <w:tc>
          <w:tcPr>
            <w:tcW w:w="800" w:type="dxa"/>
            <w:vAlign w:val="center"/>
          </w:tcPr>
          <w:p>
            <w:pPr>
              <w:spacing w:before="0" w:after="0"/>
              <w:jc w:val="left"/>
            </w:pPr>
            <w:r>
              <w:rPr>
                <w:sz w:val="18"/>
                <w:szCs w:val="18"/>
              </w:rPr>
              <w:t xml:space="preserve"/>
            </w:r>
          </w:p>
        </w:tc>
        <w:tc>
          <w:tcPr>
            <w:tcW w:w="1700" w:type="dxa"/>
            <w:vAlign w:val="center"/>
          </w:tcPr>
          <w:p>
            <w:pPr>
              <w:spacing w:before="0" w:after="0"/>
              <w:jc w:val="right"/>
            </w:pPr>
            <w:r>
              <w:rPr>
                <w:sz w:val="18"/>
                <w:szCs w:val="18"/>
              </w:rPr>
              <w:t xml:space="preserve">7,698</w:t>
            </w:r>
          </w:p>
        </w:tc>
        <w:tc>
          <w:tcPr>
            <w:tcW w:w="1700" w:type="dxa"/>
            <w:vAlign w:val="center"/>
          </w:tcPr>
          <w:p>
            <w:pPr>
              <w:spacing w:before="0" w:after="0"/>
              <w:jc w:val="right"/>
            </w:pPr>
            <w:r>
              <w:rPr>
                <w:sz w:val="18"/>
                <w:szCs w:val="18"/>
              </w:rPr>
              <w:t xml:space="preserve">8,413</w:t>
            </w:r>
          </w:p>
        </w:tc>
      </w:tr>
      <w:tr>
        <w:tc>
          <w:tcPr>
            <w:tcW w:w="4872" w:type="dxa"/>
            <w:vAlign w:val="center"/>
          </w:tcPr>
          <w:p>
            <w:pPr>
              <w:spacing w:before="0" w:after="0"/>
              <w:jc w:val="left"/>
            </w:pPr>
            <w:r>
              <w:rPr>
                <w:b/>
                <w:sz w:val="18"/>
                <w:szCs w:val="18"/>
              </w:rPr>
              <w:t xml:space="preserve">Cash and cash equivalents at end of period</w:t>
            </w:r>
          </w:p>
        </w:tc>
        <w:tc>
          <w:tcPr>
            <w:tcW w:w="800" w:type="dxa"/>
            <w:vAlign w:val="center"/>
          </w:tcPr>
          <w:p>
            <w:pPr>
              <w:spacing w:before="0" w:after="0"/>
              <w:jc w:val="left"/>
            </w:pPr>
            <w:r>
              <w:rPr>
                <w:b/>
                <w:sz w:val="18"/>
                <w:szCs w:val="18"/>
              </w:rPr>
              <w:t xml:space="preserve"/>
            </w:r>
          </w:p>
        </w:tc>
        <w:tc>
          <w:tcPr>
            <w:tcW w:w="1700" w:type="dxa"/>
            <w:vAlign w:val="center"/>
          </w:tcPr>
          <w:p>
            <w:pPr>
              <w:spacing w:before="0" w:after="0"/>
              <w:jc w:val="right"/>
            </w:pPr>
            <w:r>
              <w:rPr>
                <w:b/>
                <w:sz w:val="18"/>
                <w:szCs w:val="18"/>
              </w:rPr>
              <w:t xml:space="preserve">12,303</w:t>
            </w:r>
          </w:p>
        </w:tc>
        <w:tc>
          <w:tcPr>
            <w:tcW w:w="1700" w:type="dxa"/>
            <w:vAlign w:val="center"/>
          </w:tcPr>
          <w:p>
            <w:pPr>
              <w:spacing w:before="0" w:after="0"/>
              <w:jc w:val="right"/>
            </w:pPr>
            <w:r>
              <w:rPr>
                <w:b/>
                <w:sz w:val="18"/>
                <w:szCs w:val="18"/>
              </w:rPr>
              <w:t xml:space="preserve">9,562</w:t>
            </w:r>
          </w:p>
        </w:tc>
      </w:tr>
    </w:tbl>
    <w:p>
      <w:pPr/>
    </w:p>
    <w:p>
      <w:pPr>
        <w:pStyle w:val="Heading3"/>
        <w:keepNext/>
      </w:pPr>
      <w:r>
        <w:t xml:space="preserve">Notes to the Financial Statements</w:t>
      </w:r>
    </w:p>
    <w:p>
      <w:pPr>
        <w:keepNext/>
      </w:pPr>
      <w:r>
        <w:rPr>
          <w:b/>
        </w:rPr>
        <w:t xml:space="preserve">1. Summary of significant accounting policies</w:t>
      </w:r>
    </w:p>
    <w:p>
      <w:pPr>
        <w:ind w:left="0" w:firstLine="360"/>
      </w:pPr>
      <w:r>
        <w:t xml:space="preserve">Food safety incidents, whether or not they occur at our stores, could harm the reputation of the Nimbus Coffee brand and reduce customer traffic. Total assets at the end of the fiscal year were $114,448 thousand, an increase of $24,561 thousand from the end of the prior fiscal year. Merchandise sales, consisting of mugs, brewing equipment and seasonal gift sets, are highest in the fourth quarter of each year. The price of green coffee is volatile, and a sustained increase could reduce gross margin if the Group is unable to pass the cost on to customers through menu prices. Total revenue for the fiscal year was $143,497 thousand, an increase of 17.8% over the prior year, and operating income was $18,788 thousand, an increase of 22.9%. Revenue from loyalty rewards is deferred until the reward is redeemed or expires.</w:t>
      </w:r>
    </w:p>
    <w:p>
      <w:pPr>
        <w:ind w:left="0" w:firstLine="360"/>
      </w:pPr>
      <w:r>
        <w:t xml:space="preserve">Revenue from stores in the Harborview region increased 17.7% compared with the prior year, while its share of total revenue was little changed. The ability of the Company to open new stores depends on finding suitable sites on acceptable lease terms and on hiring and training store managers. Store operating expenses, which consist mainly of wages, benefits and supplies, were 35.5% of revenue, compared with 30.8% in the prior year. Baristas complete a four-week training course before working on the floor, and store managers complete a further course at the Northfield training center. Occupancy costs increased to $964 thousand, reflecting rent for new stores and scheduled rent increases at existing locations.</w:t>
      </w:r>
    </w:p>
    <w:p>
      <w:pPr>
        <w:ind w:left="0" w:firstLine="360"/>
      </w:pPr>
      <w:r>
        <w:t xml:space="preserve">Total assets at the end of the fiscal year were $167,985 thousand, an increase of $18,412 thousand from the end of the prior fiscal year. Store operating expenses, which consist mainly of wages, benefits and supplies, were 31.7% of revenue, compared with 30.5% in the prior year. Labor costs are affected by minimum wage laws in the regions where the stores are located, and further increases could reduce store margins. Labor costs are affected by minimum wage laws in the regions where the stores are located, and further increases could reduce store margins. The loyalty program had 1,322 thousand active members at the end of the fiscal year, and purchases by members accounted for 40.9% of store revenue. Net cash used in financing activities was $4,890 thousand, reflecting repayments of the term loan and dividends paid.</w:t>
      </w:r>
    </w:p>
    <w:tbl>
      <w:tblPr>
        <w:tblW w:w="907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72" w:type="dxa"/>
          <w:right w:w="72" w:type="dxa"/>
        </w:tblCellMar>
      </w:tblPr>
      <w:tblGrid>
        <w:gridCol w:w="4072"/>
        <w:gridCol w:w="2500"/>
        <w:gridCol w:w="2500"/>
      </w:tblGrid>
      <w:tr>
        <w:trPr>
          <w:tblHeader/>
        </w:trPr>
        <w:tc>
          <w:tcPr>
            <w:tcW w:w="4072" w:type="dxa"/>
            <w:shd w:val="clear" w:color="auto" w:fill="DDEBF7"/>
            <w:vAlign w:val="center"/>
          </w:tcPr>
          <w:p>
            <w:pPr>
              <w:spacing w:before="0" w:after="0"/>
              <w:jc w:val="center"/>
            </w:pPr>
            <w:r>
              <w:rPr>
                <w:b/>
                <w:sz w:val="18"/>
                <w:szCs w:val="18"/>
              </w:rPr>
              <w:t xml:space="preserve">Item</w:t>
            </w:r>
          </w:p>
        </w:tc>
        <w:tc>
          <w:tcPr>
            <w:tcW w:w="2500" w:type="dxa"/>
            <w:shd w:val="clear" w:color="auto" w:fill="DDEBF7"/>
            <w:vAlign w:val="center"/>
          </w:tcPr>
          <w:p>
            <w:pPr>
              <w:spacing w:before="0" w:after="0"/>
              <w:jc w:val="center"/>
            </w:pPr>
            <w:r>
              <w:rPr>
                <w:b/>
                <w:sz w:val="18"/>
                <w:szCs w:val="18"/>
              </w:rPr>
              <w:t xml:space="preserve">Q1 2025</w:t>
            </w:r>
          </w:p>
        </w:tc>
        <w:tc>
          <w:tcPr>
            <w:tcW w:w="2500" w:type="dxa"/>
            <w:shd w:val="clear" w:color="auto" w:fill="DDEBF7"/>
            <w:vAlign w:val="center"/>
          </w:tcPr>
          <w:p>
            <w:pPr>
              <w:spacing w:before="0" w:after="0"/>
              <w:jc w:val="center"/>
            </w:pPr>
            <w:r>
              <w:rPr>
                <w:b/>
                <w:sz w:val="18"/>
                <w:szCs w:val="18"/>
              </w:rPr>
              <w:t xml:space="preserve">Q1 2026</w:t>
            </w:r>
          </w:p>
        </w:tc>
      </w:tr>
      <w:tr>
        <w:tc>
          <w:tcPr>
            <w:tcW w:w="4072" w:type="dxa"/>
            <w:vAlign w:val="center"/>
          </w:tcPr>
          <w:p>
            <w:pPr>
              <w:spacing w:before="0" w:after="0"/>
              <w:jc w:val="left"/>
            </w:pPr>
            <w:r>
              <w:rPr>
                <w:sz w:val="18"/>
                <w:szCs w:val="18"/>
              </w:rPr>
              <w:t xml:space="preserve">Accrued payroll and benefits</w:t>
            </w:r>
          </w:p>
        </w:tc>
        <w:tc>
          <w:tcPr>
            <w:tcW w:w="2500" w:type="dxa"/>
            <w:vAlign w:val="center"/>
          </w:tcPr>
          <w:p>
            <w:pPr>
              <w:spacing w:before="0" w:after="0"/>
              <w:jc w:val="right"/>
            </w:pPr>
            <w:r>
              <w:rPr>
                <w:sz w:val="18"/>
                <w:szCs w:val="18"/>
              </w:rPr>
              <w:t xml:space="preserve">14,216</w:t>
            </w:r>
          </w:p>
        </w:tc>
        <w:tc>
          <w:tcPr>
            <w:tcW w:w="2500" w:type="dxa"/>
            <w:vAlign w:val="center"/>
          </w:tcPr>
          <w:p>
            <w:pPr>
              <w:spacing w:before="0" w:after="0"/>
              <w:jc w:val="right"/>
            </w:pPr>
            <w:r>
              <w:rPr>
                <w:sz w:val="18"/>
                <w:szCs w:val="18"/>
              </w:rPr>
              <w:t xml:space="preserve">16,816</w:t>
            </w:r>
          </w:p>
        </w:tc>
      </w:tr>
      <w:tr>
        <w:tc>
          <w:tcPr>
            <w:tcW w:w="4072" w:type="dxa"/>
            <w:vAlign w:val="center"/>
          </w:tcPr>
          <w:p>
            <w:pPr>
              <w:spacing w:before="0" w:after="0"/>
              <w:jc w:val="left"/>
            </w:pPr>
            <w:r>
              <w:rPr>
                <w:sz w:val="18"/>
                <w:szCs w:val="18"/>
              </w:rPr>
              <w:t xml:space="preserve">Other accrued liabilities</w:t>
            </w:r>
          </w:p>
        </w:tc>
        <w:tc>
          <w:tcPr>
            <w:tcW w:w="2500" w:type="dxa"/>
            <w:vAlign w:val="center"/>
          </w:tcPr>
          <w:p>
            <w:pPr>
              <w:spacing w:before="0" w:after="0"/>
              <w:jc w:val="right"/>
            </w:pPr>
            <w:r>
              <w:rPr>
                <w:sz w:val="18"/>
                <w:szCs w:val="18"/>
              </w:rPr>
              <w:t xml:space="preserve">10,330</w:t>
            </w:r>
          </w:p>
        </w:tc>
        <w:tc>
          <w:tcPr>
            <w:tcW w:w="2500" w:type="dxa"/>
            <w:vAlign w:val="center"/>
          </w:tcPr>
          <w:p>
            <w:pPr>
              <w:spacing w:before="0" w:after="0"/>
              <w:jc w:val="right"/>
            </w:pPr>
            <w:r>
              <w:rPr>
                <w:sz w:val="18"/>
                <w:szCs w:val="18"/>
              </w:rPr>
              <w:t xml:space="preserve">10,601</w:t>
            </w:r>
          </w:p>
        </w:tc>
      </w:tr>
      <w:tr>
        <w:tc>
          <w:tcPr>
            <w:tcW w:w="4072" w:type="dxa"/>
            <w:vAlign w:val="center"/>
          </w:tcPr>
          <w:p>
            <w:pPr>
              <w:spacing w:before="0" w:after="0"/>
              <w:jc w:val="left"/>
            </w:pPr>
            <w:r>
              <w:rPr>
                <w:sz w:val="18"/>
                <w:szCs w:val="18"/>
              </w:rPr>
              <w:t xml:space="preserve">Security deposits</w:t>
            </w:r>
          </w:p>
        </w:tc>
        <w:tc>
          <w:tcPr>
            <w:tcW w:w="2500" w:type="dxa"/>
            <w:vAlign w:val="center"/>
          </w:tcPr>
          <w:p>
            <w:pPr>
              <w:spacing w:before="0" w:after="0"/>
              <w:jc w:val="right"/>
            </w:pPr>
            <w:r>
              <w:rPr>
                <w:sz w:val="18"/>
                <w:szCs w:val="18"/>
              </w:rPr>
              <w:t xml:space="preserve">27,621</w:t>
            </w:r>
          </w:p>
        </w:tc>
        <w:tc>
          <w:tcPr>
            <w:tcW w:w="2500" w:type="dxa"/>
            <w:vAlign w:val="center"/>
          </w:tcPr>
          <w:p>
            <w:pPr>
              <w:spacing w:before="0" w:after="0"/>
              <w:jc w:val="right"/>
            </w:pPr>
            <w:r>
              <w:rPr>
                <w:sz w:val="18"/>
                <w:szCs w:val="18"/>
              </w:rPr>
              <w:t xml:space="preserve">28,454</w:t>
            </w:r>
          </w:p>
        </w:tc>
      </w:tr>
      <w:tr>
        <w:tc>
          <w:tcPr>
            <w:tcW w:w="4072" w:type="dxa"/>
            <w:vAlign w:val="center"/>
          </w:tcPr>
          <w:p>
            <w:pPr>
              <w:spacing w:before="0" w:after="0"/>
              <w:jc w:val="left"/>
            </w:pPr>
            <w:r>
              <w:rPr>
                <w:sz w:val="18"/>
                <w:szCs w:val="18"/>
              </w:rPr>
              <w:t xml:space="preserve">Other accrued liabilities</w:t>
            </w:r>
          </w:p>
        </w:tc>
        <w:tc>
          <w:tcPr>
            <w:tcW w:w="2500" w:type="dxa"/>
            <w:vAlign w:val="center"/>
          </w:tcPr>
          <w:p>
            <w:pPr>
              <w:spacing w:before="0" w:after="0"/>
              <w:jc w:val="right"/>
            </w:pPr>
            <w:r>
              <w:rPr>
                <w:sz w:val="18"/>
                <w:szCs w:val="18"/>
              </w:rPr>
              <w:t xml:space="preserve">27,392</w:t>
            </w:r>
          </w:p>
        </w:tc>
        <w:tc>
          <w:tcPr>
            <w:tcW w:w="2500" w:type="dxa"/>
            <w:vAlign w:val="center"/>
          </w:tcPr>
          <w:p>
            <w:pPr>
              <w:spacing w:before="0" w:after="0"/>
              <w:jc w:val="right"/>
            </w:pPr>
            <w:r>
              <w:rPr>
                <w:sz w:val="18"/>
                <w:szCs w:val="18"/>
              </w:rPr>
              <w:t xml:space="preserve">29,902</w:t>
            </w:r>
          </w:p>
        </w:tc>
      </w:tr>
      <w:tr>
        <w:tc>
          <w:tcPr>
            <w:tcW w:w="4072" w:type="dxa"/>
            <w:vAlign w:val="center"/>
          </w:tcPr>
          <w:p>
            <w:pPr>
              <w:spacing w:before="0" w:after="0"/>
              <w:jc w:val="left"/>
            </w:pPr>
            <w:r>
              <w:rPr>
                <w:sz w:val="18"/>
                <w:szCs w:val="18"/>
              </w:rPr>
              <w:t xml:space="preserve">Short-term investments</w:t>
            </w:r>
          </w:p>
        </w:tc>
        <w:tc>
          <w:tcPr>
            <w:tcW w:w="2500" w:type="dxa"/>
            <w:vAlign w:val="center"/>
          </w:tcPr>
          <w:p>
            <w:pPr>
              <w:spacing w:before="0" w:after="0"/>
              <w:jc w:val="right"/>
            </w:pPr>
            <w:r>
              <w:rPr>
                <w:sz w:val="18"/>
                <w:szCs w:val="18"/>
              </w:rPr>
              <w:t xml:space="preserve">14,526</w:t>
            </w:r>
          </w:p>
        </w:tc>
        <w:tc>
          <w:tcPr>
            <w:tcW w:w="2500" w:type="dxa"/>
            <w:vAlign w:val="center"/>
          </w:tcPr>
          <w:p>
            <w:pPr>
              <w:spacing w:before="0" w:after="0"/>
              <w:jc w:val="right"/>
            </w:pPr>
            <w:r>
              <w:rPr>
                <w:sz w:val="18"/>
                <w:szCs w:val="18"/>
              </w:rPr>
              <w:t xml:space="preserve">16,223</w:t>
            </w:r>
          </w:p>
        </w:tc>
      </w:tr>
      <w:tr>
        <w:tc>
          <w:tcPr>
            <w:tcW w:w="4072" w:type="dxa"/>
            <w:vAlign w:val="center"/>
          </w:tcPr>
          <w:p>
            <w:pPr>
              <w:spacing w:before="0" w:after="0"/>
              <w:jc w:val="left"/>
            </w:pPr>
            <w:r>
              <w:rPr>
                <w:sz w:val="18"/>
                <w:szCs w:val="18"/>
              </w:rPr>
              <w:t xml:space="preserve">Income taxes payable</w:t>
            </w:r>
          </w:p>
        </w:tc>
        <w:tc>
          <w:tcPr>
            <w:tcW w:w="2500" w:type="dxa"/>
            <w:vAlign w:val="center"/>
          </w:tcPr>
          <w:p>
            <w:pPr>
              <w:spacing w:before="0" w:after="0"/>
              <w:jc w:val="right"/>
            </w:pPr>
            <w:r>
              <w:rPr>
                <w:sz w:val="18"/>
                <w:szCs w:val="18"/>
              </w:rPr>
              <w:t xml:space="preserve">16,026</w:t>
            </w:r>
          </w:p>
        </w:tc>
        <w:tc>
          <w:tcPr>
            <w:tcW w:w="2500" w:type="dxa"/>
            <w:vAlign w:val="center"/>
          </w:tcPr>
          <w:p>
            <w:pPr>
              <w:spacing w:before="0" w:after="0"/>
              <w:jc w:val="right"/>
            </w:pPr>
            <w:r>
              <w:rPr>
                <w:sz w:val="18"/>
                <w:szCs w:val="18"/>
              </w:rPr>
              <w:t xml:space="preserve">17,579</w:t>
            </w:r>
          </w:p>
        </w:tc>
      </w:tr>
    </w:tbl>
    <w:p>
      <w:pPr/>
    </w:p>
    <w:p>
      <w:pPr>
        <w:keepNext/>
      </w:pPr>
      <w:r>
        <w:rPr>
          <w:b/>
        </w:rPr>
        <w:t xml:space="preserve">2. Revenue recognition</w:t>
      </w:r>
    </w:p>
    <w:p>
      <w:pPr>
        <w:ind w:left="0" w:firstLine="360"/>
      </w:pPr>
      <w:r>
        <w:t xml:space="preserve">Orders placed through the online store, including orders for pickup in store and home delivery of whole beans, accounted for 12.7% of revenue in the Beverages and Beans categories. Revenue from loyalty rewards is deferred until the reward is redeemed or expires. The loyalty program had 977 thousand active members at the end of the fiscal year, and purchases by members accounted for 52.7% of store revenue.</w:t>
      </w:r>
    </w:p>
    <w:p>
      <w:pPr>
        <w:ind w:left="0" w:firstLine="360"/>
      </w:pPr>
      <w:r>
        <w:t xml:space="preserve">The Group holds no derivatives other than coffee futures contracts used to fix the price of part of its future green coffee purchases. Wholesale revenue comes from sales of roasted beans to restaurants, hotels and grocery stores in the regions where the Group operates. The roastery produced 905 thousand pounds of roasted coffee during the fiscal year, of which 39.4% was sold through company-operated stores. The ability of the Group to open new stores depends on finding suitable sites on acceptable lease terms and on hiring and training store managers.</w:t>
      </w:r>
    </w:p>
    <w:p>
      <w:pPr>
        <w:keepNext/>
      </w:pPr>
      <w:r>
        <w:rPr>
          <w:b/>
        </w:rPr>
        <w:t xml:space="preserve">3. Leases</w:t>
      </w:r>
    </w:p>
    <w:p>
      <w:pPr>
        <w:ind w:left="0" w:firstLine="360"/>
      </w:pPr>
      <w:r>
        <w:t xml:space="preserve">Nimbus Coffee intends to pay dividends out of retained earnings while keeping sufficient funds to finance the opening of new stores. At the end of the fiscal year, the Company operated 179 company-operated stores in eight regions: Northfield, Eastbay, Southport, Westridge, Lakeside, Hillcrest, Riverside and Harborview. Total assets at the end of the fiscal year were $194,027 thousand, an increase of $36,684 thousand from the end of the prior fiscal year. Labor costs are affected by minimum wage laws in the regions where the stores are located, and further increases could reduce store margins. Total revenue for the fiscal year was $118,388 thousand, an increase of 1.2% over the prior year, and operating income was $3,052 thousand, an increase of 23.7%.</w:t>
      </w:r>
    </w:p>
    <w:p>
      <w:pPr>
        <w:ind w:left="0" w:firstLine="360"/>
      </w:pPr>
      <w:r>
        <w:t xml:space="preserve">Nimbus Coffee intends to pay dividends out of retained earnings while keeping sufficient funds to finance the opening of new stores. The loyalty program had 807 thousand active members at the end of the fiscal year, and purchases by members accounted for 14.0% of store revenue. The ability of the Company to open new stores depends on finding suitable sites on acceptable lease terms and on hiring and training store managers. Store operating expenses, which consist mainly of wages, benefits and supplies, were 32.9% of revenue, compared with 28.1% in the prior year. Wholesale revenue comes from sales of roasted beans to restaurants, hotels and grocery stores in the regions where Nimbus Coffee operates. Net cash used in financing activities was $9,159 thousand, reflecting repayments of the term loan and dividends paid.</w:t>
      </w:r>
    </w:p>
    <w:tbl>
      <w:tblPr>
        <w:tblW w:w="907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72" w:type="dxa"/>
          <w:right w:w="72" w:type="dxa"/>
        </w:tblCellMar>
      </w:tblPr>
      <w:tblGrid>
        <w:gridCol w:w="4072"/>
        <w:gridCol w:w="2500"/>
        <w:gridCol w:w="2500"/>
      </w:tblGrid>
      <w:tr>
        <w:trPr>
          <w:tblHeader/>
        </w:trPr>
        <w:tc>
          <w:tcPr>
            <w:tcW w:w="4072" w:type="dxa"/>
            <w:shd w:val="clear" w:color="auto" w:fill="DDEBF7"/>
            <w:vAlign w:val="center"/>
          </w:tcPr>
          <w:p>
            <w:pPr>
              <w:spacing w:before="0" w:after="0"/>
              <w:jc w:val="center"/>
            </w:pPr>
            <w:r>
              <w:rPr>
                <w:b/>
                <w:sz w:val="18"/>
                <w:szCs w:val="18"/>
              </w:rPr>
              <w:t xml:space="preserve">Item</w:t>
            </w:r>
          </w:p>
        </w:tc>
        <w:tc>
          <w:tcPr>
            <w:tcW w:w="2500" w:type="dxa"/>
            <w:shd w:val="clear" w:color="auto" w:fill="DDEBF7"/>
            <w:vAlign w:val="center"/>
          </w:tcPr>
          <w:p>
            <w:pPr>
              <w:spacing w:before="0" w:after="0"/>
              <w:jc w:val="center"/>
            </w:pPr>
            <w:r>
              <w:rPr>
                <w:b/>
                <w:sz w:val="18"/>
                <w:szCs w:val="18"/>
              </w:rPr>
              <w:t xml:space="preserve">Q1 2025</w:t>
            </w:r>
          </w:p>
        </w:tc>
        <w:tc>
          <w:tcPr>
            <w:tcW w:w="2500" w:type="dxa"/>
            <w:shd w:val="clear" w:color="auto" w:fill="DDEBF7"/>
            <w:vAlign w:val="center"/>
          </w:tcPr>
          <w:p>
            <w:pPr>
              <w:spacing w:before="0" w:after="0"/>
              <w:jc w:val="center"/>
            </w:pPr>
            <w:r>
              <w:rPr>
                <w:b/>
                <w:sz w:val="18"/>
                <w:szCs w:val="18"/>
              </w:rPr>
              <w:t xml:space="preserve">Q1 2026</w:t>
            </w:r>
          </w:p>
        </w:tc>
      </w:tr>
      <w:tr>
        <w:tc>
          <w:tcPr>
            <w:tcW w:w="4072" w:type="dxa"/>
            <w:vAlign w:val="center"/>
          </w:tcPr>
          <w:p>
            <w:pPr>
              <w:spacing w:before="0" w:after="0"/>
              <w:jc w:val="left"/>
            </w:pPr>
            <w:r>
              <w:rPr>
                <w:sz w:val="18"/>
                <w:szCs w:val="18"/>
              </w:rPr>
              <w:t xml:space="preserve">Accounts payable</w:t>
            </w:r>
          </w:p>
        </w:tc>
        <w:tc>
          <w:tcPr>
            <w:tcW w:w="2500" w:type="dxa"/>
            <w:vAlign w:val="center"/>
          </w:tcPr>
          <w:p>
            <w:pPr>
              <w:spacing w:before="0" w:after="0"/>
              <w:jc w:val="right"/>
            </w:pPr>
            <w:r>
              <w:rPr>
                <w:sz w:val="18"/>
                <w:szCs w:val="18"/>
              </w:rPr>
              <w:t xml:space="preserve">15,522</w:t>
            </w:r>
          </w:p>
        </w:tc>
        <w:tc>
          <w:tcPr>
            <w:tcW w:w="2500" w:type="dxa"/>
            <w:vAlign w:val="center"/>
          </w:tcPr>
          <w:p>
            <w:pPr>
              <w:spacing w:before="0" w:after="0"/>
              <w:jc w:val="right"/>
            </w:pPr>
            <w:r>
              <w:rPr>
                <w:sz w:val="18"/>
                <w:szCs w:val="18"/>
              </w:rPr>
              <w:t xml:space="preserve">15,788</w:t>
            </w:r>
          </w:p>
        </w:tc>
      </w:tr>
      <w:tr>
        <w:tc>
          <w:tcPr>
            <w:tcW w:w="4072" w:type="dxa"/>
            <w:vAlign w:val="center"/>
          </w:tcPr>
          <w:p>
            <w:pPr>
              <w:spacing w:before="0" w:after="0"/>
              <w:jc w:val="left"/>
            </w:pPr>
            <w:r>
              <w:rPr>
                <w:sz w:val="18"/>
                <w:szCs w:val="18"/>
              </w:rPr>
              <w:t xml:space="preserve">Accrued payroll and benefits</w:t>
            </w:r>
          </w:p>
        </w:tc>
        <w:tc>
          <w:tcPr>
            <w:tcW w:w="2500" w:type="dxa"/>
            <w:vAlign w:val="center"/>
          </w:tcPr>
          <w:p>
            <w:pPr>
              <w:spacing w:before="0" w:after="0"/>
              <w:jc w:val="right"/>
            </w:pPr>
            <w:r>
              <w:rPr>
                <w:sz w:val="18"/>
                <w:szCs w:val="18"/>
              </w:rPr>
              <w:t xml:space="preserve">24,598</w:t>
            </w:r>
          </w:p>
        </w:tc>
        <w:tc>
          <w:tcPr>
            <w:tcW w:w="2500" w:type="dxa"/>
            <w:vAlign w:val="center"/>
          </w:tcPr>
          <w:p>
            <w:pPr>
              <w:spacing w:before="0" w:after="0"/>
              <w:jc w:val="right"/>
            </w:pPr>
            <w:r>
              <w:rPr>
                <w:sz w:val="18"/>
                <w:szCs w:val="18"/>
              </w:rPr>
              <w:t xml:space="preserve">28,292</w:t>
            </w:r>
          </w:p>
        </w:tc>
      </w:tr>
      <w:tr>
        <w:tc>
          <w:tcPr>
            <w:tcW w:w="4072" w:type="dxa"/>
            <w:vAlign w:val="center"/>
          </w:tcPr>
          <w:p>
            <w:pPr>
              <w:spacing w:before="0" w:after="0"/>
              <w:jc w:val="left"/>
            </w:pPr>
            <w:r>
              <w:rPr>
                <w:sz w:val="18"/>
                <w:szCs w:val="18"/>
              </w:rPr>
              <w:t xml:space="preserve">Cash and cash equivalents</w:t>
            </w:r>
          </w:p>
        </w:tc>
        <w:tc>
          <w:tcPr>
            <w:tcW w:w="2500" w:type="dxa"/>
            <w:vAlign w:val="center"/>
          </w:tcPr>
          <w:p>
            <w:pPr>
              <w:spacing w:before="0" w:after="0"/>
              <w:jc w:val="right"/>
            </w:pPr>
            <w:r>
              <w:rPr>
                <w:sz w:val="18"/>
                <w:szCs w:val="18"/>
              </w:rPr>
              <w:t xml:space="preserve">3,953</w:t>
            </w:r>
          </w:p>
        </w:tc>
        <w:tc>
          <w:tcPr>
            <w:tcW w:w="2500" w:type="dxa"/>
            <w:vAlign w:val="center"/>
          </w:tcPr>
          <w:p>
            <w:pPr>
              <w:spacing w:before="0" w:after="0"/>
              <w:jc w:val="right"/>
            </w:pPr>
            <w:r>
              <w:rPr>
                <w:sz w:val="18"/>
                <w:szCs w:val="18"/>
              </w:rPr>
              <w:t xml:space="preserve">4,337</w:t>
            </w:r>
          </w:p>
        </w:tc>
      </w:tr>
      <w:tr>
        <w:tc>
          <w:tcPr>
            <w:tcW w:w="4072" w:type="dxa"/>
            <w:vAlign w:val="center"/>
          </w:tcPr>
          <w:p>
            <w:pPr>
              <w:spacing w:before="0" w:after="0"/>
              <w:jc w:val="left"/>
            </w:pPr>
            <w:r>
              <w:rPr>
                <w:sz w:val="18"/>
                <w:szCs w:val="18"/>
              </w:rPr>
              <w:t xml:space="preserve">Prepaid expenses and other current assets</w:t>
            </w:r>
          </w:p>
        </w:tc>
        <w:tc>
          <w:tcPr>
            <w:tcW w:w="2500" w:type="dxa"/>
            <w:vAlign w:val="center"/>
          </w:tcPr>
          <w:p>
            <w:pPr>
              <w:spacing w:before="0" w:after="0"/>
              <w:jc w:val="right"/>
            </w:pPr>
            <w:r>
              <w:rPr>
                <w:sz w:val="18"/>
                <w:szCs w:val="18"/>
              </w:rPr>
              <w:t xml:space="preserve">18,541</w:t>
            </w:r>
          </w:p>
        </w:tc>
        <w:tc>
          <w:tcPr>
            <w:tcW w:w="2500" w:type="dxa"/>
            <w:vAlign w:val="center"/>
          </w:tcPr>
          <w:p>
            <w:pPr>
              <w:spacing w:before="0" w:after="0"/>
              <w:jc w:val="right"/>
            </w:pPr>
            <w:r>
              <w:rPr>
                <w:sz w:val="18"/>
                <w:szCs w:val="18"/>
              </w:rPr>
              <w:t xml:space="preserve">18,831</w:t>
            </w:r>
          </w:p>
        </w:tc>
      </w:tr>
      <w:tr>
        <w:tc>
          <w:tcPr>
            <w:tcW w:w="4072" w:type="dxa"/>
            <w:vAlign w:val="center"/>
          </w:tcPr>
          <w:p>
            <w:pPr>
              <w:spacing w:before="0" w:after="0"/>
              <w:jc w:val="left"/>
            </w:pPr>
            <w:r>
              <w:rPr>
                <w:sz w:val="18"/>
                <w:szCs w:val="18"/>
              </w:rPr>
              <w:t xml:space="preserve">Short-term investments</w:t>
            </w:r>
          </w:p>
        </w:tc>
        <w:tc>
          <w:tcPr>
            <w:tcW w:w="2500" w:type="dxa"/>
            <w:vAlign w:val="center"/>
          </w:tcPr>
          <w:p>
            <w:pPr>
              <w:spacing w:before="0" w:after="0"/>
              <w:jc w:val="right"/>
            </w:pPr>
            <w:r>
              <w:rPr>
                <w:sz w:val="18"/>
                <w:szCs w:val="18"/>
              </w:rPr>
              <w:t xml:space="preserve">6,781</w:t>
            </w:r>
          </w:p>
        </w:tc>
        <w:tc>
          <w:tcPr>
            <w:tcW w:w="2500" w:type="dxa"/>
            <w:vAlign w:val="center"/>
          </w:tcPr>
          <w:p>
            <w:pPr>
              <w:spacing w:before="0" w:after="0"/>
              <w:jc w:val="right"/>
            </w:pPr>
            <w:r>
              <w:rPr>
                <w:sz w:val="18"/>
                <w:szCs w:val="18"/>
              </w:rPr>
              <w:t xml:space="preserve">7,382</w:t>
            </w:r>
          </w:p>
        </w:tc>
      </w:tr>
      <w:tr>
        <w:tc>
          <w:tcPr>
            <w:tcW w:w="4072" w:type="dxa"/>
            <w:vAlign w:val="center"/>
          </w:tcPr>
          <w:p>
            <w:pPr>
              <w:spacing w:before="0" w:after="0"/>
              <w:jc w:val="left"/>
            </w:pPr>
            <w:r>
              <w:rPr>
                <w:sz w:val="18"/>
                <w:szCs w:val="18"/>
              </w:rPr>
              <w:t xml:space="preserve">Current portion of operating lease liabilities</w:t>
            </w:r>
          </w:p>
        </w:tc>
        <w:tc>
          <w:tcPr>
            <w:tcW w:w="2500" w:type="dxa"/>
            <w:vAlign w:val="center"/>
          </w:tcPr>
          <w:p>
            <w:pPr>
              <w:spacing w:before="0" w:after="0"/>
              <w:jc w:val="right"/>
            </w:pPr>
            <w:r>
              <w:rPr>
                <w:sz w:val="18"/>
                <w:szCs w:val="18"/>
              </w:rPr>
              <w:t xml:space="preserve">19,487</w:t>
            </w:r>
          </w:p>
        </w:tc>
        <w:tc>
          <w:tcPr>
            <w:tcW w:w="2500" w:type="dxa"/>
            <w:vAlign w:val="center"/>
          </w:tcPr>
          <w:p>
            <w:pPr>
              <w:spacing w:before="0" w:after="0"/>
              <w:jc w:val="right"/>
            </w:pPr>
            <w:r>
              <w:rPr>
                <w:sz w:val="18"/>
                <w:szCs w:val="18"/>
              </w:rPr>
              <w:t xml:space="preserve">20,164</w:t>
            </w:r>
          </w:p>
        </w:tc>
      </w:tr>
    </w:tbl>
    <w:p>
      <w:pPr/>
    </w:p>
    <w:p>
      <w:pPr>
        <w:keepNext/>
      </w:pPr>
      <w:r>
        <w:rPr>
          <w:b/>
        </w:rPr>
        <w:t xml:space="preserve">4. Fair value measurements</w:t>
      </w:r>
    </w:p>
    <w:p>
      <w:pPr>
        <w:ind w:left="0" w:firstLine="360"/>
      </w:pPr>
      <w:r>
        <w:t xml:space="preserve">Labor costs are affected by minimum wage laws in the regions where the stores are located, and further increases could reduce store margins. The loyalty program had 1,101 thousand active members at the end of the fiscal year, and purchases by members accounted for 21.0% of store revenue. New stores generally reach the sales level of a mature store within eighteen to twenty-four months of opening. Weather affects customer traffic: cold drinks sell best in summer, while hot beverages and whole beans sell best from October through February. Net cash used in financing activities was $16,428 thousand, reflecting repayments of the term loan and dividends paid. Food safety incidents, whether or not they occur at our stores, could harm the reputation of the Nimbus Coffee brand and reduce customer traffic.</w:t>
      </w:r>
    </w:p>
    <w:p>
      <w:pPr>
        <w:ind w:left="0" w:firstLine="360"/>
      </w:pPr>
      <w:r>
        <w:t xml:space="preserve">Wholesale revenue comes from sales of roasted beans to restaurants, hotels and grocery stores in the regions where the Company operates. Orders placed through the online store, including orders for pickup in store and home delivery of whole beans, accounted for 33.0% of revenue in the Beverages and Beans categories. The Group leases all of its store premises under operating leases with initial terms of ten years, most of which include options to renew.</w:t>
      </w:r>
    </w:p>
    <w:p>
      <w:pPr>
        <w:keepNext/>
      </w:pPr>
      <w:r>
        <w:rPr>
          <w:b/>
        </w:rPr>
        <w:t xml:space="preserve">5. Inventories</w:t>
      </w:r>
    </w:p>
    <w:p>
      <w:pPr>
        <w:ind w:left="0" w:firstLine="360"/>
      </w:pPr>
      <w:r>
        <w:t xml:space="preserve">Wholesale revenue comes from sales of roasted beans to restaurants, hotels and grocery stores in the regions where the Group operates. Net cash used in financing activities was $6,896 thousand, reflecting repayments of the term loan and dividends paid. Revenue from stores in the Harborview region was $5,732 thousand, or 6.8% of total revenue. The roastery produced 176 thousand pounds of roasted coffee during the fiscal year, of which 41.0% was sold through company-operated stores. Weather affects customer traffic: cold drinks sell best in summer, while hot beverages and whole beans sell best from October through February.</w:t>
      </w:r>
    </w:p>
    <w:p>
      <w:pPr>
        <w:ind w:left="0" w:firstLine="360"/>
      </w:pPr>
      <w:r>
        <w:t xml:space="preserve">Each store is managed by a store manager who reports to a district manager, and district managers report to the director for their region. Total revenue for the fiscal year was $15,175 thousand, an increase of 8.8% over the prior year, and operating income was $32,761 thousand, an increase of 21.0%. Weather affects customer traffic: cold drinks sell best in summer, while hot beverages and whole beans sell best from October through February. The loyalty program had 575 thousand active members at the end of the fiscal year, and purchases by members accounted for 33.7% of store revenue. Nimbus Coffee holds no derivatives other than coffee futures contracts used to fix the price of part of its future green coffee purchases. The roastery produced 378 thousand pounds of roasted coffee during the fiscal year, of which 38.7% was sold through company-operated stores.</w:t>
      </w:r>
    </w:p>
    <w:p>
      <w:pPr>
        <w:ind w:left="0" w:firstLine="360"/>
      </w:pPr>
      <w:r>
        <w:t xml:space="preserve">Inventories consist of green coffee, roasted coffee, packaging, food and merchandise, and are stated at the lower of cost and net realizable value. Energy use per store decreased 2.5% compared with the prior year, as older espresso machines and refrigerators were replaced with more efficient models. Store operating expenses, which consist mainly of wages, benefits and supplies, were 28.2% of revenue, compared with 31.2% in the prior year. These forward-looking statements are based on information available as of the date of this statement, and actual results may differ materially because of many factors.</w:t>
      </w:r>
    </w:p>
    <w:tbl>
      <w:tblPr>
        <w:tblW w:w="907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72" w:type="dxa"/>
          <w:right w:w="72" w:type="dxa"/>
        </w:tblCellMar>
      </w:tblPr>
      <w:tblGrid>
        <w:gridCol w:w="4072"/>
        <w:gridCol w:w="2500"/>
        <w:gridCol w:w="2500"/>
      </w:tblGrid>
      <w:tr>
        <w:trPr>
          <w:tblHeader/>
        </w:trPr>
        <w:tc>
          <w:tcPr>
            <w:tcW w:w="4072" w:type="dxa"/>
            <w:shd w:val="clear" w:color="auto" w:fill="DDEBF7"/>
            <w:vAlign w:val="center"/>
          </w:tcPr>
          <w:p>
            <w:pPr>
              <w:spacing w:before="0" w:after="0"/>
              <w:jc w:val="center"/>
            </w:pPr>
            <w:r>
              <w:rPr>
                <w:b/>
                <w:sz w:val="18"/>
                <w:szCs w:val="18"/>
              </w:rPr>
              <w:t xml:space="preserve">Item</w:t>
            </w:r>
          </w:p>
        </w:tc>
        <w:tc>
          <w:tcPr>
            <w:tcW w:w="2500" w:type="dxa"/>
            <w:shd w:val="clear" w:color="auto" w:fill="DDEBF7"/>
            <w:vAlign w:val="center"/>
          </w:tcPr>
          <w:p>
            <w:pPr>
              <w:spacing w:before="0" w:after="0"/>
              <w:jc w:val="center"/>
            </w:pPr>
            <w:r>
              <w:rPr>
                <w:b/>
                <w:sz w:val="18"/>
                <w:szCs w:val="18"/>
              </w:rPr>
              <w:t xml:space="preserve">Q1 2025</w:t>
            </w:r>
          </w:p>
        </w:tc>
        <w:tc>
          <w:tcPr>
            <w:tcW w:w="2500" w:type="dxa"/>
            <w:shd w:val="clear" w:color="auto" w:fill="DDEBF7"/>
            <w:vAlign w:val="center"/>
          </w:tcPr>
          <w:p>
            <w:pPr>
              <w:spacing w:before="0" w:after="0"/>
              <w:jc w:val="center"/>
            </w:pPr>
            <w:r>
              <w:rPr>
                <w:b/>
                <w:sz w:val="18"/>
                <w:szCs w:val="18"/>
              </w:rPr>
              <w:t xml:space="preserve">Q1 2026</w:t>
            </w:r>
          </w:p>
        </w:tc>
      </w:tr>
      <w:tr>
        <w:tc>
          <w:tcPr>
            <w:tcW w:w="4072" w:type="dxa"/>
            <w:vAlign w:val="center"/>
          </w:tcPr>
          <w:p>
            <w:pPr>
              <w:spacing w:before="0" w:after="0"/>
              <w:jc w:val="left"/>
            </w:pPr>
            <w:r>
              <w:rPr>
                <w:sz w:val="18"/>
                <w:szCs w:val="18"/>
              </w:rPr>
              <w:t xml:space="preserve">Current portion of long-term debt</w:t>
            </w:r>
          </w:p>
        </w:tc>
        <w:tc>
          <w:tcPr>
            <w:tcW w:w="2500" w:type="dxa"/>
            <w:vAlign w:val="center"/>
          </w:tcPr>
          <w:p>
            <w:pPr>
              <w:spacing w:before="0" w:after="0"/>
              <w:jc w:val="right"/>
            </w:pPr>
            <w:r>
              <w:rPr>
                <w:sz w:val="18"/>
                <w:szCs w:val="18"/>
              </w:rPr>
              <w:t xml:space="preserve">31,751</w:t>
            </w:r>
          </w:p>
        </w:tc>
        <w:tc>
          <w:tcPr>
            <w:tcW w:w="2500" w:type="dxa"/>
            <w:vAlign w:val="center"/>
          </w:tcPr>
          <w:p>
            <w:pPr>
              <w:spacing w:before="0" w:after="0"/>
              <w:jc w:val="right"/>
            </w:pPr>
            <w:r>
              <w:rPr>
                <w:sz w:val="18"/>
                <w:szCs w:val="18"/>
              </w:rPr>
              <w:t xml:space="preserve">36,141</w:t>
            </w:r>
          </w:p>
        </w:tc>
      </w:tr>
      <w:tr>
        <w:tc>
          <w:tcPr>
            <w:tcW w:w="4072" w:type="dxa"/>
            <w:vAlign w:val="center"/>
          </w:tcPr>
          <w:p>
            <w:pPr>
              <w:spacing w:before="0" w:after="0"/>
              <w:jc w:val="left"/>
            </w:pPr>
            <w:r>
              <w:rPr>
                <w:sz w:val="18"/>
                <w:szCs w:val="18"/>
              </w:rPr>
              <w:t xml:space="preserve">Accounts receivable, net</w:t>
            </w:r>
          </w:p>
        </w:tc>
        <w:tc>
          <w:tcPr>
            <w:tcW w:w="2500" w:type="dxa"/>
            <w:vAlign w:val="center"/>
          </w:tcPr>
          <w:p>
            <w:pPr>
              <w:spacing w:before="0" w:after="0"/>
              <w:jc w:val="right"/>
            </w:pPr>
            <w:r>
              <w:rPr>
                <w:sz w:val="18"/>
                <w:szCs w:val="18"/>
              </w:rPr>
              <w:t xml:space="preserve">26,159</w:t>
            </w:r>
          </w:p>
        </w:tc>
        <w:tc>
          <w:tcPr>
            <w:tcW w:w="2500" w:type="dxa"/>
            <w:vAlign w:val="center"/>
          </w:tcPr>
          <w:p>
            <w:pPr>
              <w:spacing w:before="0" w:after="0"/>
              <w:jc w:val="right"/>
            </w:pPr>
            <w:r>
              <w:rPr>
                <w:sz w:val="18"/>
                <w:szCs w:val="18"/>
              </w:rPr>
              <w:t xml:space="preserve">26,545</w:t>
            </w:r>
          </w:p>
        </w:tc>
      </w:tr>
      <w:tr>
        <w:tc>
          <w:tcPr>
            <w:tcW w:w="4072" w:type="dxa"/>
            <w:vAlign w:val="center"/>
          </w:tcPr>
          <w:p>
            <w:pPr>
              <w:spacing w:before="0" w:after="0"/>
              <w:jc w:val="left"/>
            </w:pPr>
            <w:r>
              <w:rPr>
                <w:sz w:val="18"/>
                <w:szCs w:val="18"/>
              </w:rPr>
              <w:t xml:space="preserve">Cash and cash equivalents</w:t>
            </w:r>
          </w:p>
        </w:tc>
        <w:tc>
          <w:tcPr>
            <w:tcW w:w="2500" w:type="dxa"/>
            <w:vAlign w:val="center"/>
          </w:tcPr>
          <w:p>
            <w:pPr>
              <w:spacing w:before="0" w:after="0"/>
              <w:jc w:val="right"/>
            </w:pPr>
            <w:r>
              <w:rPr>
                <w:sz w:val="18"/>
                <w:szCs w:val="18"/>
              </w:rPr>
              <w:t xml:space="preserve">23,303</w:t>
            </w:r>
          </w:p>
        </w:tc>
        <w:tc>
          <w:tcPr>
            <w:tcW w:w="2500" w:type="dxa"/>
            <w:vAlign w:val="center"/>
          </w:tcPr>
          <w:p>
            <w:pPr>
              <w:spacing w:before="0" w:after="0"/>
              <w:jc w:val="right"/>
            </w:pPr>
            <w:r>
              <w:rPr>
                <w:sz w:val="18"/>
                <w:szCs w:val="18"/>
              </w:rPr>
              <w:t xml:space="preserve">24,743</w:t>
            </w:r>
          </w:p>
        </w:tc>
      </w:tr>
      <w:tr>
        <w:tc>
          <w:tcPr>
            <w:tcW w:w="4072" w:type="dxa"/>
            <w:vAlign w:val="center"/>
          </w:tcPr>
          <w:p>
            <w:pPr>
              <w:spacing w:before="0" w:after="0"/>
              <w:jc w:val="left"/>
            </w:pPr>
            <w:r>
              <w:rPr>
                <w:sz w:val="18"/>
                <w:szCs w:val="18"/>
              </w:rPr>
              <w:t xml:space="preserve">Other long-term assets</w:t>
            </w:r>
          </w:p>
        </w:tc>
        <w:tc>
          <w:tcPr>
            <w:tcW w:w="2500" w:type="dxa"/>
            <w:vAlign w:val="center"/>
          </w:tcPr>
          <w:p>
            <w:pPr>
              <w:spacing w:before="0" w:after="0"/>
              <w:jc w:val="right"/>
            </w:pPr>
            <w:r>
              <w:rPr>
                <w:sz w:val="18"/>
                <w:szCs w:val="18"/>
              </w:rPr>
              <w:t xml:space="preserve">28,292</w:t>
            </w:r>
          </w:p>
        </w:tc>
        <w:tc>
          <w:tcPr>
            <w:tcW w:w="2500" w:type="dxa"/>
            <w:vAlign w:val="center"/>
          </w:tcPr>
          <w:p>
            <w:pPr>
              <w:spacing w:before="0" w:after="0"/>
              <w:jc w:val="right"/>
            </w:pPr>
            <w:r>
              <w:rPr>
                <w:sz w:val="18"/>
                <w:szCs w:val="18"/>
              </w:rPr>
              <w:t xml:space="preserve">29,523</w:t>
            </w:r>
          </w:p>
        </w:tc>
      </w:tr>
      <w:tr>
        <w:tc>
          <w:tcPr>
            <w:tcW w:w="4072" w:type="dxa"/>
            <w:vAlign w:val="center"/>
          </w:tcPr>
          <w:p>
            <w:pPr>
              <w:spacing w:before="0" w:after="0"/>
              <w:jc w:val="left"/>
            </w:pPr>
            <w:r>
              <w:rPr>
                <w:sz w:val="18"/>
                <w:szCs w:val="18"/>
              </w:rPr>
              <w:t xml:space="preserve">Other long-term assets</w:t>
            </w:r>
          </w:p>
        </w:tc>
        <w:tc>
          <w:tcPr>
            <w:tcW w:w="2500" w:type="dxa"/>
            <w:vAlign w:val="center"/>
          </w:tcPr>
          <w:p>
            <w:pPr>
              <w:spacing w:before="0" w:after="0"/>
              <w:jc w:val="right"/>
            </w:pPr>
            <w:r>
              <w:rPr>
                <w:sz w:val="18"/>
                <w:szCs w:val="18"/>
              </w:rPr>
              <w:t xml:space="preserve">18,664</w:t>
            </w:r>
          </w:p>
        </w:tc>
        <w:tc>
          <w:tcPr>
            <w:tcW w:w="2500" w:type="dxa"/>
            <w:vAlign w:val="center"/>
          </w:tcPr>
          <w:p>
            <w:pPr>
              <w:spacing w:before="0" w:after="0"/>
              <w:jc w:val="right"/>
            </w:pPr>
            <w:r>
              <w:rPr>
                <w:sz w:val="18"/>
                <w:szCs w:val="18"/>
              </w:rPr>
              <w:t xml:space="preserve">21,495</w:t>
            </w:r>
          </w:p>
        </w:tc>
      </w:tr>
      <w:tr>
        <w:tc>
          <w:tcPr>
            <w:tcW w:w="4072" w:type="dxa"/>
            <w:vAlign w:val="center"/>
          </w:tcPr>
          <w:p>
            <w:pPr>
              <w:spacing w:before="0" w:after="0"/>
              <w:jc w:val="left"/>
            </w:pPr>
            <w:r>
              <w:rPr>
                <w:sz w:val="18"/>
                <w:szCs w:val="18"/>
              </w:rPr>
              <w:t xml:space="preserve">Accrued payroll and benefits</w:t>
            </w:r>
          </w:p>
        </w:tc>
        <w:tc>
          <w:tcPr>
            <w:tcW w:w="2500" w:type="dxa"/>
            <w:vAlign w:val="center"/>
          </w:tcPr>
          <w:p>
            <w:pPr>
              <w:spacing w:before="0" w:after="0"/>
              <w:jc w:val="right"/>
            </w:pPr>
            <w:r>
              <w:rPr>
                <w:sz w:val="18"/>
                <w:szCs w:val="18"/>
              </w:rPr>
              <w:t xml:space="preserve">6,043</w:t>
            </w:r>
          </w:p>
        </w:tc>
        <w:tc>
          <w:tcPr>
            <w:tcW w:w="2500" w:type="dxa"/>
            <w:vAlign w:val="center"/>
          </w:tcPr>
          <w:p>
            <w:pPr>
              <w:spacing w:before="0" w:after="0"/>
              <w:jc w:val="right"/>
            </w:pPr>
            <w:r>
              <w:rPr>
                <w:sz w:val="18"/>
                <w:szCs w:val="18"/>
              </w:rPr>
              <w:t xml:space="preserve">6,689</w:t>
            </w:r>
          </w:p>
        </w:tc>
      </w:tr>
    </w:tbl>
    <w:p>
      <w:pPr/>
    </w:p>
    <w:p>
      <w:pPr>
        <w:keepNext/>
      </w:pPr>
      <w:r>
        <w:rPr>
          <w:b/>
        </w:rPr>
        <w:t xml:space="preserve">6. Property and equipment</w:t>
      </w:r>
    </w:p>
    <w:p>
      <w:pPr>
        <w:ind w:left="0" w:firstLine="360"/>
      </w:pPr>
      <w:r>
        <w:t xml:space="preserve">The Group depends on a small number of dairy and bakery suppliers in each region, and an interruption in their deliveries could affect sales at the stores they serve. Total revenue for the fiscal year was $39,261 thousand, an increase of 15.7% over the prior year, and operating income was $23,295 thousand, an increase of 21.9%. These forward-looking statements are based on information available as of the date of this statement, and actual results may differ materially because of many factors. Revenue from loyalty rewards is deferred until the reward is redeemed or expires. Nimbus Coffee holds no derivatives other than coffee futures contracts used to fix the price of part of its future green coffee purchases.</w:t>
      </w:r>
    </w:p>
    <w:p>
      <w:pPr>
        <w:ind w:left="0" w:firstLine="360"/>
      </w:pPr>
      <w:r>
        <w:t xml:space="preserve">Nimbus Coffee buys 58.3% of its green coffee by volume from farms certified under recognized sustainability standards. Revenue from wholesale customers increased 3.1% compared with the prior year, while its share of total revenue was little changed. At the end of the fiscal year, Nimbus Coffee operated 167 company-operated stores in eight regions: Northfield, Eastbay, Southport, Westridge, Lakeside, Hillcrest, Riverside and Harborview. Net cash used in financing activities was $23,193 thousand, reflecting repayments of the term loan and dividends paid.</w:t>
      </w:r>
    </w:p>
    <w:p>
      <w:pPr>
        <w:keepNext/>
      </w:pPr>
      <w:r>
        <w:rPr>
          <w:b/>
        </w:rPr>
        <w:t xml:space="preserve">7. Goodwill and other intangible assets</w:t>
      </w:r>
    </w:p>
    <w:p>
      <w:pPr>
        <w:ind w:left="0" w:firstLine="360"/>
      </w:pPr>
      <w:r>
        <w:t xml:space="preserve">Comparable store sales increased 4.7%, driven by a 4.3% increase in average ticket and a 3.9% increase in transactions. Nimbus Coffee intends to pay dividends out of retained earnings while keeping sufficient funds to finance the opening of new stores. Green coffee is purchased from exporters and cooperatives in Central America, South America and East Africa under fixed-price contracts that generally cover the next nine to twelve months of expected needs. The price of green coffee is volatile, and a sustained increase could reduce gross margin if the Group is unable to pass the cost on to customers through menu prices. Orders placed through the online store, including orders for pickup in store and home delivery of whole beans, accounted for 47.8% of revenue in the Beverages and Beans categories. Capital expenditures totaled $22,164 thousand and consisted mainly of the build-out of new stores, the remodeling of existing stores and a second roasting line at the Northfield roastery.</w:t>
      </w:r>
    </w:p>
    <w:p>
      <w:pPr>
        <w:ind w:left="0" w:firstLine="360"/>
      </w:pPr>
      <w:r>
        <w:t xml:space="preserve">The Company holds no derivatives other than coffee futures contracts used to fix the price of part of its future green coffee purchases. During the fiscal year, the Group opened 14 new stores and closed 2 stores whose leases expired. Revenue from wholesale customers increased 17.8% compared with the prior year, while its share of total revenue was little changed. Inventories consist of green coffee, roasted coffee, packaging, food and merchandise, and are stated at the lower of cost and net realizable value. Net cash used in financing activities was $22,487 thousand, reflecting repayments of the term loan and dividends paid.</w:t>
      </w:r>
    </w:p>
    <w:tbl>
      <w:tblPr>
        <w:tblW w:w="907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72" w:type="dxa"/>
          <w:right w:w="72" w:type="dxa"/>
        </w:tblCellMar>
      </w:tblPr>
      <w:tblGrid>
        <w:gridCol w:w="4072"/>
        <w:gridCol w:w="2500"/>
        <w:gridCol w:w="2500"/>
      </w:tblGrid>
      <w:tr>
        <w:trPr>
          <w:tblHeader/>
        </w:trPr>
        <w:tc>
          <w:tcPr>
            <w:tcW w:w="4072" w:type="dxa"/>
            <w:shd w:val="clear" w:color="auto" w:fill="DDEBF7"/>
            <w:vAlign w:val="center"/>
          </w:tcPr>
          <w:p>
            <w:pPr>
              <w:spacing w:before="0" w:after="0"/>
              <w:jc w:val="center"/>
            </w:pPr>
            <w:r>
              <w:rPr>
                <w:b/>
                <w:sz w:val="18"/>
                <w:szCs w:val="18"/>
              </w:rPr>
              <w:t xml:space="preserve">Item</w:t>
            </w:r>
          </w:p>
        </w:tc>
        <w:tc>
          <w:tcPr>
            <w:tcW w:w="2500" w:type="dxa"/>
            <w:shd w:val="clear" w:color="auto" w:fill="DDEBF7"/>
            <w:vAlign w:val="center"/>
          </w:tcPr>
          <w:p>
            <w:pPr>
              <w:spacing w:before="0" w:after="0"/>
              <w:jc w:val="center"/>
            </w:pPr>
            <w:r>
              <w:rPr>
                <w:b/>
                <w:sz w:val="18"/>
                <w:szCs w:val="18"/>
              </w:rPr>
              <w:t xml:space="preserve">Q1 2025</w:t>
            </w:r>
          </w:p>
        </w:tc>
        <w:tc>
          <w:tcPr>
            <w:tcW w:w="2500" w:type="dxa"/>
            <w:shd w:val="clear" w:color="auto" w:fill="DDEBF7"/>
            <w:vAlign w:val="center"/>
          </w:tcPr>
          <w:p>
            <w:pPr>
              <w:spacing w:before="0" w:after="0"/>
              <w:jc w:val="center"/>
            </w:pPr>
            <w:r>
              <w:rPr>
                <w:b/>
                <w:sz w:val="18"/>
                <w:szCs w:val="18"/>
              </w:rPr>
              <w:t xml:space="preserve">Q1 2026</w:t>
            </w:r>
          </w:p>
        </w:tc>
      </w:tr>
      <w:tr>
        <w:tc>
          <w:tcPr>
            <w:tcW w:w="4072" w:type="dxa"/>
            <w:vAlign w:val="center"/>
          </w:tcPr>
          <w:p>
            <w:pPr>
              <w:spacing w:before="0" w:after="0"/>
              <w:jc w:val="left"/>
            </w:pPr>
            <w:r>
              <w:rPr>
                <w:sz w:val="18"/>
                <w:szCs w:val="18"/>
              </w:rPr>
              <w:t xml:space="preserve">Operating lease liabilities, net of current portion</w:t>
            </w:r>
          </w:p>
        </w:tc>
        <w:tc>
          <w:tcPr>
            <w:tcW w:w="2500" w:type="dxa"/>
            <w:vAlign w:val="center"/>
          </w:tcPr>
          <w:p>
            <w:pPr>
              <w:spacing w:before="0" w:after="0"/>
              <w:jc w:val="right"/>
            </w:pPr>
            <w:r>
              <w:rPr>
                <w:sz w:val="18"/>
                <w:szCs w:val="18"/>
              </w:rPr>
              <w:t xml:space="preserve">28,552</w:t>
            </w:r>
          </w:p>
        </w:tc>
        <w:tc>
          <w:tcPr>
            <w:tcW w:w="2500" w:type="dxa"/>
            <w:vAlign w:val="center"/>
          </w:tcPr>
          <w:p>
            <w:pPr>
              <w:spacing w:before="0" w:after="0"/>
              <w:jc w:val="right"/>
            </w:pPr>
            <w:r>
              <w:rPr>
                <w:sz w:val="18"/>
                <w:szCs w:val="18"/>
              </w:rPr>
              <w:t xml:space="preserve">29,888</w:t>
            </w:r>
          </w:p>
        </w:tc>
      </w:tr>
      <w:tr>
        <w:tc>
          <w:tcPr>
            <w:tcW w:w="4072" w:type="dxa"/>
            <w:vAlign w:val="center"/>
          </w:tcPr>
          <w:p>
            <w:pPr>
              <w:spacing w:before="0" w:after="0"/>
              <w:jc w:val="left"/>
            </w:pPr>
            <w:r>
              <w:rPr>
                <w:sz w:val="18"/>
                <w:szCs w:val="18"/>
              </w:rPr>
              <w:t xml:space="preserve">Other long-term liabilities</w:t>
            </w:r>
          </w:p>
        </w:tc>
        <w:tc>
          <w:tcPr>
            <w:tcW w:w="2500" w:type="dxa"/>
            <w:vAlign w:val="center"/>
          </w:tcPr>
          <w:p>
            <w:pPr>
              <w:spacing w:before="0" w:after="0"/>
              <w:jc w:val="right"/>
            </w:pPr>
            <w:r>
              <w:rPr>
                <w:sz w:val="18"/>
                <w:szCs w:val="18"/>
              </w:rPr>
              <w:t xml:space="preserve">26,286</w:t>
            </w:r>
          </w:p>
        </w:tc>
        <w:tc>
          <w:tcPr>
            <w:tcW w:w="2500" w:type="dxa"/>
            <w:vAlign w:val="center"/>
          </w:tcPr>
          <w:p>
            <w:pPr>
              <w:spacing w:before="0" w:after="0"/>
              <w:jc w:val="right"/>
            </w:pPr>
            <w:r>
              <w:rPr>
                <w:sz w:val="18"/>
                <w:szCs w:val="18"/>
              </w:rPr>
              <w:t xml:space="preserve">30,380</w:t>
            </w:r>
          </w:p>
        </w:tc>
      </w:tr>
      <w:tr>
        <w:tc>
          <w:tcPr>
            <w:tcW w:w="4072" w:type="dxa"/>
            <w:vAlign w:val="center"/>
          </w:tcPr>
          <w:p>
            <w:pPr>
              <w:spacing w:before="0" w:after="0"/>
              <w:jc w:val="left"/>
            </w:pPr>
            <w:r>
              <w:rPr>
                <w:sz w:val="18"/>
                <w:szCs w:val="18"/>
              </w:rPr>
              <w:t xml:space="preserve">Deferred rent and asset retirement obligations</w:t>
            </w:r>
          </w:p>
        </w:tc>
        <w:tc>
          <w:tcPr>
            <w:tcW w:w="2500" w:type="dxa"/>
            <w:vAlign w:val="center"/>
          </w:tcPr>
          <w:p>
            <w:pPr>
              <w:spacing w:before="0" w:after="0"/>
              <w:jc w:val="right"/>
            </w:pPr>
            <w:r>
              <w:rPr>
                <w:sz w:val="18"/>
                <w:szCs w:val="18"/>
              </w:rPr>
              <w:t xml:space="preserve">13,208</w:t>
            </w:r>
          </w:p>
        </w:tc>
        <w:tc>
          <w:tcPr>
            <w:tcW w:w="2500" w:type="dxa"/>
            <w:vAlign w:val="center"/>
          </w:tcPr>
          <w:p>
            <w:pPr>
              <w:spacing w:before="0" w:after="0"/>
              <w:jc w:val="right"/>
            </w:pPr>
            <w:r>
              <w:rPr>
                <w:sz w:val="18"/>
                <w:szCs w:val="18"/>
              </w:rPr>
              <w:t xml:space="preserve">15,314</w:t>
            </w:r>
          </w:p>
        </w:tc>
      </w:tr>
      <w:tr>
        <w:tc>
          <w:tcPr>
            <w:tcW w:w="4072" w:type="dxa"/>
            <w:vAlign w:val="center"/>
          </w:tcPr>
          <w:p>
            <w:pPr>
              <w:spacing w:before="0" w:after="0"/>
              <w:jc w:val="left"/>
            </w:pPr>
            <w:r>
              <w:rPr>
                <w:sz w:val="18"/>
                <w:szCs w:val="18"/>
              </w:rPr>
              <w:t xml:space="preserve">Inventories</w:t>
            </w:r>
          </w:p>
        </w:tc>
        <w:tc>
          <w:tcPr>
            <w:tcW w:w="2500" w:type="dxa"/>
            <w:vAlign w:val="center"/>
          </w:tcPr>
          <w:p>
            <w:pPr>
              <w:spacing w:before="0" w:after="0"/>
              <w:jc w:val="right"/>
            </w:pPr>
            <w:r>
              <w:rPr>
                <w:sz w:val="18"/>
                <w:szCs w:val="18"/>
              </w:rPr>
              <w:t xml:space="preserve">25,221</w:t>
            </w:r>
          </w:p>
        </w:tc>
        <w:tc>
          <w:tcPr>
            <w:tcW w:w="2500" w:type="dxa"/>
            <w:vAlign w:val="center"/>
          </w:tcPr>
          <w:p>
            <w:pPr>
              <w:spacing w:before="0" w:after="0"/>
              <w:jc w:val="right"/>
            </w:pPr>
            <w:r>
              <w:rPr>
                <w:sz w:val="18"/>
                <w:szCs w:val="18"/>
              </w:rPr>
              <w:t xml:space="preserve">25,642</w:t>
            </w:r>
          </w:p>
        </w:tc>
      </w:tr>
      <w:tr>
        <w:tc>
          <w:tcPr>
            <w:tcW w:w="4072" w:type="dxa"/>
            <w:vAlign w:val="center"/>
          </w:tcPr>
          <w:p>
            <w:pPr>
              <w:spacing w:before="0" w:after="0"/>
              <w:jc w:val="left"/>
            </w:pPr>
            <w:r>
              <w:rPr>
                <w:sz w:val="18"/>
                <w:szCs w:val="18"/>
              </w:rPr>
              <w:t xml:space="preserve">Other long-term assets</w:t>
            </w:r>
          </w:p>
        </w:tc>
        <w:tc>
          <w:tcPr>
            <w:tcW w:w="2500" w:type="dxa"/>
            <w:vAlign w:val="center"/>
          </w:tcPr>
          <w:p>
            <w:pPr>
              <w:spacing w:before="0" w:after="0"/>
              <w:jc w:val="right"/>
            </w:pPr>
            <w:r>
              <w:rPr>
                <w:sz w:val="18"/>
                <w:szCs w:val="18"/>
              </w:rPr>
              <w:t xml:space="preserve">28,405</w:t>
            </w:r>
          </w:p>
        </w:tc>
        <w:tc>
          <w:tcPr>
            <w:tcW w:w="2500" w:type="dxa"/>
            <w:vAlign w:val="center"/>
          </w:tcPr>
          <w:p>
            <w:pPr>
              <w:spacing w:before="0" w:after="0"/>
              <w:jc w:val="right"/>
            </w:pPr>
            <w:r>
              <w:rPr>
                <w:sz w:val="18"/>
                <w:szCs w:val="18"/>
              </w:rPr>
              <w:t xml:space="preserve">29,671</w:t>
            </w:r>
          </w:p>
        </w:tc>
      </w:tr>
      <w:tr>
        <w:tc>
          <w:tcPr>
            <w:tcW w:w="4072" w:type="dxa"/>
            <w:vAlign w:val="center"/>
          </w:tcPr>
          <w:p>
            <w:pPr>
              <w:spacing w:before="0" w:after="0"/>
              <w:jc w:val="left"/>
            </w:pPr>
            <w:r>
              <w:rPr>
                <w:sz w:val="18"/>
                <w:szCs w:val="18"/>
              </w:rPr>
              <w:t xml:space="preserve">Other intangible assets, net</w:t>
            </w:r>
          </w:p>
        </w:tc>
        <w:tc>
          <w:tcPr>
            <w:tcW w:w="2500" w:type="dxa"/>
            <w:vAlign w:val="center"/>
          </w:tcPr>
          <w:p>
            <w:pPr>
              <w:spacing w:before="0" w:after="0"/>
              <w:jc w:val="right"/>
            </w:pPr>
            <w:r>
              <w:rPr>
                <w:sz w:val="18"/>
                <w:szCs w:val="18"/>
              </w:rPr>
              <w:t xml:space="preserve">23,662</w:t>
            </w:r>
          </w:p>
        </w:tc>
        <w:tc>
          <w:tcPr>
            <w:tcW w:w="2500" w:type="dxa"/>
            <w:vAlign w:val="center"/>
          </w:tcPr>
          <w:p>
            <w:pPr>
              <w:spacing w:before="0" w:after="0"/>
              <w:jc w:val="right"/>
            </w:pPr>
            <w:r>
              <w:rPr>
                <w:sz w:val="18"/>
                <w:szCs w:val="18"/>
              </w:rPr>
              <w:t xml:space="preserve">27,417</w:t>
            </w:r>
          </w:p>
        </w:tc>
      </w:tr>
    </w:tbl>
    <w:p>
      <w:pPr/>
    </w:p>
    <w:p>
      <w:pPr>
        <w:keepNext/>
      </w:pPr>
      <w:r>
        <w:rPr>
          <w:b/>
        </w:rPr>
        <w:t xml:space="preserve">8. Debt</w:t>
      </w:r>
    </w:p>
    <w:p>
      <w:pPr>
        <w:ind w:left="0" w:firstLine="360"/>
      </w:pPr>
      <w:r>
        <w:t xml:space="preserve">Comparable store sales increased 6.5%, driven by a 1.4% increase in average ticket and a 2.6% increase in transactions. The Group operates specialty coffee shops under the Nimbus Coffee name and roasts all of the coffee it serves at its own roastery in Northfield. These forward-looking statements are based on information available as of the date of this statement, and actual results may differ materially because of many factors. Net cash used in investing activities was $21,606 thousand, primarily for purchases of property and equipment. Total revenue for the fiscal year was $278,364 thousand, an increase of 6.7% over the prior year, and operating income was $15,770 thousand, an increase of 17.3%. Energy use per store decreased 7.0% compared with the prior year, as older espresso machines and refrigerators were replaced with more efficient models.</w:t>
      </w:r>
    </w:p>
    <w:p>
      <w:pPr>
        <w:ind w:left="0" w:firstLine="360"/>
      </w:pPr>
      <w:r>
        <w:t xml:space="preserve">Net cash provided by operating activities was $128,349 thousand, mainly reflecting net income and depreciation and amortization. Labor costs are affected by minimum wage laws in the regions where the stores are located, and further increases could reduce store margins. The Company leases all of its store premises under operating leases with initial terms of ten years, most of which include options to renew.</w:t>
      </w:r>
    </w:p>
    <w:p>
      <w:pPr>
        <w:keepNext/>
      </w:pPr>
      <w:r>
        <w:rPr>
          <w:b/>
        </w:rPr>
        <w:t xml:space="preserve">9. Stock-based compensation</w:t>
      </w:r>
    </w:p>
    <w:p>
      <w:pPr>
        <w:ind w:left="0" w:firstLine="360"/>
      </w:pPr>
      <w:r>
        <w:t xml:space="preserve">Nimbus Coffee buys 47.5% of its green coffee by volume from farms certified under recognized sustainability standards. Green coffee is purchased from exporters and cooperatives in Central America, South America and East Africa under fixed-price contracts that generally cover the next nine to twelve months of expected needs. Net cash used in investing activities was $5,812 thousand, primarily for purchases of property and equipment. At the end of the fiscal year, the Company operated 161 company-operated stores in eight regions: Northfield, Eastbay, Southport, Westridge, Lakeside, Hillcrest, Riverside and Harborview. The Company leases all of its store premises under operating leases with initial terms of ten years, most of which include options to renew. The loyalty program had 299 thousand active members at the end of the fiscal year, and purchases by members accounted for 28.3% of store revenue.</w:t>
      </w:r>
    </w:p>
    <w:p>
      <w:pPr>
        <w:ind w:left="0" w:firstLine="360"/>
      </w:pPr>
      <w:r>
        <w:t xml:space="preserve">Labor costs are affected by minimum wage laws in the regions where the stores are located, and further increases could reduce store margins. Orders placed through the online store, including orders for pickup in store and home delivery of whole beans, accounted for 45.4% of revenue in the Beverages and Beans categories. Weather affects customer traffic: cold drinks sell best in summer, while hot beverages and whole beans sell best from October through February. Net cash provided by operating activities was $84,209 thousand, mainly reflecting net income and depreciation and amortization.</w:t>
      </w:r>
    </w:p>
    <w:p>
      <w:pPr>
        <w:ind w:left="0" w:firstLine="360"/>
      </w:pPr>
      <w:r>
        <w:t xml:space="preserve">Net cash used in financing activities was $14,379 thousand, reflecting repayments of the term loan and dividends paid. Green coffee is purchased from exporters and cooperatives in Central America, South America and East Africa under fixed-price contracts that generally cover the next nine to twelve months of expected needs. Revenue from stores in the Northfield region increased 13.5% compared with the prior year, while its share of total revenue was little changed.</w:t>
      </w:r>
    </w:p>
    <w:tbl>
      <w:tblPr>
        <w:tblW w:w="907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72" w:type="dxa"/>
          <w:right w:w="72" w:type="dxa"/>
        </w:tblCellMar>
      </w:tblPr>
      <w:tblGrid>
        <w:gridCol w:w="4072"/>
        <w:gridCol w:w="2500"/>
        <w:gridCol w:w="2500"/>
      </w:tblGrid>
      <w:tr>
        <w:trPr>
          <w:tblHeader/>
        </w:trPr>
        <w:tc>
          <w:tcPr>
            <w:tcW w:w="4072" w:type="dxa"/>
            <w:shd w:val="clear" w:color="auto" w:fill="DDEBF7"/>
            <w:vAlign w:val="center"/>
          </w:tcPr>
          <w:p>
            <w:pPr>
              <w:spacing w:before="0" w:after="0"/>
              <w:jc w:val="center"/>
            </w:pPr>
            <w:r>
              <w:rPr>
                <w:b/>
                <w:sz w:val="18"/>
                <w:szCs w:val="18"/>
              </w:rPr>
              <w:t xml:space="preserve">Item</w:t>
            </w:r>
          </w:p>
        </w:tc>
        <w:tc>
          <w:tcPr>
            <w:tcW w:w="2500" w:type="dxa"/>
            <w:shd w:val="clear" w:color="auto" w:fill="DDEBF7"/>
            <w:vAlign w:val="center"/>
          </w:tcPr>
          <w:p>
            <w:pPr>
              <w:spacing w:before="0" w:after="0"/>
              <w:jc w:val="center"/>
            </w:pPr>
            <w:r>
              <w:rPr>
                <w:b/>
                <w:sz w:val="18"/>
                <w:szCs w:val="18"/>
              </w:rPr>
              <w:t xml:space="preserve">Q1 2025</w:t>
            </w:r>
          </w:p>
        </w:tc>
        <w:tc>
          <w:tcPr>
            <w:tcW w:w="2500" w:type="dxa"/>
            <w:shd w:val="clear" w:color="auto" w:fill="DDEBF7"/>
            <w:vAlign w:val="center"/>
          </w:tcPr>
          <w:p>
            <w:pPr>
              <w:spacing w:before="0" w:after="0"/>
              <w:jc w:val="center"/>
            </w:pPr>
            <w:r>
              <w:rPr>
                <w:b/>
                <w:sz w:val="18"/>
                <w:szCs w:val="18"/>
              </w:rPr>
              <w:t xml:space="preserve">Q1 2026</w:t>
            </w:r>
          </w:p>
        </w:tc>
      </w:tr>
      <w:tr>
        <w:tc>
          <w:tcPr>
            <w:tcW w:w="4072" w:type="dxa"/>
            <w:vAlign w:val="center"/>
          </w:tcPr>
          <w:p>
            <w:pPr>
              <w:spacing w:before="0" w:after="0"/>
              <w:jc w:val="left"/>
            </w:pPr>
            <w:r>
              <w:rPr>
                <w:sz w:val="18"/>
                <w:szCs w:val="18"/>
              </w:rPr>
              <w:t xml:space="preserve">Long-term debt, net of current portion</w:t>
            </w:r>
          </w:p>
        </w:tc>
        <w:tc>
          <w:tcPr>
            <w:tcW w:w="2500" w:type="dxa"/>
            <w:vAlign w:val="center"/>
          </w:tcPr>
          <w:p>
            <w:pPr>
              <w:spacing w:before="0" w:after="0"/>
              <w:jc w:val="right"/>
            </w:pPr>
            <w:r>
              <w:rPr>
                <w:sz w:val="18"/>
                <w:szCs w:val="18"/>
              </w:rPr>
              <w:t xml:space="preserve">14,927</w:t>
            </w:r>
          </w:p>
        </w:tc>
        <w:tc>
          <w:tcPr>
            <w:tcW w:w="2500" w:type="dxa"/>
            <w:vAlign w:val="center"/>
          </w:tcPr>
          <w:p>
            <w:pPr>
              <w:spacing w:before="0" w:after="0"/>
              <w:jc w:val="right"/>
            </w:pPr>
            <w:r>
              <w:rPr>
                <w:sz w:val="18"/>
                <w:szCs w:val="18"/>
              </w:rPr>
              <w:t xml:space="preserve">15,942</w:t>
            </w:r>
          </w:p>
        </w:tc>
      </w:tr>
      <w:tr>
        <w:tc>
          <w:tcPr>
            <w:tcW w:w="4072" w:type="dxa"/>
            <w:vAlign w:val="center"/>
          </w:tcPr>
          <w:p>
            <w:pPr>
              <w:spacing w:before="0" w:after="0"/>
              <w:jc w:val="left"/>
            </w:pPr>
            <w:r>
              <w:rPr>
                <w:sz w:val="18"/>
                <w:szCs w:val="18"/>
              </w:rPr>
              <w:t xml:space="preserve">Accrued payroll and benefits</w:t>
            </w:r>
          </w:p>
        </w:tc>
        <w:tc>
          <w:tcPr>
            <w:tcW w:w="2500" w:type="dxa"/>
            <w:vAlign w:val="center"/>
          </w:tcPr>
          <w:p>
            <w:pPr>
              <w:spacing w:before="0" w:after="0"/>
              <w:jc w:val="right"/>
            </w:pPr>
            <w:r>
              <w:rPr>
                <w:sz w:val="18"/>
                <w:szCs w:val="18"/>
              </w:rPr>
              <w:t xml:space="preserve">15,914</w:t>
            </w:r>
          </w:p>
        </w:tc>
        <w:tc>
          <w:tcPr>
            <w:tcW w:w="2500" w:type="dxa"/>
            <w:vAlign w:val="center"/>
          </w:tcPr>
          <w:p>
            <w:pPr>
              <w:spacing w:before="0" w:after="0"/>
              <w:jc w:val="right"/>
            </w:pPr>
            <w:r>
              <w:rPr>
                <w:sz w:val="18"/>
                <w:szCs w:val="18"/>
              </w:rPr>
              <w:t xml:space="preserve">17,374</w:t>
            </w:r>
          </w:p>
        </w:tc>
      </w:tr>
      <w:tr>
        <w:tc>
          <w:tcPr>
            <w:tcW w:w="4072" w:type="dxa"/>
            <w:vAlign w:val="center"/>
          </w:tcPr>
          <w:p>
            <w:pPr>
              <w:spacing w:before="0" w:after="0"/>
              <w:jc w:val="left"/>
            </w:pPr>
            <w:r>
              <w:rPr>
                <w:sz w:val="18"/>
                <w:szCs w:val="18"/>
              </w:rPr>
              <w:t xml:space="preserve">Prepaid expenses and other current assets</w:t>
            </w:r>
          </w:p>
        </w:tc>
        <w:tc>
          <w:tcPr>
            <w:tcW w:w="2500" w:type="dxa"/>
            <w:vAlign w:val="center"/>
          </w:tcPr>
          <w:p>
            <w:pPr>
              <w:spacing w:before="0" w:after="0"/>
              <w:jc w:val="right"/>
            </w:pPr>
            <w:r>
              <w:rPr>
                <w:sz w:val="18"/>
                <w:szCs w:val="18"/>
              </w:rPr>
              <w:t xml:space="preserve">29,222</w:t>
            </w:r>
          </w:p>
        </w:tc>
        <w:tc>
          <w:tcPr>
            <w:tcW w:w="2500" w:type="dxa"/>
            <w:vAlign w:val="center"/>
          </w:tcPr>
          <w:p>
            <w:pPr>
              <w:spacing w:before="0" w:after="0"/>
              <w:jc w:val="right"/>
            </w:pPr>
            <w:r>
              <w:rPr>
                <w:sz w:val="18"/>
                <w:szCs w:val="18"/>
              </w:rPr>
              <w:t xml:space="preserve">29,902</w:t>
            </w:r>
          </w:p>
        </w:tc>
      </w:tr>
      <w:tr>
        <w:tc>
          <w:tcPr>
            <w:tcW w:w="4072" w:type="dxa"/>
            <w:vAlign w:val="center"/>
          </w:tcPr>
          <w:p>
            <w:pPr>
              <w:spacing w:before="0" w:after="0"/>
              <w:jc w:val="left"/>
            </w:pPr>
            <w:r>
              <w:rPr>
                <w:sz w:val="18"/>
                <w:szCs w:val="18"/>
              </w:rPr>
              <w:t xml:space="preserve">Current portion of long-term debt</w:t>
            </w:r>
          </w:p>
        </w:tc>
        <w:tc>
          <w:tcPr>
            <w:tcW w:w="2500" w:type="dxa"/>
            <w:vAlign w:val="center"/>
          </w:tcPr>
          <w:p>
            <w:pPr>
              <w:spacing w:before="0" w:after="0"/>
              <w:jc w:val="right"/>
            </w:pPr>
            <w:r>
              <w:rPr>
                <w:sz w:val="18"/>
                <w:szCs w:val="18"/>
              </w:rPr>
              <w:t xml:space="preserve">31,289</w:t>
            </w:r>
          </w:p>
        </w:tc>
        <w:tc>
          <w:tcPr>
            <w:tcW w:w="2500" w:type="dxa"/>
            <w:vAlign w:val="center"/>
          </w:tcPr>
          <w:p>
            <w:pPr>
              <w:spacing w:before="0" w:after="0"/>
              <w:jc w:val="right"/>
            </w:pPr>
            <w:r>
              <w:rPr>
                <w:sz w:val="18"/>
                <w:szCs w:val="18"/>
              </w:rPr>
              <w:t xml:space="preserve">37,129</w:t>
            </w:r>
          </w:p>
        </w:tc>
      </w:tr>
      <w:tr>
        <w:tc>
          <w:tcPr>
            <w:tcW w:w="4072" w:type="dxa"/>
            <w:vAlign w:val="center"/>
          </w:tcPr>
          <w:p>
            <w:pPr>
              <w:spacing w:before="0" w:after="0"/>
              <w:jc w:val="left"/>
            </w:pPr>
            <w:r>
              <w:rPr>
                <w:sz w:val="18"/>
                <w:szCs w:val="18"/>
              </w:rPr>
              <w:t xml:space="preserve">Current portion of operating lease liabilities</w:t>
            </w:r>
          </w:p>
        </w:tc>
        <w:tc>
          <w:tcPr>
            <w:tcW w:w="2500" w:type="dxa"/>
            <w:vAlign w:val="center"/>
          </w:tcPr>
          <w:p>
            <w:pPr>
              <w:spacing w:before="0" w:after="0"/>
              <w:jc w:val="right"/>
            </w:pPr>
            <w:r>
              <w:rPr>
                <w:sz w:val="18"/>
                <w:szCs w:val="18"/>
              </w:rPr>
              <w:t xml:space="preserve">20,414</w:t>
            </w:r>
          </w:p>
        </w:tc>
        <w:tc>
          <w:tcPr>
            <w:tcW w:w="2500" w:type="dxa"/>
            <w:vAlign w:val="center"/>
          </w:tcPr>
          <w:p>
            <w:pPr>
              <w:spacing w:before="0" w:after="0"/>
              <w:jc w:val="right"/>
            </w:pPr>
            <w:r>
              <w:rPr>
                <w:sz w:val="18"/>
                <w:szCs w:val="18"/>
              </w:rPr>
              <w:t xml:space="preserve">21,539</w:t>
            </w:r>
          </w:p>
        </w:tc>
      </w:tr>
      <w:tr>
        <w:tc>
          <w:tcPr>
            <w:tcW w:w="4072" w:type="dxa"/>
            <w:vAlign w:val="center"/>
          </w:tcPr>
          <w:p>
            <w:pPr>
              <w:spacing w:before="0" w:after="0"/>
              <w:jc w:val="left"/>
            </w:pPr>
            <w:r>
              <w:rPr>
                <w:sz w:val="18"/>
                <w:szCs w:val="18"/>
              </w:rPr>
              <w:t xml:space="preserve">Short-term investments</w:t>
            </w:r>
          </w:p>
        </w:tc>
        <w:tc>
          <w:tcPr>
            <w:tcW w:w="2500" w:type="dxa"/>
            <w:vAlign w:val="center"/>
          </w:tcPr>
          <w:p>
            <w:pPr>
              <w:spacing w:before="0" w:after="0"/>
              <w:jc w:val="right"/>
            </w:pPr>
            <w:r>
              <w:rPr>
                <w:sz w:val="18"/>
                <w:szCs w:val="18"/>
              </w:rPr>
              <w:t xml:space="preserve">5,242</w:t>
            </w:r>
          </w:p>
        </w:tc>
        <w:tc>
          <w:tcPr>
            <w:tcW w:w="2500" w:type="dxa"/>
            <w:vAlign w:val="center"/>
          </w:tcPr>
          <w:p>
            <w:pPr>
              <w:spacing w:before="0" w:after="0"/>
              <w:jc w:val="right"/>
            </w:pPr>
            <w:r>
              <w:rPr>
                <w:sz w:val="18"/>
                <w:szCs w:val="18"/>
              </w:rPr>
              <w:t xml:space="preserve">5,378</w:t>
            </w:r>
          </w:p>
        </w:tc>
      </w:tr>
    </w:tbl>
    <w:p>
      <w:pPr/>
    </w:p>
    <w:p>
      <w:pPr>
        <w:keepNext/>
      </w:pPr>
      <w:r>
        <w:rPr>
          <w:b/>
        </w:rPr>
        <w:t xml:space="preserve">10. Income taxes</w:t>
      </w:r>
    </w:p>
    <w:p>
      <w:pPr>
        <w:ind w:left="0" w:firstLine="360"/>
      </w:pPr>
      <w:r>
        <w:t xml:space="preserve">Capital expenditures totaled $12,858 thousand and consisted mainly of the build-out of new stores, the remodeling of existing stores and a second roasting line at the Northfield roastery. The price of green coffee is volatile, and a sustained increase could reduce gross margin if the Company is unable to pass the cost on to customers through menu prices. New stores generally reach the sales level of a mature store within eighteen to twenty-four months of opening. Revenue from stores in the Hillcrest region increased 10.3% compared with the prior year, while its share of total revenue was little changed.</w:t>
      </w:r>
    </w:p>
    <w:p>
      <w:pPr>
        <w:ind w:left="0" w:firstLine="360"/>
      </w:pPr>
      <w:r>
        <w:t xml:space="preserve">Revenue from loyalty rewards is deferred until the reward is redeemed or expires. Labor costs are affected by minimum wage laws in the regions where the stores are located, and further increases could reduce store margins. Total revenue for the fiscal year was $159,049 thousand, an increase of 13.0% over the prior year, and operating income was $37,052 thousand, an increase of 4.2%. New stores generally reach the sales level of a mature store within eighteen to twenty-four months of opening.</w:t>
      </w:r>
    </w:p>
    <w:p>
      <w:pPr>
        <w:keepNext/>
      </w:pPr>
      <w:r>
        <w:rPr>
          <w:b/>
        </w:rPr>
        <w:t xml:space="preserve">11. Segment reporting</w:t>
      </w:r>
    </w:p>
    <w:p>
      <w:pPr>
        <w:ind w:left="0" w:firstLine="360"/>
      </w:pPr>
      <w:r>
        <w:t xml:space="preserve">Revenue from stores in the Southport region increased 8.0% compared with the prior year, while its share of total revenue was little changed. Wholesale revenue comes from sales of roasted beans to restaurants, hotels and grocery stores in the regions where the Group operates. Store operating expenses, which consist mainly of wages, benefits and supplies, were 32.6% of revenue, compared with 32.4% in the prior year. Comparable store sales increased 1.2%, driven by a 4.8% increase in average ticket and a 1.5% increase in transactions. Nimbus Coffee intends to pay dividends out of retained earnings while keeping sufficient funds to finance the opening of new stores.</w:t>
      </w:r>
    </w:p>
    <w:p>
      <w:pPr>
        <w:ind w:left="0" w:firstLine="360"/>
      </w:pPr>
      <w:r>
        <w:t xml:space="preserve">Food safety incidents, whether or not they occur at our stores, could harm the reputation of the Nimbus Coffee brand and reduce customer traffic. Labor costs are affected by minimum wage laws in the regions where the stores are located, and further increases could reduce store margins. Weather affects customer traffic: cold drinks sell best in summer, while hot beverages and whole beans sell best from October through February. The Group buys 51.5% of its green coffee by volume from farms certified under recognized sustainability standards. New stores generally reach the sales level of a mature store within eighteen to twenty-four months of opening. Orders placed through the online store, including orders for pickup in store and home delivery of whole beans, accounted for 42.4% of revenue in the Beverages and Beans categories.</w:t>
      </w:r>
    </w:p>
    <w:tbl>
      <w:tblPr>
        <w:tblW w:w="907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72" w:type="dxa"/>
          <w:right w:w="72" w:type="dxa"/>
        </w:tblCellMar>
      </w:tblPr>
      <w:tblGrid>
        <w:gridCol w:w="4072"/>
        <w:gridCol w:w="2500"/>
        <w:gridCol w:w="2500"/>
      </w:tblGrid>
      <w:tr>
        <w:trPr>
          <w:tblHeader/>
        </w:trPr>
        <w:tc>
          <w:tcPr>
            <w:tcW w:w="4072" w:type="dxa"/>
            <w:shd w:val="clear" w:color="auto" w:fill="DDEBF7"/>
            <w:vAlign w:val="center"/>
          </w:tcPr>
          <w:p>
            <w:pPr>
              <w:spacing w:before="0" w:after="0"/>
              <w:jc w:val="center"/>
            </w:pPr>
            <w:r>
              <w:rPr>
                <w:b/>
                <w:sz w:val="18"/>
                <w:szCs w:val="18"/>
              </w:rPr>
              <w:t xml:space="preserve">Item</w:t>
            </w:r>
          </w:p>
        </w:tc>
        <w:tc>
          <w:tcPr>
            <w:tcW w:w="2500" w:type="dxa"/>
            <w:shd w:val="clear" w:color="auto" w:fill="DDEBF7"/>
            <w:vAlign w:val="center"/>
          </w:tcPr>
          <w:p>
            <w:pPr>
              <w:spacing w:before="0" w:after="0"/>
              <w:jc w:val="center"/>
            </w:pPr>
            <w:r>
              <w:rPr>
                <w:b/>
                <w:sz w:val="18"/>
                <w:szCs w:val="18"/>
              </w:rPr>
              <w:t xml:space="preserve">Q1 2025</w:t>
            </w:r>
          </w:p>
        </w:tc>
        <w:tc>
          <w:tcPr>
            <w:tcW w:w="2500" w:type="dxa"/>
            <w:shd w:val="clear" w:color="auto" w:fill="DDEBF7"/>
            <w:vAlign w:val="center"/>
          </w:tcPr>
          <w:p>
            <w:pPr>
              <w:spacing w:before="0" w:after="0"/>
              <w:jc w:val="center"/>
            </w:pPr>
            <w:r>
              <w:rPr>
                <w:b/>
                <w:sz w:val="18"/>
                <w:szCs w:val="18"/>
              </w:rPr>
              <w:t xml:space="preserve">Q1 2026</w:t>
            </w:r>
          </w:p>
        </w:tc>
      </w:tr>
      <w:tr>
        <w:tc>
          <w:tcPr>
            <w:tcW w:w="4072" w:type="dxa"/>
            <w:vAlign w:val="center"/>
          </w:tcPr>
          <w:p>
            <w:pPr>
              <w:spacing w:before="0" w:after="0"/>
              <w:jc w:val="left"/>
            </w:pPr>
            <w:r>
              <w:rPr>
                <w:sz w:val="18"/>
                <w:szCs w:val="18"/>
              </w:rPr>
              <w:t xml:space="preserve">Deferred rent and asset retirement obligations</w:t>
            </w:r>
          </w:p>
        </w:tc>
        <w:tc>
          <w:tcPr>
            <w:tcW w:w="2500" w:type="dxa"/>
            <w:vAlign w:val="center"/>
          </w:tcPr>
          <w:p>
            <w:pPr>
              <w:spacing w:before="0" w:after="0"/>
              <w:jc w:val="right"/>
            </w:pPr>
            <w:r>
              <w:rPr>
                <w:sz w:val="18"/>
                <w:szCs w:val="18"/>
              </w:rPr>
              <w:t xml:space="preserve">8,272</w:t>
            </w:r>
          </w:p>
        </w:tc>
        <w:tc>
          <w:tcPr>
            <w:tcW w:w="2500" w:type="dxa"/>
            <w:vAlign w:val="center"/>
          </w:tcPr>
          <w:p>
            <w:pPr>
              <w:spacing w:before="0" w:after="0"/>
              <w:jc w:val="right"/>
            </w:pPr>
            <w:r>
              <w:rPr>
                <w:sz w:val="18"/>
                <w:szCs w:val="18"/>
              </w:rPr>
              <w:t xml:space="preserve">9,711</w:t>
            </w:r>
          </w:p>
        </w:tc>
      </w:tr>
      <w:tr>
        <w:tc>
          <w:tcPr>
            <w:tcW w:w="4072" w:type="dxa"/>
            <w:vAlign w:val="center"/>
          </w:tcPr>
          <w:p>
            <w:pPr>
              <w:spacing w:before="0" w:after="0"/>
              <w:jc w:val="left"/>
            </w:pPr>
            <w:r>
              <w:rPr>
                <w:sz w:val="18"/>
                <w:szCs w:val="18"/>
              </w:rPr>
              <w:t xml:space="preserve">Deferred rent and asset retirement obligations</w:t>
            </w:r>
          </w:p>
        </w:tc>
        <w:tc>
          <w:tcPr>
            <w:tcW w:w="2500" w:type="dxa"/>
            <w:vAlign w:val="center"/>
          </w:tcPr>
          <w:p>
            <w:pPr>
              <w:spacing w:before="0" w:after="0"/>
              <w:jc w:val="right"/>
            </w:pPr>
            <w:r>
              <w:rPr>
                <w:sz w:val="18"/>
                <w:szCs w:val="18"/>
              </w:rPr>
              <w:t xml:space="preserve">12,287</w:t>
            </w:r>
          </w:p>
        </w:tc>
        <w:tc>
          <w:tcPr>
            <w:tcW w:w="2500" w:type="dxa"/>
            <w:vAlign w:val="center"/>
          </w:tcPr>
          <w:p>
            <w:pPr>
              <w:spacing w:before="0" w:after="0"/>
              <w:jc w:val="right"/>
            </w:pPr>
            <w:r>
              <w:rPr>
                <w:sz w:val="18"/>
                <w:szCs w:val="18"/>
              </w:rPr>
              <w:t xml:space="preserve">12,494</w:t>
            </w:r>
          </w:p>
        </w:tc>
      </w:tr>
      <w:tr>
        <w:tc>
          <w:tcPr>
            <w:tcW w:w="4072" w:type="dxa"/>
            <w:vAlign w:val="center"/>
          </w:tcPr>
          <w:p>
            <w:pPr>
              <w:spacing w:before="0" w:after="0"/>
              <w:jc w:val="left"/>
            </w:pPr>
            <w:r>
              <w:rPr>
                <w:sz w:val="18"/>
                <w:szCs w:val="18"/>
              </w:rPr>
              <w:t xml:space="preserve">Other long-term liabilities</w:t>
            </w:r>
          </w:p>
        </w:tc>
        <w:tc>
          <w:tcPr>
            <w:tcW w:w="2500" w:type="dxa"/>
            <w:vAlign w:val="center"/>
          </w:tcPr>
          <w:p>
            <w:pPr>
              <w:spacing w:before="0" w:after="0"/>
              <w:jc w:val="right"/>
            </w:pPr>
            <w:r>
              <w:rPr>
                <w:sz w:val="18"/>
                <w:szCs w:val="18"/>
              </w:rPr>
              <w:t xml:space="preserve">10,025</w:t>
            </w:r>
          </w:p>
        </w:tc>
        <w:tc>
          <w:tcPr>
            <w:tcW w:w="2500" w:type="dxa"/>
            <w:vAlign w:val="center"/>
          </w:tcPr>
          <w:p>
            <w:pPr>
              <w:spacing w:before="0" w:after="0"/>
              <w:jc w:val="right"/>
            </w:pPr>
            <w:r>
              <w:rPr>
                <w:sz w:val="18"/>
                <w:szCs w:val="18"/>
              </w:rPr>
              <w:t xml:space="preserve">11,606</w:t>
            </w:r>
          </w:p>
        </w:tc>
      </w:tr>
      <w:tr>
        <w:tc>
          <w:tcPr>
            <w:tcW w:w="4072" w:type="dxa"/>
            <w:vAlign w:val="center"/>
          </w:tcPr>
          <w:p>
            <w:pPr>
              <w:spacing w:before="0" w:after="0"/>
              <w:jc w:val="left"/>
            </w:pPr>
            <w:r>
              <w:rPr>
                <w:sz w:val="18"/>
                <w:szCs w:val="18"/>
              </w:rPr>
              <w:t xml:space="preserve">Deferred revenue (gift cards and loyalty)</w:t>
            </w:r>
          </w:p>
        </w:tc>
        <w:tc>
          <w:tcPr>
            <w:tcW w:w="2500" w:type="dxa"/>
            <w:vAlign w:val="center"/>
          </w:tcPr>
          <w:p>
            <w:pPr>
              <w:spacing w:before="0" w:after="0"/>
              <w:jc w:val="right"/>
            </w:pPr>
            <w:r>
              <w:rPr>
                <w:sz w:val="18"/>
                <w:szCs w:val="18"/>
              </w:rPr>
              <w:t xml:space="preserve">18,269</w:t>
            </w:r>
          </w:p>
        </w:tc>
        <w:tc>
          <w:tcPr>
            <w:tcW w:w="2500" w:type="dxa"/>
            <w:vAlign w:val="center"/>
          </w:tcPr>
          <w:p>
            <w:pPr>
              <w:spacing w:before="0" w:after="0"/>
              <w:jc w:val="right"/>
            </w:pPr>
            <w:r>
              <w:rPr>
                <w:sz w:val="18"/>
                <w:szCs w:val="18"/>
              </w:rPr>
              <w:t xml:space="preserve">20,745</w:t>
            </w:r>
          </w:p>
        </w:tc>
      </w:tr>
      <w:tr>
        <w:tc>
          <w:tcPr>
            <w:tcW w:w="4072" w:type="dxa"/>
            <w:vAlign w:val="center"/>
          </w:tcPr>
          <w:p>
            <w:pPr>
              <w:spacing w:before="0" w:after="0"/>
              <w:jc w:val="left"/>
            </w:pPr>
            <w:r>
              <w:rPr>
                <w:sz w:val="18"/>
                <w:szCs w:val="18"/>
              </w:rPr>
              <w:t xml:space="preserve">Short-term investments</w:t>
            </w:r>
          </w:p>
        </w:tc>
        <w:tc>
          <w:tcPr>
            <w:tcW w:w="2500" w:type="dxa"/>
            <w:vAlign w:val="center"/>
          </w:tcPr>
          <w:p>
            <w:pPr>
              <w:spacing w:before="0" w:after="0"/>
              <w:jc w:val="right"/>
            </w:pPr>
            <w:r>
              <w:rPr>
                <w:sz w:val="18"/>
                <w:szCs w:val="18"/>
              </w:rPr>
              <w:t xml:space="preserve">6,214</w:t>
            </w:r>
          </w:p>
        </w:tc>
        <w:tc>
          <w:tcPr>
            <w:tcW w:w="2500" w:type="dxa"/>
            <w:vAlign w:val="center"/>
          </w:tcPr>
          <w:p>
            <w:pPr>
              <w:spacing w:before="0" w:after="0"/>
              <w:jc w:val="right"/>
            </w:pPr>
            <w:r>
              <w:rPr>
                <w:sz w:val="18"/>
                <w:szCs w:val="18"/>
              </w:rPr>
              <w:t xml:space="preserve">6,326</w:t>
            </w:r>
          </w:p>
        </w:tc>
      </w:tr>
      <w:tr>
        <w:tc>
          <w:tcPr>
            <w:tcW w:w="4072" w:type="dxa"/>
            <w:vAlign w:val="center"/>
          </w:tcPr>
          <w:p>
            <w:pPr>
              <w:spacing w:before="0" w:after="0"/>
              <w:jc w:val="left"/>
            </w:pPr>
            <w:r>
              <w:rPr>
                <w:sz w:val="18"/>
                <w:szCs w:val="18"/>
              </w:rPr>
              <w:t xml:space="preserve">Operating lease right-of-use assets</w:t>
            </w:r>
          </w:p>
        </w:tc>
        <w:tc>
          <w:tcPr>
            <w:tcW w:w="2500" w:type="dxa"/>
            <w:vAlign w:val="center"/>
          </w:tcPr>
          <w:p>
            <w:pPr>
              <w:spacing w:before="0" w:after="0"/>
              <w:jc w:val="right"/>
            </w:pPr>
            <w:r>
              <w:rPr>
                <w:sz w:val="18"/>
                <w:szCs w:val="18"/>
              </w:rPr>
              <w:t xml:space="preserve">10,968</w:t>
            </w:r>
          </w:p>
        </w:tc>
        <w:tc>
          <w:tcPr>
            <w:tcW w:w="2500" w:type="dxa"/>
            <w:vAlign w:val="center"/>
          </w:tcPr>
          <w:p>
            <w:pPr>
              <w:spacing w:before="0" w:after="0"/>
              <w:jc w:val="right"/>
            </w:pPr>
            <w:r>
              <w:rPr>
                <w:sz w:val="18"/>
                <w:szCs w:val="18"/>
              </w:rPr>
              <w:t xml:space="preserve">11,450</w:t>
            </w:r>
          </w:p>
        </w:tc>
      </w:tr>
    </w:tbl>
    <w:p>
      <w:pPr/>
    </w:p>
    <w:p>
      <w:pPr>
        <w:keepNext/>
      </w:pPr>
      <w:r>
        <w:rPr>
          <w:b/>
        </w:rPr>
        <w:t xml:space="preserve">12. Related-party transactions</w:t>
      </w:r>
    </w:p>
    <w:p>
      <w:pPr>
        <w:ind w:left="0" w:firstLine="360"/>
      </w:pPr>
      <w:r>
        <w:t xml:space="preserve">Total revenue for the fiscal year was $12,641 thousand, an increase of 9.4% over the prior year, and operating income was $19,136 thousand, an increase of 24.5%. Net cash provided by operating activities was $184,927 thousand, mainly reflecting net income and depreciation and amortization. The Company depends on a small number of dairy and bakery suppliers in each region, and an interruption in their deliveries could affect sales at the stores they serve. Orders placed through the online store, including orders for pickup in store and home delivery of whole beans, accounted for 30.1% of revenue in the Beverages and Beans categories. Orders placed through the online store, including orders for pickup in store and home delivery of whole beans, accounted for 13.5% of revenue in the Beverages and Beans categories.</w:t>
      </w:r>
    </w:p>
    <w:p>
      <w:pPr>
        <w:ind w:left="0" w:firstLine="360"/>
      </w:pPr>
      <w:r>
        <w:t xml:space="preserve">Weather affects customer traffic: cold drinks sell best in summer, while hot beverages and whole beans sell best from October through February. New stores generally reach the sales level of a mature store within eighteen to twenty-four months of opening. The loyalty program had 1,031 thousand active members at the end of the fiscal year, and purchases by members accounted for 53.5% of store revenue. Inventories consist of green coffee, roasted coffee, packaging, food and merchandise, and are stated at the lower of cost and net realizable value.</w:t>
      </w:r>
    </w:p>
    <w:p>
      <w:pPr>
        <w:keepNext/>
      </w:pPr>
      <w:r>
        <w:rPr>
          <w:b/>
        </w:rPr>
        <w:t xml:space="preserve">13. Earnings per share</w:t>
      </w:r>
    </w:p>
    <w:p>
      <w:pPr>
        <w:ind w:left="0" w:firstLine="360"/>
      </w:pPr>
      <w:r>
        <w:t xml:space="preserve">Net cash provided by operating activities was $93,963 thousand, mainly reflecting net income and depreciation and amortization. Nimbus Coffee intends to pay dividends out of retained earnings while keeping sufficient funds to finance the opening of new stores. Net cash used in investing activities was $1,621 thousand, primarily for purchases of property and equipment. During the fiscal year, the Company opened 9 new stores and closed 3 stores whose leases expired.</w:t>
      </w:r>
    </w:p>
    <w:p>
      <w:pPr>
        <w:ind w:left="0" w:firstLine="360"/>
      </w:pPr>
      <w:r>
        <w:t xml:space="preserve">Capital expenditures totaled $8,735 thousand and consisted mainly of the build-out of new stores, the remodeling of existing stores and a second roasting line at the Northfield roastery. The roastery produced 1,206 thousand pounds of roasted coffee during the fiscal year, of which 35.6% was sold through company-operated stores. Net cash used in financing activities was $22,653 thousand, reflecting repayments of the term loan and dividends paid. During the fiscal year, the Group opened 14 new stores and closed 3 stores whose leases expired.</w:t>
      </w:r>
    </w:p>
    <w:p>
      <w:pPr>
        <w:ind w:left="0" w:firstLine="360"/>
      </w:pPr>
      <w:r>
        <w:t xml:space="preserve">During the fiscal year, the Group opened 18 new stores and closed 3 stores whose leases expired. Merchandise sales, consisting of mugs, brewing equipment and seasonal gift sets, are highest in the fourth quarter of each year. New stores generally reach the sales level of a mature store within eighteen to twenty-four months of opening. The Company depends on a small number of dairy and bakery suppliers in each region, and an interruption in their deliveries could affect sales at the stores they serve.</w:t>
      </w:r>
    </w:p>
    <w:tbl>
      <w:tblPr>
        <w:tblW w:w="907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72" w:type="dxa"/>
          <w:right w:w="72" w:type="dxa"/>
        </w:tblCellMar>
      </w:tblPr>
      <w:tblGrid>
        <w:gridCol w:w="4072"/>
        <w:gridCol w:w="2500"/>
        <w:gridCol w:w="2500"/>
      </w:tblGrid>
      <w:tr>
        <w:trPr>
          <w:tblHeader/>
        </w:trPr>
        <w:tc>
          <w:tcPr>
            <w:tcW w:w="4072" w:type="dxa"/>
            <w:shd w:val="clear" w:color="auto" w:fill="DDEBF7"/>
            <w:vAlign w:val="center"/>
          </w:tcPr>
          <w:p>
            <w:pPr>
              <w:spacing w:before="0" w:after="0"/>
              <w:jc w:val="center"/>
            </w:pPr>
            <w:r>
              <w:rPr>
                <w:b/>
                <w:sz w:val="18"/>
                <w:szCs w:val="18"/>
              </w:rPr>
              <w:t xml:space="preserve">Item</w:t>
            </w:r>
          </w:p>
        </w:tc>
        <w:tc>
          <w:tcPr>
            <w:tcW w:w="2500" w:type="dxa"/>
            <w:shd w:val="clear" w:color="auto" w:fill="DDEBF7"/>
            <w:vAlign w:val="center"/>
          </w:tcPr>
          <w:p>
            <w:pPr>
              <w:spacing w:before="0" w:after="0"/>
              <w:jc w:val="center"/>
            </w:pPr>
            <w:r>
              <w:rPr>
                <w:b/>
                <w:sz w:val="18"/>
                <w:szCs w:val="18"/>
              </w:rPr>
              <w:t xml:space="preserve">Q1 2025</w:t>
            </w:r>
          </w:p>
        </w:tc>
        <w:tc>
          <w:tcPr>
            <w:tcW w:w="2500" w:type="dxa"/>
            <w:shd w:val="clear" w:color="auto" w:fill="DDEBF7"/>
            <w:vAlign w:val="center"/>
          </w:tcPr>
          <w:p>
            <w:pPr>
              <w:spacing w:before="0" w:after="0"/>
              <w:jc w:val="center"/>
            </w:pPr>
            <w:r>
              <w:rPr>
                <w:b/>
                <w:sz w:val="18"/>
                <w:szCs w:val="18"/>
              </w:rPr>
              <w:t xml:space="preserve">Q1 2026</w:t>
            </w:r>
          </w:p>
        </w:tc>
      </w:tr>
      <w:tr>
        <w:tc>
          <w:tcPr>
            <w:tcW w:w="4072" w:type="dxa"/>
            <w:vAlign w:val="center"/>
          </w:tcPr>
          <w:p>
            <w:pPr>
              <w:spacing w:before="0" w:after="0"/>
              <w:jc w:val="left"/>
            </w:pPr>
            <w:r>
              <w:rPr>
                <w:sz w:val="18"/>
                <w:szCs w:val="18"/>
              </w:rPr>
              <w:t xml:space="preserve">Short-term investments</w:t>
            </w:r>
          </w:p>
        </w:tc>
        <w:tc>
          <w:tcPr>
            <w:tcW w:w="2500" w:type="dxa"/>
            <w:vAlign w:val="center"/>
          </w:tcPr>
          <w:p>
            <w:pPr>
              <w:spacing w:before="0" w:after="0"/>
              <w:jc w:val="right"/>
            </w:pPr>
            <w:r>
              <w:rPr>
                <w:sz w:val="18"/>
                <w:szCs w:val="18"/>
              </w:rPr>
              <w:t xml:space="preserve">6,762</w:t>
            </w:r>
          </w:p>
        </w:tc>
        <w:tc>
          <w:tcPr>
            <w:tcW w:w="2500" w:type="dxa"/>
            <w:vAlign w:val="center"/>
          </w:tcPr>
          <w:p>
            <w:pPr>
              <w:spacing w:before="0" w:after="0"/>
              <w:jc w:val="right"/>
            </w:pPr>
            <w:r>
              <w:rPr>
                <w:sz w:val="18"/>
                <w:szCs w:val="18"/>
              </w:rPr>
              <w:t xml:space="preserve">8,001</w:t>
            </w:r>
          </w:p>
        </w:tc>
      </w:tr>
      <w:tr>
        <w:tc>
          <w:tcPr>
            <w:tcW w:w="4072" w:type="dxa"/>
            <w:vAlign w:val="center"/>
          </w:tcPr>
          <w:p>
            <w:pPr>
              <w:spacing w:before="0" w:after="0"/>
              <w:jc w:val="left"/>
            </w:pPr>
            <w:r>
              <w:rPr>
                <w:sz w:val="18"/>
                <w:szCs w:val="18"/>
              </w:rPr>
              <w:t xml:space="preserve">Deferred income taxes</w:t>
            </w:r>
          </w:p>
        </w:tc>
        <w:tc>
          <w:tcPr>
            <w:tcW w:w="2500" w:type="dxa"/>
            <w:vAlign w:val="center"/>
          </w:tcPr>
          <w:p>
            <w:pPr>
              <w:spacing w:before="0" w:after="0"/>
              <w:jc w:val="right"/>
            </w:pPr>
            <w:r>
              <w:rPr>
                <w:sz w:val="18"/>
                <w:szCs w:val="18"/>
              </w:rPr>
              <w:t xml:space="preserve">2,503</w:t>
            </w:r>
          </w:p>
        </w:tc>
        <w:tc>
          <w:tcPr>
            <w:tcW w:w="2500" w:type="dxa"/>
            <w:vAlign w:val="center"/>
          </w:tcPr>
          <w:p>
            <w:pPr>
              <w:spacing w:before="0" w:after="0"/>
              <w:jc w:val="right"/>
            </w:pPr>
            <w:r>
              <w:rPr>
                <w:sz w:val="18"/>
                <w:szCs w:val="18"/>
              </w:rPr>
              <w:t xml:space="preserve">2,611</w:t>
            </w:r>
          </w:p>
        </w:tc>
      </w:tr>
      <w:tr>
        <w:tc>
          <w:tcPr>
            <w:tcW w:w="4072" w:type="dxa"/>
            <w:vAlign w:val="center"/>
          </w:tcPr>
          <w:p>
            <w:pPr>
              <w:spacing w:before="0" w:after="0"/>
              <w:jc w:val="left"/>
            </w:pPr>
            <w:r>
              <w:rPr>
                <w:sz w:val="18"/>
                <w:szCs w:val="18"/>
              </w:rPr>
              <w:t xml:space="preserve">Security deposits</w:t>
            </w:r>
          </w:p>
        </w:tc>
        <w:tc>
          <w:tcPr>
            <w:tcW w:w="2500" w:type="dxa"/>
            <w:vAlign w:val="center"/>
          </w:tcPr>
          <w:p>
            <w:pPr>
              <w:spacing w:before="0" w:after="0"/>
              <w:jc w:val="right"/>
            </w:pPr>
            <w:r>
              <w:rPr>
                <w:sz w:val="18"/>
                <w:szCs w:val="18"/>
              </w:rPr>
              <w:t xml:space="preserve">8,379</w:t>
            </w:r>
          </w:p>
        </w:tc>
        <w:tc>
          <w:tcPr>
            <w:tcW w:w="2500" w:type="dxa"/>
            <w:vAlign w:val="center"/>
          </w:tcPr>
          <w:p>
            <w:pPr>
              <w:spacing w:before="0" w:after="0"/>
              <w:jc w:val="right"/>
            </w:pPr>
            <w:r>
              <w:rPr>
                <w:sz w:val="18"/>
                <w:szCs w:val="18"/>
              </w:rPr>
              <w:t xml:space="preserve">9,834</w:t>
            </w:r>
          </w:p>
        </w:tc>
      </w:tr>
      <w:tr>
        <w:tc>
          <w:tcPr>
            <w:tcW w:w="4072" w:type="dxa"/>
            <w:vAlign w:val="center"/>
          </w:tcPr>
          <w:p>
            <w:pPr>
              <w:spacing w:before="0" w:after="0"/>
              <w:jc w:val="left"/>
            </w:pPr>
            <w:r>
              <w:rPr>
                <w:sz w:val="18"/>
                <w:szCs w:val="18"/>
              </w:rPr>
              <w:t xml:space="preserve">Long-term debt, net of current portion</w:t>
            </w:r>
          </w:p>
        </w:tc>
        <w:tc>
          <w:tcPr>
            <w:tcW w:w="2500" w:type="dxa"/>
            <w:vAlign w:val="center"/>
          </w:tcPr>
          <w:p>
            <w:pPr>
              <w:spacing w:before="0" w:after="0"/>
              <w:jc w:val="right"/>
            </w:pPr>
            <w:r>
              <w:rPr>
                <w:sz w:val="18"/>
                <w:szCs w:val="18"/>
              </w:rPr>
              <w:t xml:space="preserve">28,133</w:t>
            </w:r>
          </w:p>
        </w:tc>
        <w:tc>
          <w:tcPr>
            <w:tcW w:w="2500" w:type="dxa"/>
            <w:vAlign w:val="center"/>
          </w:tcPr>
          <w:p>
            <w:pPr>
              <w:spacing w:before="0" w:after="0"/>
              <w:jc w:val="right"/>
            </w:pPr>
            <w:r>
              <w:rPr>
                <w:sz w:val="18"/>
                <w:szCs w:val="18"/>
              </w:rPr>
              <w:t xml:space="preserve">31,599</w:t>
            </w:r>
          </w:p>
        </w:tc>
      </w:tr>
      <w:tr>
        <w:tc>
          <w:tcPr>
            <w:tcW w:w="4072" w:type="dxa"/>
            <w:vAlign w:val="center"/>
          </w:tcPr>
          <w:p>
            <w:pPr>
              <w:spacing w:before="0" w:after="0"/>
              <w:jc w:val="left"/>
            </w:pPr>
            <w:r>
              <w:rPr>
                <w:sz w:val="18"/>
                <w:szCs w:val="18"/>
              </w:rPr>
              <w:t xml:space="preserve">Accounts receivable, net</w:t>
            </w:r>
          </w:p>
        </w:tc>
        <w:tc>
          <w:tcPr>
            <w:tcW w:w="2500" w:type="dxa"/>
            <w:vAlign w:val="center"/>
          </w:tcPr>
          <w:p>
            <w:pPr>
              <w:spacing w:before="0" w:after="0"/>
              <w:jc w:val="right"/>
            </w:pPr>
            <w:r>
              <w:rPr>
                <w:sz w:val="18"/>
                <w:szCs w:val="18"/>
              </w:rPr>
              <w:t xml:space="preserve">9,092</w:t>
            </w:r>
          </w:p>
        </w:tc>
        <w:tc>
          <w:tcPr>
            <w:tcW w:w="2500" w:type="dxa"/>
            <w:vAlign w:val="center"/>
          </w:tcPr>
          <w:p>
            <w:pPr>
              <w:spacing w:before="0" w:after="0"/>
              <w:jc w:val="right"/>
            </w:pPr>
            <w:r>
              <w:rPr>
                <w:sz w:val="18"/>
                <w:szCs w:val="18"/>
              </w:rPr>
              <w:t xml:space="preserve">10,019</w:t>
            </w:r>
          </w:p>
        </w:tc>
      </w:tr>
      <w:tr>
        <w:tc>
          <w:tcPr>
            <w:tcW w:w="4072" w:type="dxa"/>
            <w:vAlign w:val="center"/>
          </w:tcPr>
          <w:p>
            <w:pPr>
              <w:spacing w:before="0" w:after="0"/>
              <w:jc w:val="left"/>
            </w:pPr>
            <w:r>
              <w:rPr>
                <w:sz w:val="18"/>
                <w:szCs w:val="18"/>
              </w:rPr>
              <w:t xml:space="preserve">Long-term debt, net of current portion</w:t>
            </w:r>
          </w:p>
        </w:tc>
        <w:tc>
          <w:tcPr>
            <w:tcW w:w="2500" w:type="dxa"/>
            <w:vAlign w:val="center"/>
          </w:tcPr>
          <w:p>
            <w:pPr>
              <w:spacing w:before="0" w:after="0"/>
              <w:jc w:val="right"/>
            </w:pPr>
            <w:r>
              <w:rPr>
                <w:sz w:val="18"/>
                <w:szCs w:val="18"/>
              </w:rPr>
              <w:t xml:space="preserve">28,793</w:t>
            </w:r>
          </w:p>
        </w:tc>
        <w:tc>
          <w:tcPr>
            <w:tcW w:w="2500" w:type="dxa"/>
            <w:vAlign w:val="center"/>
          </w:tcPr>
          <w:p>
            <w:pPr>
              <w:spacing w:before="0" w:after="0"/>
              <w:jc w:val="right"/>
            </w:pPr>
            <w:r>
              <w:rPr>
                <w:sz w:val="18"/>
                <w:szCs w:val="18"/>
              </w:rPr>
              <w:t xml:space="preserve">29,612</w:t>
            </w:r>
          </w:p>
        </w:tc>
      </w:tr>
    </w:tbl>
    <w:p>
      <w:pPr/>
    </w:p>
    <w:p>
      <w:pPr>
        <w:keepNext/>
      </w:pPr>
      <w:r>
        <w:rPr>
          <w:b/>
        </w:rPr>
        <w:t xml:space="preserve">14. Commitments and contingencies</w:t>
      </w:r>
    </w:p>
    <w:p>
      <w:pPr>
        <w:ind w:left="0" w:firstLine="360"/>
      </w:pPr>
      <w:r>
        <w:t xml:space="preserve">These forward-looking statements are based on information available as of the date of this statement, and actual results may differ materially because of many factors. The roastery produced 237 thousand pounds of roasted coffee during the fiscal year, of which 36.7% was sold through company-operated stores. Nimbus Coffee intends to pay dividends out of retained earnings while keeping sufficient funds to finance the opening of new stores. Comparable store sales increased 2.6%, driven by a 2.3% increase in average ticket and a 0.7% increase in transactions. Labor costs are affected by minimum wage laws in the regions where the stores are located, and further increases could reduce store margins.</w:t>
      </w:r>
    </w:p>
    <w:p>
      <w:pPr>
        <w:ind w:left="0" w:firstLine="360"/>
      </w:pPr>
      <w:r>
        <w:t xml:space="preserve">The Group leases all of its store premises under operating leases with initial terms of ten years, most of which include options to renew. These forward-looking statements are based on information available as of the date of this statement, and actual results may differ materially because of many factors. During the fiscal year, Nimbus Coffee opened 18 new stores and closed 3 stores whose leases expired. Store operating expenses, which consist mainly of wages, benefits and supplies, were 32.2% of revenue, compared with 29.7% in the prior year. Capital expenditures totaled $9,040 thousand and consisted mainly of the build-out of new stores, the remodeling of existing stores and a second roasting line at the Northfield roastery. Total assets at the end of the fiscal year were $211,047 thousand, an increase of $29,546 thousand from the end of the prior fiscal year.</w:t>
      </w:r>
    </w:p>
    <w:p>
      <w:pPr>
        <w:keepNext/>
      </w:pPr>
      <w:r>
        <w:rPr>
          <w:b/>
        </w:rPr>
        <w:t xml:space="preserve">15. Gift cards and the loyalty program</w:t>
      </w:r>
    </w:p>
    <w:p>
      <w:pPr>
        <w:ind w:left="0" w:firstLine="360"/>
      </w:pPr>
      <w:r>
        <w:t xml:space="preserve">The price of green coffee is volatile, and a sustained increase could reduce gross margin if the Company is unable to pass the cost on to customers through menu prices. Baristas complete a four-week training course before working on the floor, and store managers complete a further course at the Northfield training center. Wholesale revenue comes from sales of roasted beans to restaurants, hotels and grocery stores in the regions where the Group operates. The roastery produced 244 thousand pounds of roasted coffee during the fiscal year, of which 37.2% was sold through company-operated stores.</w:t>
      </w:r>
    </w:p>
    <w:p>
      <w:pPr>
        <w:ind w:left="0" w:firstLine="360"/>
      </w:pPr>
      <w:r>
        <w:t xml:space="preserve">Total revenue for the fiscal year was $236,516 thousand, an increase of 9.1% over the prior year, and operating income was $1,579 thousand, an increase of 4.5%. New stores generally reach the sales level of a mature store within eighteen to twenty-four months of opening. Green coffee is purchased from exporters and cooperatives in Central America, South America and East Africa under fixed-price contracts that generally cover the next nine to twelve months of expected needs. Total assets at the end of the fiscal year were $113,298 thousand, an increase of $8,444 thousand from the end of the prior fiscal year. Net cash used in financing activities was $19,360 thousand, reflecting repayments of the term loan and dividends paid.</w:t>
      </w:r>
    </w:p>
    <w:tbl>
      <w:tblPr>
        <w:tblW w:w="907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72" w:type="dxa"/>
          <w:right w:w="72" w:type="dxa"/>
        </w:tblCellMar>
      </w:tblPr>
      <w:tblGrid>
        <w:gridCol w:w="4072"/>
        <w:gridCol w:w="2500"/>
        <w:gridCol w:w="2500"/>
      </w:tblGrid>
      <w:tr>
        <w:trPr>
          <w:tblHeader/>
        </w:trPr>
        <w:tc>
          <w:tcPr>
            <w:tcW w:w="4072" w:type="dxa"/>
            <w:shd w:val="clear" w:color="auto" w:fill="DDEBF7"/>
            <w:vAlign w:val="center"/>
          </w:tcPr>
          <w:p>
            <w:pPr>
              <w:spacing w:before="0" w:after="0"/>
              <w:jc w:val="center"/>
            </w:pPr>
            <w:r>
              <w:rPr>
                <w:b/>
                <w:sz w:val="18"/>
                <w:szCs w:val="18"/>
              </w:rPr>
              <w:t xml:space="preserve">Item</w:t>
            </w:r>
          </w:p>
        </w:tc>
        <w:tc>
          <w:tcPr>
            <w:tcW w:w="2500" w:type="dxa"/>
            <w:shd w:val="clear" w:color="auto" w:fill="DDEBF7"/>
            <w:vAlign w:val="center"/>
          </w:tcPr>
          <w:p>
            <w:pPr>
              <w:spacing w:before="0" w:after="0"/>
              <w:jc w:val="center"/>
            </w:pPr>
            <w:r>
              <w:rPr>
                <w:b/>
                <w:sz w:val="18"/>
                <w:szCs w:val="18"/>
              </w:rPr>
              <w:t xml:space="preserve">Q1 2025</w:t>
            </w:r>
          </w:p>
        </w:tc>
        <w:tc>
          <w:tcPr>
            <w:tcW w:w="2500" w:type="dxa"/>
            <w:shd w:val="clear" w:color="auto" w:fill="DDEBF7"/>
            <w:vAlign w:val="center"/>
          </w:tcPr>
          <w:p>
            <w:pPr>
              <w:spacing w:before="0" w:after="0"/>
              <w:jc w:val="center"/>
            </w:pPr>
            <w:r>
              <w:rPr>
                <w:b/>
                <w:sz w:val="18"/>
                <w:szCs w:val="18"/>
              </w:rPr>
              <w:t xml:space="preserve">Q1 2026</w:t>
            </w:r>
          </w:p>
        </w:tc>
      </w:tr>
      <w:tr>
        <w:tc>
          <w:tcPr>
            <w:tcW w:w="4072" w:type="dxa"/>
            <w:vAlign w:val="center"/>
          </w:tcPr>
          <w:p>
            <w:pPr>
              <w:spacing w:before="0" w:after="0"/>
              <w:jc w:val="left"/>
            </w:pPr>
            <w:r>
              <w:rPr>
                <w:sz w:val="18"/>
                <w:szCs w:val="18"/>
              </w:rPr>
              <w:t xml:space="preserve">Other long-term assets</w:t>
            </w:r>
          </w:p>
        </w:tc>
        <w:tc>
          <w:tcPr>
            <w:tcW w:w="2500" w:type="dxa"/>
            <w:vAlign w:val="center"/>
          </w:tcPr>
          <w:p>
            <w:pPr>
              <w:spacing w:before="0" w:after="0"/>
              <w:jc w:val="right"/>
            </w:pPr>
            <w:r>
              <w:rPr>
                <w:sz w:val="18"/>
                <w:szCs w:val="18"/>
              </w:rPr>
              <w:t xml:space="preserve">14,645</w:t>
            </w:r>
          </w:p>
        </w:tc>
        <w:tc>
          <w:tcPr>
            <w:tcW w:w="2500" w:type="dxa"/>
            <w:vAlign w:val="center"/>
          </w:tcPr>
          <w:p>
            <w:pPr>
              <w:spacing w:before="0" w:after="0"/>
              <w:jc w:val="right"/>
            </w:pPr>
            <w:r>
              <w:rPr>
                <w:sz w:val="18"/>
                <w:szCs w:val="18"/>
              </w:rPr>
              <w:t xml:space="preserve">17,337</w:t>
            </w:r>
          </w:p>
        </w:tc>
      </w:tr>
      <w:tr>
        <w:tc>
          <w:tcPr>
            <w:tcW w:w="4072" w:type="dxa"/>
            <w:vAlign w:val="center"/>
          </w:tcPr>
          <w:p>
            <w:pPr>
              <w:spacing w:before="0" w:after="0"/>
              <w:jc w:val="left"/>
            </w:pPr>
            <w:r>
              <w:rPr>
                <w:sz w:val="18"/>
                <w:szCs w:val="18"/>
              </w:rPr>
              <w:t xml:space="preserve">Other intangible assets, net</w:t>
            </w:r>
          </w:p>
        </w:tc>
        <w:tc>
          <w:tcPr>
            <w:tcW w:w="2500" w:type="dxa"/>
            <w:vAlign w:val="center"/>
          </w:tcPr>
          <w:p>
            <w:pPr>
              <w:spacing w:before="0" w:after="0"/>
              <w:jc w:val="right"/>
            </w:pPr>
            <w:r>
              <w:rPr>
                <w:sz w:val="18"/>
                <w:szCs w:val="18"/>
              </w:rPr>
              <w:t xml:space="preserve">34,223</w:t>
            </w:r>
          </w:p>
        </w:tc>
        <w:tc>
          <w:tcPr>
            <w:tcW w:w="2500" w:type="dxa"/>
            <w:vAlign w:val="center"/>
          </w:tcPr>
          <w:p>
            <w:pPr>
              <w:spacing w:before="0" w:after="0"/>
              <w:jc w:val="right"/>
            </w:pPr>
            <w:r>
              <w:rPr>
                <w:sz w:val="18"/>
                <w:szCs w:val="18"/>
              </w:rPr>
              <w:t xml:space="preserve">36,892</w:t>
            </w:r>
          </w:p>
        </w:tc>
      </w:tr>
      <w:tr>
        <w:tc>
          <w:tcPr>
            <w:tcW w:w="4072" w:type="dxa"/>
            <w:vAlign w:val="center"/>
          </w:tcPr>
          <w:p>
            <w:pPr>
              <w:spacing w:before="0" w:after="0"/>
              <w:jc w:val="left"/>
            </w:pPr>
            <w:r>
              <w:rPr>
                <w:sz w:val="18"/>
                <w:szCs w:val="18"/>
              </w:rPr>
              <w:t xml:space="preserve">Inventories</w:t>
            </w:r>
          </w:p>
        </w:tc>
        <w:tc>
          <w:tcPr>
            <w:tcW w:w="2500" w:type="dxa"/>
            <w:vAlign w:val="center"/>
          </w:tcPr>
          <w:p>
            <w:pPr>
              <w:spacing w:before="0" w:after="0"/>
              <w:jc w:val="right"/>
            </w:pPr>
            <w:r>
              <w:rPr>
                <w:sz w:val="18"/>
                <w:szCs w:val="18"/>
              </w:rPr>
              <w:t xml:space="preserve">15,024</w:t>
            </w:r>
          </w:p>
        </w:tc>
        <w:tc>
          <w:tcPr>
            <w:tcW w:w="2500" w:type="dxa"/>
            <w:vAlign w:val="center"/>
          </w:tcPr>
          <w:p>
            <w:pPr>
              <w:spacing w:before="0" w:after="0"/>
              <w:jc w:val="right"/>
            </w:pPr>
            <w:r>
              <w:rPr>
                <w:sz w:val="18"/>
                <w:szCs w:val="18"/>
              </w:rPr>
              <w:t xml:space="preserve">15,617</w:t>
            </w:r>
          </w:p>
        </w:tc>
      </w:tr>
      <w:tr>
        <w:tc>
          <w:tcPr>
            <w:tcW w:w="4072" w:type="dxa"/>
            <w:vAlign w:val="center"/>
          </w:tcPr>
          <w:p>
            <w:pPr>
              <w:spacing w:before="0" w:after="0"/>
              <w:jc w:val="left"/>
            </w:pPr>
            <w:r>
              <w:rPr>
                <w:sz w:val="18"/>
                <w:szCs w:val="18"/>
              </w:rPr>
              <w:t xml:space="preserve">Accrued payroll and benefits</w:t>
            </w:r>
          </w:p>
        </w:tc>
        <w:tc>
          <w:tcPr>
            <w:tcW w:w="2500" w:type="dxa"/>
            <w:vAlign w:val="center"/>
          </w:tcPr>
          <w:p>
            <w:pPr>
              <w:spacing w:before="0" w:after="0"/>
              <w:jc w:val="right"/>
            </w:pPr>
            <w:r>
              <w:rPr>
                <w:sz w:val="18"/>
                <w:szCs w:val="18"/>
              </w:rPr>
              <w:t xml:space="preserve">5,762</w:t>
            </w:r>
          </w:p>
        </w:tc>
        <w:tc>
          <w:tcPr>
            <w:tcW w:w="2500" w:type="dxa"/>
            <w:vAlign w:val="center"/>
          </w:tcPr>
          <w:p>
            <w:pPr>
              <w:spacing w:before="0" w:after="0"/>
              <w:jc w:val="right"/>
            </w:pPr>
            <w:r>
              <w:rPr>
                <w:sz w:val="18"/>
                <w:szCs w:val="18"/>
              </w:rPr>
              <w:t xml:space="preserve">6,509</w:t>
            </w:r>
          </w:p>
        </w:tc>
      </w:tr>
      <w:tr>
        <w:tc>
          <w:tcPr>
            <w:tcW w:w="4072" w:type="dxa"/>
            <w:vAlign w:val="center"/>
          </w:tcPr>
          <w:p>
            <w:pPr>
              <w:spacing w:before="0" w:after="0"/>
              <w:jc w:val="left"/>
            </w:pPr>
            <w:r>
              <w:rPr>
                <w:sz w:val="18"/>
                <w:szCs w:val="18"/>
              </w:rPr>
              <w:t xml:space="preserve">Prepaid expenses and other current assets</w:t>
            </w:r>
          </w:p>
        </w:tc>
        <w:tc>
          <w:tcPr>
            <w:tcW w:w="2500" w:type="dxa"/>
            <w:vAlign w:val="center"/>
          </w:tcPr>
          <w:p>
            <w:pPr>
              <w:spacing w:before="0" w:after="0"/>
              <w:jc w:val="right"/>
            </w:pPr>
            <w:r>
              <w:rPr>
                <w:sz w:val="18"/>
                <w:szCs w:val="18"/>
              </w:rPr>
              <w:t xml:space="preserve">12,104</w:t>
            </w:r>
          </w:p>
        </w:tc>
        <w:tc>
          <w:tcPr>
            <w:tcW w:w="2500" w:type="dxa"/>
            <w:vAlign w:val="center"/>
          </w:tcPr>
          <w:p>
            <w:pPr>
              <w:spacing w:before="0" w:after="0"/>
              <w:jc w:val="right"/>
            </w:pPr>
            <w:r>
              <w:rPr>
                <w:sz w:val="18"/>
                <w:szCs w:val="18"/>
              </w:rPr>
              <w:t xml:space="preserve">13,533</w:t>
            </w:r>
          </w:p>
        </w:tc>
      </w:tr>
      <w:tr>
        <w:tc>
          <w:tcPr>
            <w:tcW w:w="4072" w:type="dxa"/>
            <w:vAlign w:val="center"/>
          </w:tcPr>
          <w:p>
            <w:pPr>
              <w:spacing w:before="0" w:after="0"/>
              <w:jc w:val="left"/>
            </w:pPr>
            <w:r>
              <w:rPr>
                <w:sz w:val="18"/>
                <w:szCs w:val="18"/>
              </w:rPr>
              <w:t xml:space="preserve">Property and equipment, net</w:t>
            </w:r>
          </w:p>
        </w:tc>
        <w:tc>
          <w:tcPr>
            <w:tcW w:w="2500" w:type="dxa"/>
            <w:vAlign w:val="center"/>
          </w:tcPr>
          <w:p>
            <w:pPr>
              <w:spacing w:before="0" w:after="0"/>
              <w:jc w:val="right"/>
            </w:pPr>
            <w:r>
              <w:rPr>
                <w:sz w:val="18"/>
                <w:szCs w:val="18"/>
              </w:rPr>
              <w:t xml:space="preserve">29,473</w:t>
            </w:r>
          </w:p>
        </w:tc>
        <w:tc>
          <w:tcPr>
            <w:tcW w:w="2500" w:type="dxa"/>
            <w:vAlign w:val="center"/>
          </w:tcPr>
          <w:p>
            <w:pPr>
              <w:spacing w:before="0" w:after="0"/>
              <w:jc w:val="right"/>
            </w:pPr>
            <w:r>
              <w:rPr>
                <w:sz w:val="18"/>
                <w:szCs w:val="18"/>
              </w:rPr>
              <w:t xml:space="preserve">34,933</w:t>
            </w:r>
          </w:p>
        </w:tc>
      </w:tr>
    </w:tbl>
    <w:p>
      <w:pPr/>
    </w:p>
    <w:p>
      <w:pPr>
        <w:keepNext/>
      </w:pPr>
      <w:r>
        <w:rPr>
          <w:b/>
        </w:rPr>
        <w:t xml:space="preserve">16. Subsequent events</w:t>
      </w:r>
    </w:p>
    <w:p>
      <w:pPr>
        <w:ind w:left="0" w:firstLine="360"/>
      </w:pPr>
      <w:r>
        <w:t xml:space="preserve">Revenue from stores in the Southport region was $57,739 thousand, or 26.0% of total revenue. Revenue from loyalty rewards is deferred until the reward is redeemed or expires. Nimbus Coffee operates specialty coffee shops under the Nimbus Coffee name and roasts all of the coffee it serves at its own roastery in Northfield. New stores generally reach the sales level of a mature store within eighteen to twenty-four months of opening. New stores generally reach the sales level of a mature store within eighteen to twenty-four months of opening. Labor costs are affected by minimum wage laws in the regions where the stores are located, and further increases could reduce store margins.</w:t>
      </w:r>
    </w:p>
    <w:p>
      <w:pPr>
        <w:ind w:left="0" w:firstLine="360"/>
      </w:pPr>
      <w:r>
        <w:t xml:space="preserve">Occupancy costs increased to $32,679 thousand, reflecting rent for new stores and scheduled rent increases at existing locations. Store operating expenses, which consist mainly of wages, benefits and supplies, were 28.4% of revenue, compared with 31.0% in the prior year. Energy use per store decreased 10.7% compared with the prior year, as older espresso machines and refrigerators were replaced with more efficient models. Merchandise sales, consisting of mugs, brewing equipment and seasonal gift sets, are highest in the fourth quarter of each year.</w:t>
      </w:r>
    </w:p>
    <w:p>
      <w:r>
        <w:br w:type="page"/>
      </w:r>
    </w:p>
    <w:p>
      <w:pPr>
        <w:pStyle w:val="Heading3"/>
        <w:keepNext/>
      </w:pPr>
      <w:r>
        <w:t xml:space="preserve">1. Financial Statements (Six months ended June 30, 2026)</w:t>
      </w:r>
    </w:p>
    <w:p>
      <w:pPr>
        <w:ind w:left="0" w:firstLine="360"/>
      </w:pPr>
      <w:r>
        <w:t xml:space="preserve">Net cash provided by operating activities was $249,263 thousand, mainly reflecting net income and depreciation and amortization. The roastery produced 780 thousand pounds of roasted coffee during the fiscal year, of which 36.1% was sold through company-operated stores. Wholesale revenue comes from sales of roasted beans to restaurants, hotels and grocery stores in the regions where the Group operates.</w:t>
      </w:r>
    </w:p>
    <w:p>
      <w:pPr>
        <w:ind w:left="0" w:firstLine="360"/>
      </w:pPr>
      <w:r>
        <w:t xml:space="preserve">Capital expenditures totaled $14,534 thousand and consisted mainly of the build-out of new stores, the remodeling of existing stores and a second roasting line at the Northfield roastery. The Company operates specialty coffee shops under the Nimbus Coffee name and roasts all of the coffee it serves at its own roastery in Northfield. Inventories consist of green coffee, roasted coffee, packaging, food and merchandise, and are stated at the lower of cost and net realizable value. Green coffee is purchased from exporters and cooperatives in Central America, South America and East Africa under fixed-price contracts that generally cover the next nine to twelve months of expected needs. The Group intends to pay dividends out of retained earnings while keeping sufficient funds to finance the opening of new stores. Revenue from stores in the Westridge region was $25,184 thousand, or 43.7% of total revenue.</w:t>
      </w:r>
    </w:p>
    <w:p>
      <w:r>
        <w:br w:type="page"/>
      </w:r>
    </w:p>
    <w:p>
      <w:pPr>
        <w:pStyle w:val="Heading3"/>
        <w:keepNext/>
      </w:pPr>
      <w:r>
        <w:t xml:space="preserve">Balance Sheets (Assets)</w:t>
      </w:r>
    </w:p>
    <w:p>
      <w:pPr>
        <w:jc w:val="right"/>
      </w:pPr>
      <w:r>
        <w:rPr>
          <w:sz w:val="18"/>
          <w:szCs w:val="18"/>
        </w:rPr>
        <w:t xml:space="preserve">(In thousands of U.S. dollars)</w:t>
      </w:r>
    </w:p>
    <w:tbl>
      <w:tblPr>
        <w:tblW w:w="907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72" w:type="dxa"/>
          <w:right w:w="72" w:type="dxa"/>
        </w:tblCellMar>
      </w:tblPr>
      <w:tblGrid>
        <w:gridCol w:w="4872"/>
        <w:gridCol w:w="800"/>
        <w:gridCol w:w="1700"/>
        <w:gridCol w:w="1700"/>
      </w:tblGrid>
      <w:tr>
        <w:trPr>
          <w:tblHeader/>
        </w:trPr>
        <w:tc>
          <w:tcPr>
            <w:tcW w:w="4872" w:type="dxa"/>
            <w:shd w:val="clear" w:color="auto" w:fill="DDEBF7"/>
            <w:vAlign w:val="center"/>
          </w:tcPr>
          <w:p>
            <w:pPr>
              <w:spacing w:before="0" w:after="0"/>
              <w:jc w:val="center"/>
            </w:pPr>
            <w:r>
              <w:rPr>
                <w:b/>
                <w:sz w:val="18"/>
                <w:szCs w:val="18"/>
              </w:rPr>
              <w:t xml:space="preserve"/>
            </w:r>
          </w:p>
        </w:tc>
        <w:tc>
          <w:tcPr>
            <w:tcW w:w="800" w:type="dxa"/>
            <w:shd w:val="clear" w:color="auto" w:fill="DDEBF7"/>
            <w:vAlign w:val="center"/>
          </w:tcPr>
          <w:p>
            <w:pPr>
              <w:spacing w:before="0" w:after="0"/>
              <w:jc w:val="center"/>
            </w:pPr>
            <w:r>
              <w:rPr>
                <w:b/>
                <w:sz w:val="18"/>
                <w:szCs w:val="18"/>
              </w:rPr>
              <w:t xml:space="preserve">Note</w:t>
            </w:r>
          </w:p>
        </w:tc>
        <w:tc>
          <w:tcPr>
            <w:tcW w:w="1700" w:type="dxa"/>
            <w:shd w:val="clear" w:color="auto" w:fill="DDEBF7"/>
            <w:vAlign w:val="center"/>
          </w:tcPr>
          <w:p>
            <w:pPr>
              <w:spacing w:before="0" w:after="0"/>
              <w:jc w:val="center"/>
            </w:pPr>
            <w:r>
              <w:rPr>
                <w:b/>
                <w:sz w:val="18"/>
                <w:szCs w:val="18"/>
              </w:rPr>
              <w:t xml:space="preserve">H1 2025</w:t>
            </w:r>
          </w:p>
        </w:tc>
        <w:tc>
          <w:tcPr>
            <w:tcW w:w="1700" w:type="dxa"/>
            <w:shd w:val="clear" w:color="auto" w:fill="DDEBF7"/>
            <w:vAlign w:val="center"/>
          </w:tcPr>
          <w:p>
            <w:pPr>
              <w:spacing w:before="0" w:after="0"/>
              <w:jc w:val="center"/>
            </w:pPr>
            <w:r>
              <w:rPr>
                <w:b/>
                <w:sz w:val="18"/>
                <w:szCs w:val="18"/>
              </w:rPr>
              <w:t xml:space="preserve">H1 2026</w:t>
            </w:r>
          </w:p>
        </w:tc>
      </w:tr>
      <w:tr>
        <w:tc>
          <w:tcPr>
            <w:tcW w:w="4872" w:type="dxa"/>
            <w:vAlign w:val="center"/>
          </w:tcPr>
          <w:p>
            <w:pPr>
              <w:spacing w:before="0" w:after="0"/>
              <w:jc w:val="left"/>
            </w:pPr>
            <w:r>
              <w:rPr>
                <w:b/>
                <w:sz w:val="18"/>
                <w:szCs w:val="18"/>
              </w:rPr>
              <w:t xml:space="preserve">Current assets</w:t>
            </w:r>
          </w:p>
        </w:tc>
        <w:tc>
          <w:tcPr>
            <w:tcW w:w="800" w:type="dxa"/>
            <w:vAlign w:val="center"/>
          </w:tcPr>
          <w:p>
            <w:pPr>
              <w:spacing w:before="0" w:after="0"/>
              <w:jc w:val="left"/>
            </w:pPr>
            <w:r>
              <w:rPr>
                <w:b/>
                <w:sz w:val="18"/>
                <w:szCs w:val="18"/>
              </w:rPr>
              <w:t xml:space="preserve"/>
            </w:r>
          </w:p>
        </w:tc>
        <w:tc>
          <w:tcPr>
            <w:tcW w:w="1700" w:type="dxa"/>
            <w:vAlign w:val="center"/>
          </w:tcPr>
          <w:p>
            <w:pPr>
              <w:spacing w:before="0" w:after="0"/>
              <w:jc w:val="right"/>
            </w:pPr>
            <w:r>
              <w:rPr>
                <w:b/>
                <w:sz w:val="18"/>
                <w:szCs w:val="18"/>
              </w:rPr>
              <w:t xml:space="preserve"/>
            </w:r>
          </w:p>
        </w:tc>
        <w:tc>
          <w:tcPr>
            <w:tcW w:w="1700" w:type="dxa"/>
            <w:vAlign w:val="center"/>
          </w:tcPr>
          <w:p>
            <w:pPr>
              <w:spacing w:before="0" w:after="0"/>
              <w:jc w:val="right"/>
            </w:pPr>
            <w:r>
              <w:rPr>
                <w:b/>
                <w:sz w:val="18"/>
                <w:szCs w:val="18"/>
              </w:rPr>
              <w:t xml:space="preserve"/>
            </w:r>
          </w:p>
        </w:tc>
      </w:tr>
      <w:tr>
        <w:tc>
          <w:tcPr>
            <w:tcW w:w="4872" w:type="dxa"/>
            <w:vAlign w:val="center"/>
          </w:tcPr>
          <w:p>
            <w:pPr>
              <w:spacing w:before="0" w:after="0"/>
              <w:jc w:val="left"/>
            </w:pPr>
            <w:r>
              <w:rPr>
                <w:sz w:val="18"/>
                <w:szCs w:val="18"/>
              </w:rPr>
              <w:t xml:space="preserve">Cash and cash equivalents</w:t>
            </w:r>
          </w:p>
        </w:tc>
        <w:tc>
          <w:tcPr>
            <w:tcW w:w="800" w:type="dxa"/>
            <w:vAlign w:val="center"/>
          </w:tcPr>
          <w:p>
            <w:pPr>
              <w:spacing w:before="0" w:after="0"/>
              <w:jc w:val="left"/>
            </w:pPr>
            <w:r>
              <w:rPr>
                <w:sz w:val="18"/>
                <w:szCs w:val="18"/>
              </w:rPr>
              <w:t xml:space="preserve">14</w:t>
            </w:r>
          </w:p>
        </w:tc>
        <w:tc>
          <w:tcPr>
            <w:tcW w:w="1700" w:type="dxa"/>
            <w:vAlign w:val="center"/>
          </w:tcPr>
          <w:p>
            <w:pPr>
              <w:spacing w:before="0" w:after="0"/>
              <w:jc w:val="right"/>
            </w:pPr>
            <w:r>
              <w:rPr>
                <w:sz w:val="18"/>
                <w:szCs w:val="18"/>
              </w:rPr>
              <w:t xml:space="preserve">54,481</w:t>
            </w:r>
          </w:p>
        </w:tc>
        <w:tc>
          <w:tcPr>
            <w:tcW w:w="1700" w:type="dxa"/>
            <w:vAlign w:val="center"/>
          </w:tcPr>
          <w:p>
            <w:pPr>
              <w:spacing w:before="0" w:after="0"/>
              <w:jc w:val="right"/>
            </w:pPr>
            <w:r>
              <w:rPr>
                <w:sz w:val="18"/>
                <w:szCs w:val="18"/>
              </w:rPr>
              <w:t xml:space="preserve">60,280</w:t>
            </w:r>
          </w:p>
        </w:tc>
      </w:tr>
      <w:tr>
        <w:tc>
          <w:tcPr>
            <w:tcW w:w="4872" w:type="dxa"/>
            <w:vAlign w:val="center"/>
          </w:tcPr>
          <w:p>
            <w:pPr>
              <w:spacing w:before="0" w:after="0"/>
              <w:jc w:val="left"/>
            </w:pPr>
            <w:r>
              <w:rPr>
                <w:sz w:val="18"/>
                <w:szCs w:val="18"/>
              </w:rPr>
              <w:t xml:space="preserve">Short-term investments</w:t>
            </w:r>
          </w:p>
        </w:tc>
        <w:tc>
          <w:tcPr>
            <w:tcW w:w="800" w:type="dxa"/>
            <w:vAlign w:val="center"/>
          </w:tcPr>
          <w:p>
            <w:pPr>
              <w:spacing w:before="0" w:after="0"/>
              <w:jc w:val="left"/>
            </w:pPr>
            <w:r>
              <w:rPr>
                <w:sz w:val="18"/>
                <w:szCs w:val="18"/>
              </w:rPr>
              <w:t xml:space="preserve"/>
            </w:r>
          </w:p>
        </w:tc>
        <w:tc>
          <w:tcPr>
            <w:tcW w:w="1700" w:type="dxa"/>
            <w:vAlign w:val="center"/>
          </w:tcPr>
          <w:p>
            <w:pPr>
              <w:spacing w:before="0" w:after="0"/>
              <w:jc w:val="right"/>
            </w:pPr>
            <w:r>
              <w:rPr>
                <w:sz w:val="18"/>
                <w:szCs w:val="18"/>
              </w:rPr>
              <w:t xml:space="preserve">11,392</w:t>
            </w:r>
          </w:p>
        </w:tc>
        <w:tc>
          <w:tcPr>
            <w:tcW w:w="1700" w:type="dxa"/>
            <w:vAlign w:val="center"/>
          </w:tcPr>
          <w:p>
            <w:pPr>
              <w:spacing w:before="0" w:after="0"/>
              <w:jc w:val="right"/>
            </w:pPr>
            <w:r>
              <w:rPr>
                <w:sz w:val="18"/>
                <w:szCs w:val="18"/>
              </w:rPr>
              <w:t xml:space="preserve">12,649</w:t>
            </w:r>
          </w:p>
        </w:tc>
      </w:tr>
      <w:tr>
        <w:tc>
          <w:tcPr>
            <w:tcW w:w="4872" w:type="dxa"/>
            <w:vAlign w:val="center"/>
          </w:tcPr>
          <w:p>
            <w:pPr>
              <w:spacing w:before="0" w:after="0"/>
              <w:jc w:val="left"/>
            </w:pPr>
            <w:r>
              <w:rPr>
                <w:sz w:val="18"/>
                <w:szCs w:val="18"/>
              </w:rPr>
              <w:t xml:space="preserve">Accounts receivable, net</w:t>
            </w:r>
          </w:p>
        </w:tc>
        <w:tc>
          <w:tcPr>
            <w:tcW w:w="800" w:type="dxa"/>
            <w:vAlign w:val="center"/>
          </w:tcPr>
          <w:p>
            <w:pPr>
              <w:spacing w:before="0" w:after="0"/>
              <w:jc w:val="left"/>
            </w:pPr>
            <w:r>
              <w:rPr>
                <w:sz w:val="18"/>
                <w:szCs w:val="18"/>
              </w:rPr>
              <w:t xml:space="preserve"/>
            </w:r>
          </w:p>
        </w:tc>
        <w:tc>
          <w:tcPr>
            <w:tcW w:w="1700" w:type="dxa"/>
            <w:vAlign w:val="center"/>
          </w:tcPr>
          <w:p>
            <w:pPr>
              <w:spacing w:before="0" w:after="0"/>
              <w:jc w:val="right"/>
            </w:pPr>
            <w:r>
              <w:rPr>
                <w:sz w:val="18"/>
                <w:szCs w:val="18"/>
              </w:rPr>
              <w:t xml:space="preserve">9,607</w:t>
            </w:r>
          </w:p>
        </w:tc>
        <w:tc>
          <w:tcPr>
            <w:tcW w:w="1700" w:type="dxa"/>
            <w:vAlign w:val="center"/>
          </w:tcPr>
          <w:p>
            <w:pPr>
              <w:spacing w:before="0" w:after="0"/>
              <w:jc w:val="right"/>
            </w:pPr>
            <w:r>
              <w:rPr>
                <w:sz w:val="18"/>
                <w:szCs w:val="18"/>
              </w:rPr>
              <w:t xml:space="preserve">10,199</w:t>
            </w:r>
          </w:p>
        </w:tc>
      </w:tr>
      <w:tr>
        <w:tc>
          <w:tcPr>
            <w:tcW w:w="4872" w:type="dxa"/>
            <w:vAlign w:val="center"/>
          </w:tcPr>
          <w:p>
            <w:pPr>
              <w:spacing w:before="0" w:after="0"/>
              <w:jc w:val="left"/>
            </w:pPr>
            <w:r>
              <w:rPr>
                <w:sz w:val="18"/>
                <w:szCs w:val="18"/>
              </w:rPr>
              <w:t xml:space="preserve">Inventories</w:t>
            </w:r>
          </w:p>
        </w:tc>
        <w:tc>
          <w:tcPr>
            <w:tcW w:w="800" w:type="dxa"/>
            <w:vAlign w:val="center"/>
          </w:tcPr>
          <w:p>
            <w:pPr>
              <w:spacing w:before="0" w:after="0"/>
              <w:jc w:val="left"/>
            </w:pPr>
            <w:r>
              <w:rPr>
                <w:sz w:val="18"/>
                <w:szCs w:val="18"/>
              </w:rPr>
              <w:t xml:space="preserve">10</w:t>
            </w:r>
          </w:p>
        </w:tc>
        <w:tc>
          <w:tcPr>
            <w:tcW w:w="1700" w:type="dxa"/>
            <w:vAlign w:val="center"/>
          </w:tcPr>
          <w:p>
            <w:pPr>
              <w:spacing w:before="0" w:after="0"/>
              <w:jc w:val="right"/>
            </w:pPr>
            <w:r>
              <w:rPr>
                <w:sz w:val="18"/>
                <w:szCs w:val="18"/>
              </w:rPr>
              <w:t xml:space="preserve">25,407</w:t>
            </w:r>
          </w:p>
        </w:tc>
        <w:tc>
          <w:tcPr>
            <w:tcW w:w="1700" w:type="dxa"/>
            <w:vAlign w:val="center"/>
          </w:tcPr>
          <w:p>
            <w:pPr>
              <w:spacing w:before="0" w:after="0"/>
              <w:jc w:val="right"/>
            </w:pPr>
            <w:r>
              <w:rPr>
                <w:sz w:val="18"/>
                <w:szCs w:val="18"/>
              </w:rPr>
              <w:t xml:space="preserve">26,965</w:t>
            </w:r>
          </w:p>
        </w:tc>
      </w:tr>
      <w:tr>
        <w:tc>
          <w:tcPr>
            <w:tcW w:w="4872" w:type="dxa"/>
            <w:vAlign w:val="center"/>
          </w:tcPr>
          <w:p>
            <w:pPr>
              <w:spacing w:before="0" w:after="0"/>
              <w:jc w:val="left"/>
            </w:pPr>
            <w:r>
              <w:rPr>
                <w:sz w:val="18"/>
                <w:szCs w:val="18"/>
              </w:rPr>
              <w:t xml:space="preserve">Prepaid expenses and other current assets</w:t>
            </w:r>
          </w:p>
        </w:tc>
        <w:tc>
          <w:tcPr>
            <w:tcW w:w="800" w:type="dxa"/>
            <w:vAlign w:val="center"/>
          </w:tcPr>
          <w:p>
            <w:pPr>
              <w:spacing w:before="0" w:after="0"/>
              <w:jc w:val="left"/>
            </w:pPr>
            <w:r>
              <w:rPr>
                <w:sz w:val="18"/>
                <w:szCs w:val="18"/>
              </w:rPr>
              <w:t xml:space="preserve">1</w:t>
            </w:r>
          </w:p>
        </w:tc>
        <w:tc>
          <w:tcPr>
            <w:tcW w:w="1700" w:type="dxa"/>
            <w:vAlign w:val="center"/>
          </w:tcPr>
          <w:p>
            <w:pPr>
              <w:spacing w:before="0" w:after="0"/>
              <w:jc w:val="right"/>
            </w:pPr>
            <w:r>
              <w:rPr>
                <w:sz w:val="18"/>
                <w:szCs w:val="18"/>
              </w:rPr>
              <w:t xml:space="preserve">7,837</w:t>
            </w:r>
          </w:p>
        </w:tc>
        <w:tc>
          <w:tcPr>
            <w:tcW w:w="1700" w:type="dxa"/>
            <w:vAlign w:val="center"/>
          </w:tcPr>
          <w:p>
            <w:pPr>
              <w:spacing w:before="0" w:after="0"/>
              <w:jc w:val="right"/>
            </w:pPr>
            <w:r>
              <w:rPr>
                <w:sz w:val="18"/>
                <w:szCs w:val="18"/>
              </w:rPr>
              <w:t xml:space="preserve">8,853</w:t>
            </w:r>
          </w:p>
        </w:tc>
      </w:tr>
      <w:tr>
        <w:tc>
          <w:tcPr>
            <w:tcW w:w="4872" w:type="dxa"/>
            <w:vAlign w:val="center"/>
          </w:tcPr>
          <w:p>
            <w:pPr>
              <w:spacing w:before="0" w:after="0"/>
              <w:jc w:val="left"/>
            </w:pPr>
            <w:r>
              <w:rPr>
                <w:b/>
                <w:sz w:val="18"/>
                <w:szCs w:val="18"/>
              </w:rPr>
              <w:t xml:space="preserve">Total current assets</w:t>
            </w:r>
          </w:p>
        </w:tc>
        <w:tc>
          <w:tcPr>
            <w:tcW w:w="800" w:type="dxa"/>
            <w:vAlign w:val="center"/>
          </w:tcPr>
          <w:p>
            <w:pPr>
              <w:spacing w:before="0" w:after="0"/>
              <w:jc w:val="left"/>
            </w:pPr>
            <w:r>
              <w:rPr>
                <w:b/>
                <w:sz w:val="18"/>
                <w:szCs w:val="18"/>
              </w:rPr>
              <w:t xml:space="preserve"/>
            </w:r>
          </w:p>
        </w:tc>
        <w:tc>
          <w:tcPr>
            <w:tcW w:w="1700" w:type="dxa"/>
            <w:vAlign w:val="center"/>
          </w:tcPr>
          <w:p>
            <w:pPr>
              <w:spacing w:before="0" w:after="0"/>
              <w:jc w:val="right"/>
            </w:pPr>
            <w:r>
              <w:rPr>
                <w:b/>
                <w:sz w:val="18"/>
                <w:szCs w:val="18"/>
              </w:rPr>
              <w:t xml:space="preserve">108,724</w:t>
            </w:r>
          </w:p>
        </w:tc>
        <w:tc>
          <w:tcPr>
            <w:tcW w:w="1700" w:type="dxa"/>
            <w:vAlign w:val="center"/>
          </w:tcPr>
          <w:p>
            <w:pPr>
              <w:spacing w:before="0" w:after="0"/>
              <w:jc w:val="right"/>
            </w:pPr>
            <w:r>
              <w:rPr>
                <w:b/>
                <w:sz w:val="18"/>
                <w:szCs w:val="18"/>
              </w:rPr>
              <w:t xml:space="preserve">118,946</w:t>
            </w:r>
          </w:p>
        </w:tc>
      </w:tr>
      <w:tr>
        <w:tc>
          <w:tcPr>
            <w:tcW w:w="4872" w:type="dxa"/>
            <w:vAlign w:val="center"/>
          </w:tcPr>
          <w:p>
            <w:pPr>
              <w:spacing w:before="0" w:after="0"/>
              <w:jc w:val="left"/>
            </w:pPr>
            <w:r>
              <w:rPr>
                <w:b/>
                <w:sz w:val="18"/>
                <w:szCs w:val="18"/>
              </w:rPr>
              <w:t xml:space="preserve">Non-current assets</w:t>
            </w:r>
          </w:p>
        </w:tc>
        <w:tc>
          <w:tcPr>
            <w:tcW w:w="800" w:type="dxa"/>
            <w:vAlign w:val="center"/>
          </w:tcPr>
          <w:p>
            <w:pPr>
              <w:spacing w:before="0" w:after="0"/>
              <w:jc w:val="left"/>
            </w:pPr>
            <w:r>
              <w:rPr>
                <w:b/>
                <w:sz w:val="18"/>
                <w:szCs w:val="18"/>
              </w:rPr>
              <w:t xml:space="preserve"/>
            </w:r>
          </w:p>
        </w:tc>
        <w:tc>
          <w:tcPr>
            <w:tcW w:w="1700" w:type="dxa"/>
            <w:vAlign w:val="center"/>
          </w:tcPr>
          <w:p>
            <w:pPr>
              <w:spacing w:before="0" w:after="0"/>
              <w:jc w:val="right"/>
            </w:pPr>
            <w:r>
              <w:rPr>
                <w:b/>
                <w:sz w:val="18"/>
                <w:szCs w:val="18"/>
              </w:rPr>
              <w:t xml:space="preserve"/>
            </w:r>
          </w:p>
        </w:tc>
        <w:tc>
          <w:tcPr>
            <w:tcW w:w="1700" w:type="dxa"/>
            <w:vAlign w:val="center"/>
          </w:tcPr>
          <w:p>
            <w:pPr>
              <w:spacing w:before="0" w:after="0"/>
              <w:jc w:val="right"/>
            </w:pPr>
            <w:r>
              <w:rPr>
                <w:b/>
                <w:sz w:val="18"/>
                <w:szCs w:val="18"/>
              </w:rPr>
              <w:t xml:space="preserve"/>
            </w:r>
          </w:p>
        </w:tc>
      </w:tr>
      <w:tr>
        <w:tc>
          <w:tcPr>
            <w:tcW w:w="4872" w:type="dxa"/>
            <w:vAlign w:val="center"/>
          </w:tcPr>
          <w:p>
            <w:pPr>
              <w:spacing w:before="0" w:after="0"/>
              <w:jc w:val="left"/>
            </w:pPr>
            <w:r>
              <w:rPr>
                <w:sz w:val="18"/>
                <w:szCs w:val="18"/>
              </w:rPr>
              <w:t xml:space="preserve">Property and equipment, net</w:t>
            </w:r>
          </w:p>
        </w:tc>
        <w:tc>
          <w:tcPr>
            <w:tcW w:w="800" w:type="dxa"/>
            <w:vAlign w:val="center"/>
          </w:tcPr>
          <w:p>
            <w:pPr>
              <w:spacing w:before="0" w:after="0"/>
              <w:jc w:val="left"/>
            </w:pPr>
            <w:r>
              <w:rPr>
                <w:sz w:val="18"/>
                <w:szCs w:val="18"/>
              </w:rPr>
              <w:t xml:space="preserve"/>
            </w:r>
          </w:p>
        </w:tc>
        <w:tc>
          <w:tcPr>
            <w:tcW w:w="1700" w:type="dxa"/>
            <w:vAlign w:val="center"/>
          </w:tcPr>
          <w:p>
            <w:pPr>
              <w:spacing w:before="0" w:after="0"/>
              <w:jc w:val="right"/>
            </w:pPr>
            <w:r>
              <w:rPr>
                <w:sz w:val="18"/>
                <w:szCs w:val="18"/>
              </w:rPr>
              <w:t xml:space="preserve">140,236</w:t>
            </w:r>
          </w:p>
        </w:tc>
        <w:tc>
          <w:tcPr>
            <w:tcW w:w="1700" w:type="dxa"/>
            <w:vAlign w:val="center"/>
          </w:tcPr>
          <w:p>
            <w:pPr>
              <w:spacing w:before="0" w:after="0"/>
              <w:jc w:val="right"/>
            </w:pPr>
            <w:r>
              <w:rPr>
                <w:sz w:val="18"/>
                <w:szCs w:val="18"/>
              </w:rPr>
              <w:t xml:space="preserve">152,374</w:t>
            </w:r>
          </w:p>
        </w:tc>
      </w:tr>
      <w:tr>
        <w:tc>
          <w:tcPr>
            <w:tcW w:w="4872" w:type="dxa"/>
            <w:vAlign w:val="center"/>
          </w:tcPr>
          <w:p>
            <w:pPr>
              <w:spacing w:before="0" w:after="0"/>
              <w:jc w:val="left"/>
            </w:pPr>
            <w:r>
              <w:rPr>
                <w:sz w:val="18"/>
                <w:szCs w:val="18"/>
              </w:rPr>
              <w:t xml:space="preserve">Operating lease right-of-use assets</w:t>
            </w:r>
          </w:p>
        </w:tc>
        <w:tc>
          <w:tcPr>
            <w:tcW w:w="800" w:type="dxa"/>
            <w:vAlign w:val="center"/>
          </w:tcPr>
          <w:p>
            <w:pPr>
              <w:spacing w:before="0" w:after="0"/>
              <w:jc w:val="left"/>
            </w:pPr>
            <w:r>
              <w:rPr>
                <w:sz w:val="18"/>
                <w:szCs w:val="18"/>
              </w:rPr>
              <w:t xml:space="preserve">14</w:t>
            </w:r>
          </w:p>
        </w:tc>
        <w:tc>
          <w:tcPr>
            <w:tcW w:w="1700" w:type="dxa"/>
            <w:vAlign w:val="center"/>
          </w:tcPr>
          <w:p>
            <w:pPr>
              <w:spacing w:before="0" w:after="0"/>
              <w:jc w:val="right"/>
            </w:pPr>
            <w:r>
              <w:rPr>
                <w:sz w:val="18"/>
                <w:szCs w:val="18"/>
              </w:rPr>
              <w:t xml:space="preserve">127,998</w:t>
            </w:r>
          </w:p>
        </w:tc>
        <w:tc>
          <w:tcPr>
            <w:tcW w:w="1700" w:type="dxa"/>
            <w:vAlign w:val="center"/>
          </w:tcPr>
          <w:p>
            <w:pPr>
              <w:spacing w:before="0" w:after="0"/>
              <w:jc w:val="right"/>
            </w:pPr>
            <w:r>
              <w:rPr>
                <w:sz w:val="18"/>
                <w:szCs w:val="18"/>
              </w:rPr>
              <w:t xml:space="preserve">141,173</w:t>
            </w:r>
          </w:p>
        </w:tc>
      </w:tr>
      <w:tr>
        <w:tc>
          <w:tcPr>
            <w:tcW w:w="4872" w:type="dxa"/>
            <w:vAlign w:val="center"/>
          </w:tcPr>
          <w:p>
            <w:pPr>
              <w:spacing w:before="0" w:after="0"/>
              <w:jc w:val="left"/>
            </w:pPr>
            <w:r>
              <w:rPr>
                <w:sz w:val="18"/>
                <w:szCs w:val="18"/>
              </w:rPr>
              <w:t xml:space="preserve">Deferred income taxes</w:t>
            </w:r>
          </w:p>
        </w:tc>
        <w:tc>
          <w:tcPr>
            <w:tcW w:w="800" w:type="dxa"/>
            <w:vAlign w:val="center"/>
          </w:tcPr>
          <w:p>
            <w:pPr>
              <w:spacing w:before="0" w:after="0"/>
              <w:jc w:val="left"/>
            </w:pPr>
            <w:r>
              <w:rPr>
                <w:sz w:val="18"/>
                <w:szCs w:val="18"/>
              </w:rPr>
              <w:t xml:space="preserve">18</w:t>
            </w:r>
          </w:p>
        </w:tc>
        <w:tc>
          <w:tcPr>
            <w:tcW w:w="1700" w:type="dxa"/>
            <w:vAlign w:val="center"/>
          </w:tcPr>
          <w:p>
            <w:pPr>
              <w:spacing w:before="0" w:after="0"/>
              <w:jc w:val="right"/>
            </w:pPr>
            <w:r>
              <w:rPr>
                <w:sz w:val="18"/>
                <w:szCs w:val="18"/>
              </w:rPr>
              <w:t xml:space="preserve">6,176</w:t>
            </w:r>
          </w:p>
        </w:tc>
        <w:tc>
          <w:tcPr>
            <w:tcW w:w="1700" w:type="dxa"/>
            <w:vAlign w:val="center"/>
          </w:tcPr>
          <w:p>
            <w:pPr>
              <w:spacing w:before="0" w:after="0"/>
              <w:jc w:val="right"/>
            </w:pPr>
            <w:r>
              <w:rPr>
                <w:sz w:val="18"/>
                <w:szCs w:val="18"/>
              </w:rPr>
              <w:t xml:space="preserve">6,101</w:t>
            </w:r>
          </w:p>
        </w:tc>
      </w:tr>
      <w:tr>
        <w:tc>
          <w:tcPr>
            <w:tcW w:w="4872" w:type="dxa"/>
            <w:vAlign w:val="center"/>
          </w:tcPr>
          <w:p>
            <w:pPr>
              <w:spacing w:before="0" w:after="0"/>
              <w:jc w:val="left"/>
            </w:pPr>
            <w:r>
              <w:rPr>
                <w:sz w:val="18"/>
                <w:szCs w:val="18"/>
              </w:rPr>
              <w:t xml:space="preserve">Goodwill</w:t>
            </w:r>
          </w:p>
        </w:tc>
        <w:tc>
          <w:tcPr>
            <w:tcW w:w="800" w:type="dxa"/>
            <w:vAlign w:val="center"/>
          </w:tcPr>
          <w:p>
            <w:pPr>
              <w:spacing w:before="0" w:after="0"/>
              <w:jc w:val="left"/>
            </w:pPr>
            <w:r>
              <w:rPr>
                <w:sz w:val="18"/>
                <w:szCs w:val="18"/>
              </w:rPr>
              <w:t xml:space="preserve">8</w:t>
            </w:r>
          </w:p>
        </w:tc>
        <w:tc>
          <w:tcPr>
            <w:tcW w:w="1700" w:type="dxa"/>
            <w:vAlign w:val="center"/>
          </w:tcPr>
          <w:p>
            <w:pPr>
              <w:spacing w:before="0" w:after="0"/>
              <w:jc w:val="right"/>
            </w:pPr>
            <w:r>
              <w:rPr>
                <w:sz w:val="18"/>
                <w:szCs w:val="18"/>
              </w:rPr>
              <w:t xml:space="preserve">7,346</w:t>
            </w:r>
          </w:p>
        </w:tc>
        <w:tc>
          <w:tcPr>
            <w:tcW w:w="1700" w:type="dxa"/>
            <w:vAlign w:val="center"/>
          </w:tcPr>
          <w:p>
            <w:pPr>
              <w:spacing w:before="0" w:after="0"/>
              <w:jc w:val="right"/>
            </w:pPr>
            <w:r>
              <w:rPr>
                <w:sz w:val="18"/>
                <w:szCs w:val="18"/>
              </w:rPr>
              <w:t xml:space="preserve">8,417</w:t>
            </w:r>
          </w:p>
        </w:tc>
      </w:tr>
      <w:tr>
        <w:tc>
          <w:tcPr>
            <w:tcW w:w="4872" w:type="dxa"/>
            <w:vAlign w:val="center"/>
          </w:tcPr>
          <w:p>
            <w:pPr>
              <w:spacing w:before="0" w:after="0"/>
              <w:jc w:val="left"/>
            </w:pPr>
            <w:r>
              <w:rPr>
                <w:sz w:val="18"/>
                <w:szCs w:val="18"/>
              </w:rPr>
              <w:t xml:space="preserve">Other intangible assets, net</w:t>
            </w:r>
          </w:p>
        </w:tc>
        <w:tc>
          <w:tcPr>
            <w:tcW w:w="800" w:type="dxa"/>
            <w:vAlign w:val="center"/>
          </w:tcPr>
          <w:p>
            <w:pPr>
              <w:spacing w:before="0" w:after="0"/>
              <w:jc w:val="left"/>
            </w:pPr>
            <w:r>
              <w:rPr>
                <w:sz w:val="18"/>
                <w:szCs w:val="18"/>
              </w:rPr>
              <w:t xml:space="preserve"/>
            </w:r>
          </w:p>
        </w:tc>
        <w:tc>
          <w:tcPr>
            <w:tcW w:w="1700" w:type="dxa"/>
            <w:vAlign w:val="center"/>
          </w:tcPr>
          <w:p>
            <w:pPr>
              <w:spacing w:before="0" w:after="0"/>
              <w:jc w:val="right"/>
            </w:pPr>
            <w:r>
              <w:rPr>
                <w:sz w:val="18"/>
                <w:szCs w:val="18"/>
              </w:rPr>
              <w:t xml:space="preserve">4,280</w:t>
            </w:r>
          </w:p>
        </w:tc>
        <w:tc>
          <w:tcPr>
            <w:tcW w:w="1700" w:type="dxa"/>
            <w:vAlign w:val="center"/>
          </w:tcPr>
          <w:p>
            <w:pPr>
              <w:spacing w:before="0" w:after="0"/>
              <w:jc w:val="right"/>
            </w:pPr>
            <w:r>
              <w:rPr>
                <w:sz w:val="18"/>
                <w:szCs w:val="18"/>
              </w:rPr>
              <w:t xml:space="preserve">4,108</w:t>
            </w:r>
          </w:p>
        </w:tc>
      </w:tr>
      <w:tr>
        <w:tc>
          <w:tcPr>
            <w:tcW w:w="4872" w:type="dxa"/>
            <w:vAlign w:val="center"/>
          </w:tcPr>
          <w:p>
            <w:pPr>
              <w:spacing w:before="0" w:after="0"/>
              <w:jc w:val="left"/>
            </w:pPr>
            <w:r>
              <w:rPr>
                <w:sz w:val="18"/>
                <w:szCs w:val="18"/>
              </w:rPr>
              <w:t xml:space="preserve">Security deposits</w:t>
            </w:r>
          </w:p>
        </w:tc>
        <w:tc>
          <w:tcPr>
            <w:tcW w:w="800" w:type="dxa"/>
            <w:vAlign w:val="center"/>
          </w:tcPr>
          <w:p>
            <w:pPr>
              <w:spacing w:before="0" w:after="0"/>
              <w:jc w:val="left"/>
            </w:pPr>
            <w:r>
              <w:rPr>
                <w:sz w:val="18"/>
                <w:szCs w:val="18"/>
              </w:rPr>
              <w:t xml:space="preserve"/>
            </w:r>
          </w:p>
        </w:tc>
        <w:tc>
          <w:tcPr>
            <w:tcW w:w="1700" w:type="dxa"/>
            <w:vAlign w:val="center"/>
          </w:tcPr>
          <w:p>
            <w:pPr>
              <w:spacing w:before="0" w:after="0"/>
              <w:jc w:val="right"/>
            </w:pPr>
            <w:r>
              <w:rPr>
                <w:sz w:val="18"/>
                <w:szCs w:val="18"/>
              </w:rPr>
              <w:t xml:space="preserve">7,591</w:t>
            </w:r>
          </w:p>
        </w:tc>
        <w:tc>
          <w:tcPr>
            <w:tcW w:w="1700" w:type="dxa"/>
            <w:vAlign w:val="center"/>
          </w:tcPr>
          <w:p>
            <w:pPr>
              <w:spacing w:before="0" w:after="0"/>
              <w:jc w:val="right"/>
            </w:pPr>
            <w:r>
              <w:rPr>
                <w:sz w:val="18"/>
                <w:szCs w:val="18"/>
              </w:rPr>
              <w:t xml:space="preserve">8,011</w:t>
            </w:r>
          </w:p>
        </w:tc>
      </w:tr>
      <w:tr>
        <w:tc>
          <w:tcPr>
            <w:tcW w:w="4872" w:type="dxa"/>
            <w:vAlign w:val="center"/>
          </w:tcPr>
          <w:p>
            <w:pPr>
              <w:spacing w:before="0" w:after="0"/>
              <w:jc w:val="left"/>
            </w:pPr>
            <w:r>
              <w:rPr>
                <w:sz w:val="18"/>
                <w:szCs w:val="18"/>
              </w:rPr>
              <w:t xml:space="preserve">Other long-term assets</w:t>
            </w:r>
          </w:p>
        </w:tc>
        <w:tc>
          <w:tcPr>
            <w:tcW w:w="800" w:type="dxa"/>
            <w:vAlign w:val="center"/>
          </w:tcPr>
          <w:p>
            <w:pPr>
              <w:spacing w:before="0" w:after="0"/>
              <w:jc w:val="left"/>
            </w:pPr>
            <w:r>
              <w:rPr>
                <w:sz w:val="18"/>
                <w:szCs w:val="18"/>
              </w:rPr>
              <w:t xml:space="preserve">11</w:t>
            </w:r>
          </w:p>
        </w:tc>
        <w:tc>
          <w:tcPr>
            <w:tcW w:w="1700" w:type="dxa"/>
            <w:vAlign w:val="center"/>
          </w:tcPr>
          <w:p>
            <w:pPr>
              <w:spacing w:before="0" w:after="0"/>
              <w:jc w:val="right"/>
            </w:pPr>
            <w:r>
              <w:rPr>
                <w:sz w:val="18"/>
                <w:szCs w:val="18"/>
              </w:rPr>
              <w:t xml:space="preserve">3,671</w:t>
            </w:r>
          </w:p>
        </w:tc>
        <w:tc>
          <w:tcPr>
            <w:tcW w:w="1700" w:type="dxa"/>
            <w:vAlign w:val="center"/>
          </w:tcPr>
          <w:p>
            <w:pPr>
              <w:spacing w:before="0" w:after="0"/>
              <w:jc w:val="right"/>
            </w:pPr>
            <w:r>
              <w:rPr>
                <w:sz w:val="18"/>
                <w:szCs w:val="18"/>
              </w:rPr>
              <w:t xml:space="preserve">4,529</w:t>
            </w:r>
          </w:p>
        </w:tc>
      </w:tr>
      <w:tr>
        <w:tc>
          <w:tcPr>
            <w:tcW w:w="4872" w:type="dxa"/>
            <w:vAlign w:val="center"/>
          </w:tcPr>
          <w:p>
            <w:pPr>
              <w:spacing w:before="0" w:after="0"/>
              <w:jc w:val="left"/>
            </w:pPr>
            <w:r>
              <w:rPr>
                <w:b/>
                <w:sz w:val="18"/>
                <w:szCs w:val="18"/>
              </w:rPr>
              <w:t xml:space="preserve">Total non-current assets</w:t>
            </w:r>
          </w:p>
        </w:tc>
        <w:tc>
          <w:tcPr>
            <w:tcW w:w="800" w:type="dxa"/>
            <w:vAlign w:val="center"/>
          </w:tcPr>
          <w:p>
            <w:pPr>
              <w:spacing w:before="0" w:after="0"/>
              <w:jc w:val="left"/>
            </w:pPr>
            <w:r>
              <w:rPr>
                <w:b/>
                <w:sz w:val="18"/>
                <w:szCs w:val="18"/>
              </w:rPr>
              <w:t xml:space="preserve"/>
            </w:r>
          </w:p>
        </w:tc>
        <w:tc>
          <w:tcPr>
            <w:tcW w:w="1700" w:type="dxa"/>
            <w:vAlign w:val="center"/>
          </w:tcPr>
          <w:p>
            <w:pPr>
              <w:spacing w:before="0" w:after="0"/>
              <w:jc w:val="right"/>
            </w:pPr>
            <w:r>
              <w:rPr>
                <w:b/>
                <w:sz w:val="18"/>
                <w:szCs w:val="18"/>
              </w:rPr>
              <w:t xml:space="preserve">297,298</w:t>
            </w:r>
          </w:p>
        </w:tc>
        <w:tc>
          <w:tcPr>
            <w:tcW w:w="1700" w:type="dxa"/>
            <w:vAlign w:val="center"/>
          </w:tcPr>
          <w:p>
            <w:pPr>
              <w:spacing w:before="0" w:after="0"/>
              <w:jc w:val="right"/>
            </w:pPr>
            <w:r>
              <w:rPr>
                <w:b/>
                <w:sz w:val="18"/>
                <w:szCs w:val="18"/>
              </w:rPr>
              <w:t xml:space="preserve">324,713</w:t>
            </w:r>
          </w:p>
        </w:tc>
      </w:tr>
      <w:tr>
        <w:tc>
          <w:tcPr>
            <w:tcW w:w="4872" w:type="dxa"/>
            <w:vAlign w:val="center"/>
          </w:tcPr>
          <w:p>
            <w:pPr>
              <w:spacing w:before="0" w:after="0"/>
              <w:jc w:val="left"/>
            </w:pPr>
            <w:r>
              <w:rPr>
                <w:b/>
                <w:sz w:val="18"/>
                <w:szCs w:val="18"/>
              </w:rPr>
              <w:t xml:space="preserve">Total assets</w:t>
            </w:r>
          </w:p>
        </w:tc>
        <w:tc>
          <w:tcPr>
            <w:tcW w:w="800" w:type="dxa"/>
            <w:vAlign w:val="center"/>
          </w:tcPr>
          <w:p>
            <w:pPr>
              <w:spacing w:before="0" w:after="0"/>
              <w:jc w:val="left"/>
            </w:pPr>
            <w:r>
              <w:rPr>
                <w:b/>
                <w:sz w:val="18"/>
                <w:szCs w:val="18"/>
              </w:rPr>
              <w:t xml:space="preserve"/>
            </w:r>
          </w:p>
        </w:tc>
        <w:tc>
          <w:tcPr>
            <w:tcW w:w="1700" w:type="dxa"/>
            <w:vAlign w:val="center"/>
          </w:tcPr>
          <w:p>
            <w:pPr>
              <w:spacing w:before="0" w:after="0"/>
              <w:jc w:val="right"/>
            </w:pPr>
            <w:r>
              <w:rPr>
                <w:b/>
                <w:sz w:val="18"/>
                <w:szCs w:val="18"/>
              </w:rPr>
              <w:t xml:space="preserve">406,022</w:t>
            </w:r>
          </w:p>
        </w:tc>
        <w:tc>
          <w:tcPr>
            <w:tcW w:w="1700" w:type="dxa"/>
            <w:vAlign w:val="center"/>
          </w:tcPr>
          <w:p>
            <w:pPr>
              <w:spacing w:before="0" w:after="0"/>
              <w:jc w:val="right"/>
            </w:pPr>
            <w:r>
              <w:rPr>
                <w:b/>
                <w:sz w:val="18"/>
                <w:szCs w:val="18"/>
              </w:rPr>
              <w:t xml:space="preserve">443,659</w:t>
            </w:r>
          </w:p>
        </w:tc>
      </w:tr>
    </w:tbl>
    <w:p>
      <w:pPr/>
    </w:p>
    <w:p>
      <w:r>
        <w:br w:type="page"/>
      </w:r>
    </w:p>
    <w:p>
      <w:pPr>
        <w:pStyle w:val="Heading3"/>
        <w:keepNext/>
      </w:pPr>
      <w:r>
        <w:t xml:space="preserve">Balance Sheets (Liabilities and Stockholders' Equity)</w:t>
      </w:r>
    </w:p>
    <w:p>
      <w:pPr>
        <w:jc w:val="right"/>
      </w:pPr>
      <w:r>
        <w:rPr>
          <w:sz w:val="18"/>
          <w:szCs w:val="18"/>
        </w:rPr>
        <w:t xml:space="preserve">(In thousands of U.S. dollars)</w:t>
      </w:r>
    </w:p>
    <w:tbl>
      <w:tblPr>
        <w:tblW w:w="907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72" w:type="dxa"/>
          <w:right w:w="72" w:type="dxa"/>
        </w:tblCellMar>
      </w:tblPr>
      <w:tblGrid>
        <w:gridCol w:w="4872"/>
        <w:gridCol w:w="800"/>
        <w:gridCol w:w="1700"/>
        <w:gridCol w:w="1700"/>
      </w:tblGrid>
      <w:tr>
        <w:trPr>
          <w:tblHeader/>
        </w:trPr>
        <w:tc>
          <w:tcPr>
            <w:tcW w:w="4872" w:type="dxa"/>
            <w:shd w:val="clear" w:color="auto" w:fill="DDEBF7"/>
            <w:vAlign w:val="center"/>
          </w:tcPr>
          <w:p>
            <w:pPr>
              <w:spacing w:before="0" w:after="0"/>
              <w:jc w:val="center"/>
            </w:pPr>
            <w:r>
              <w:rPr>
                <w:b/>
                <w:sz w:val="18"/>
                <w:szCs w:val="18"/>
              </w:rPr>
              <w:t xml:space="preserve"/>
            </w:r>
          </w:p>
        </w:tc>
        <w:tc>
          <w:tcPr>
            <w:tcW w:w="800" w:type="dxa"/>
            <w:shd w:val="clear" w:color="auto" w:fill="DDEBF7"/>
            <w:vAlign w:val="center"/>
          </w:tcPr>
          <w:p>
            <w:pPr>
              <w:spacing w:before="0" w:after="0"/>
              <w:jc w:val="center"/>
            </w:pPr>
            <w:r>
              <w:rPr>
                <w:b/>
                <w:sz w:val="18"/>
                <w:szCs w:val="18"/>
              </w:rPr>
              <w:t xml:space="preserve">Note</w:t>
            </w:r>
          </w:p>
        </w:tc>
        <w:tc>
          <w:tcPr>
            <w:tcW w:w="1700" w:type="dxa"/>
            <w:shd w:val="clear" w:color="auto" w:fill="DDEBF7"/>
            <w:vAlign w:val="center"/>
          </w:tcPr>
          <w:p>
            <w:pPr>
              <w:spacing w:before="0" w:after="0"/>
              <w:jc w:val="center"/>
            </w:pPr>
            <w:r>
              <w:rPr>
                <w:b/>
                <w:sz w:val="18"/>
                <w:szCs w:val="18"/>
              </w:rPr>
              <w:t xml:space="preserve">H1 2025</w:t>
            </w:r>
          </w:p>
        </w:tc>
        <w:tc>
          <w:tcPr>
            <w:tcW w:w="1700" w:type="dxa"/>
            <w:shd w:val="clear" w:color="auto" w:fill="DDEBF7"/>
            <w:vAlign w:val="center"/>
          </w:tcPr>
          <w:p>
            <w:pPr>
              <w:spacing w:before="0" w:after="0"/>
              <w:jc w:val="center"/>
            </w:pPr>
            <w:r>
              <w:rPr>
                <w:b/>
                <w:sz w:val="18"/>
                <w:szCs w:val="18"/>
              </w:rPr>
              <w:t xml:space="preserve">H1 2026</w:t>
            </w:r>
          </w:p>
        </w:tc>
      </w:tr>
      <w:tr>
        <w:tc>
          <w:tcPr>
            <w:tcW w:w="4872" w:type="dxa"/>
            <w:vAlign w:val="center"/>
          </w:tcPr>
          <w:p>
            <w:pPr>
              <w:spacing w:before="0" w:after="0"/>
              <w:jc w:val="left"/>
            </w:pPr>
            <w:r>
              <w:rPr>
                <w:b/>
                <w:sz w:val="18"/>
                <w:szCs w:val="18"/>
              </w:rPr>
              <w:t xml:space="preserve">Current liabilities</w:t>
            </w:r>
          </w:p>
        </w:tc>
        <w:tc>
          <w:tcPr>
            <w:tcW w:w="800" w:type="dxa"/>
            <w:vAlign w:val="center"/>
          </w:tcPr>
          <w:p>
            <w:pPr>
              <w:spacing w:before="0" w:after="0"/>
              <w:jc w:val="left"/>
            </w:pPr>
            <w:r>
              <w:rPr>
                <w:b/>
                <w:sz w:val="18"/>
                <w:szCs w:val="18"/>
              </w:rPr>
              <w:t xml:space="preserve"/>
            </w:r>
          </w:p>
        </w:tc>
        <w:tc>
          <w:tcPr>
            <w:tcW w:w="1700" w:type="dxa"/>
            <w:vAlign w:val="center"/>
          </w:tcPr>
          <w:p>
            <w:pPr>
              <w:spacing w:before="0" w:after="0"/>
              <w:jc w:val="right"/>
            </w:pPr>
            <w:r>
              <w:rPr>
                <w:b/>
                <w:sz w:val="18"/>
                <w:szCs w:val="18"/>
              </w:rPr>
              <w:t xml:space="preserve"/>
            </w:r>
          </w:p>
        </w:tc>
        <w:tc>
          <w:tcPr>
            <w:tcW w:w="1700" w:type="dxa"/>
            <w:vAlign w:val="center"/>
          </w:tcPr>
          <w:p>
            <w:pPr>
              <w:spacing w:before="0" w:after="0"/>
              <w:jc w:val="right"/>
            </w:pPr>
            <w:r>
              <w:rPr>
                <w:b/>
                <w:sz w:val="18"/>
                <w:szCs w:val="18"/>
              </w:rPr>
              <w:t xml:space="preserve"/>
            </w:r>
          </w:p>
        </w:tc>
      </w:tr>
      <w:tr>
        <w:tc>
          <w:tcPr>
            <w:tcW w:w="4872" w:type="dxa"/>
            <w:vAlign w:val="center"/>
          </w:tcPr>
          <w:p>
            <w:pPr>
              <w:spacing w:before="0" w:after="0"/>
              <w:jc w:val="left"/>
            </w:pPr>
            <w:r>
              <w:rPr>
                <w:sz w:val="18"/>
                <w:szCs w:val="18"/>
              </w:rPr>
              <w:t xml:space="preserve">Accounts payable</w:t>
            </w:r>
          </w:p>
        </w:tc>
        <w:tc>
          <w:tcPr>
            <w:tcW w:w="800" w:type="dxa"/>
            <w:vAlign w:val="center"/>
          </w:tcPr>
          <w:p>
            <w:pPr>
              <w:spacing w:before="0" w:after="0"/>
              <w:jc w:val="left"/>
            </w:pPr>
            <w:r>
              <w:rPr>
                <w:sz w:val="18"/>
                <w:szCs w:val="18"/>
              </w:rPr>
              <w:t xml:space="preserve"/>
            </w:r>
          </w:p>
        </w:tc>
        <w:tc>
          <w:tcPr>
            <w:tcW w:w="1700" w:type="dxa"/>
            <w:vAlign w:val="center"/>
          </w:tcPr>
          <w:p>
            <w:pPr>
              <w:spacing w:before="0" w:after="0"/>
              <w:jc w:val="right"/>
            </w:pPr>
            <w:r>
              <w:rPr>
                <w:sz w:val="18"/>
                <w:szCs w:val="18"/>
              </w:rPr>
              <w:t xml:space="preserve">15,551</w:t>
            </w:r>
          </w:p>
        </w:tc>
        <w:tc>
          <w:tcPr>
            <w:tcW w:w="1700" w:type="dxa"/>
            <w:vAlign w:val="center"/>
          </w:tcPr>
          <w:p>
            <w:pPr>
              <w:spacing w:before="0" w:after="0"/>
              <w:jc w:val="right"/>
            </w:pPr>
            <w:r>
              <w:rPr>
                <w:sz w:val="18"/>
                <w:szCs w:val="18"/>
              </w:rPr>
              <w:t xml:space="preserve">16,199</w:t>
            </w:r>
          </w:p>
        </w:tc>
      </w:tr>
      <w:tr>
        <w:tc>
          <w:tcPr>
            <w:tcW w:w="4872" w:type="dxa"/>
            <w:vAlign w:val="center"/>
          </w:tcPr>
          <w:p>
            <w:pPr>
              <w:spacing w:before="0" w:after="0"/>
              <w:jc w:val="left"/>
            </w:pPr>
            <w:r>
              <w:rPr>
                <w:sz w:val="18"/>
                <w:szCs w:val="18"/>
              </w:rPr>
              <w:t xml:space="preserve">Accrued payroll and benefits</w:t>
            </w:r>
          </w:p>
        </w:tc>
        <w:tc>
          <w:tcPr>
            <w:tcW w:w="800" w:type="dxa"/>
            <w:vAlign w:val="center"/>
          </w:tcPr>
          <w:p>
            <w:pPr>
              <w:spacing w:before="0" w:after="0"/>
              <w:jc w:val="left"/>
            </w:pPr>
            <w:r>
              <w:rPr>
                <w:sz w:val="18"/>
                <w:szCs w:val="18"/>
              </w:rPr>
              <w:t xml:space="preserve"/>
            </w:r>
          </w:p>
        </w:tc>
        <w:tc>
          <w:tcPr>
            <w:tcW w:w="1700" w:type="dxa"/>
            <w:vAlign w:val="center"/>
          </w:tcPr>
          <w:p>
            <w:pPr>
              <w:spacing w:before="0" w:after="0"/>
              <w:jc w:val="right"/>
            </w:pPr>
            <w:r>
              <w:rPr>
                <w:sz w:val="18"/>
                <w:szCs w:val="18"/>
              </w:rPr>
              <w:t xml:space="preserve">11,042</w:t>
            </w:r>
          </w:p>
        </w:tc>
        <w:tc>
          <w:tcPr>
            <w:tcW w:w="1700" w:type="dxa"/>
            <w:vAlign w:val="center"/>
          </w:tcPr>
          <w:p>
            <w:pPr>
              <w:spacing w:before="0" w:after="0"/>
              <w:jc w:val="right"/>
            </w:pPr>
            <w:r>
              <w:rPr>
                <w:sz w:val="18"/>
                <w:szCs w:val="18"/>
              </w:rPr>
              <w:t xml:space="preserve">12,256</w:t>
            </w:r>
          </w:p>
        </w:tc>
      </w:tr>
      <w:tr>
        <w:tc>
          <w:tcPr>
            <w:tcW w:w="4872" w:type="dxa"/>
            <w:vAlign w:val="center"/>
          </w:tcPr>
          <w:p>
            <w:pPr>
              <w:spacing w:before="0" w:after="0"/>
              <w:jc w:val="left"/>
            </w:pPr>
            <w:r>
              <w:rPr>
                <w:sz w:val="18"/>
                <w:szCs w:val="18"/>
              </w:rPr>
              <w:t xml:space="preserve">Current portion of operating lease liabilities</w:t>
            </w:r>
          </w:p>
        </w:tc>
        <w:tc>
          <w:tcPr>
            <w:tcW w:w="800" w:type="dxa"/>
            <w:vAlign w:val="center"/>
          </w:tcPr>
          <w:p>
            <w:pPr>
              <w:spacing w:before="0" w:after="0"/>
              <w:jc w:val="left"/>
            </w:pPr>
            <w:r>
              <w:rPr>
                <w:sz w:val="18"/>
                <w:szCs w:val="18"/>
              </w:rPr>
              <w:t xml:space="preserve">10</w:t>
            </w:r>
          </w:p>
        </w:tc>
        <w:tc>
          <w:tcPr>
            <w:tcW w:w="1700" w:type="dxa"/>
            <w:vAlign w:val="center"/>
          </w:tcPr>
          <w:p>
            <w:pPr>
              <w:spacing w:before="0" w:after="0"/>
              <w:jc w:val="right"/>
            </w:pPr>
            <w:r>
              <w:rPr>
                <w:sz w:val="18"/>
                <w:szCs w:val="18"/>
              </w:rPr>
              <w:t xml:space="preserve">18,277</w:t>
            </w:r>
          </w:p>
        </w:tc>
        <w:tc>
          <w:tcPr>
            <w:tcW w:w="1700" w:type="dxa"/>
            <w:vAlign w:val="center"/>
          </w:tcPr>
          <w:p>
            <w:pPr>
              <w:spacing w:before="0" w:after="0"/>
              <w:jc w:val="right"/>
            </w:pPr>
            <w:r>
              <w:rPr>
                <w:sz w:val="18"/>
                <w:szCs w:val="18"/>
              </w:rPr>
              <w:t xml:space="preserve">19,343</w:t>
            </w:r>
          </w:p>
        </w:tc>
      </w:tr>
      <w:tr>
        <w:tc>
          <w:tcPr>
            <w:tcW w:w="4872" w:type="dxa"/>
            <w:vAlign w:val="center"/>
          </w:tcPr>
          <w:p>
            <w:pPr>
              <w:spacing w:before="0" w:after="0"/>
              <w:jc w:val="left"/>
            </w:pPr>
            <w:r>
              <w:rPr>
                <w:sz w:val="18"/>
                <w:szCs w:val="18"/>
              </w:rPr>
              <w:t xml:space="preserve">Current portion of long-term debt</w:t>
            </w:r>
          </w:p>
        </w:tc>
        <w:tc>
          <w:tcPr>
            <w:tcW w:w="800" w:type="dxa"/>
            <w:vAlign w:val="center"/>
          </w:tcPr>
          <w:p>
            <w:pPr>
              <w:spacing w:before="0" w:after="0"/>
              <w:jc w:val="left"/>
            </w:pPr>
            <w:r>
              <w:rPr>
                <w:sz w:val="18"/>
                <w:szCs w:val="18"/>
              </w:rPr>
              <w:t xml:space="preserve"/>
            </w:r>
          </w:p>
        </w:tc>
        <w:tc>
          <w:tcPr>
            <w:tcW w:w="1700" w:type="dxa"/>
            <w:vAlign w:val="center"/>
          </w:tcPr>
          <w:p>
            <w:pPr>
              <w:spacing w:before="0" w:after="0"/>
              <w:jc w:val="right"/>
            </w:pPr>
            <w:r>
              <w:rPr>
                <w:sz w:val="18"/>
                <w:szCs w:val="18"/>
              </w:rPr>
              <w:t xml:space="preserve">7,922</w:t>
            </w:r>
          </w:p>
        </w:tc>
        <w:tc>
          <w:tcPr>
            <w:tcW w:w="1700" w:type="dxa"/>
            <w:vAlign w:val="center"/>
          </w:tcPr>
          <w:p>
            <w:pPr>
              <w:spacing w:before="0" w:after="0"/>
              <w:jc w:val="right"/>
            </w:pPr>
            <w:r>
              <w:rPr>
                <w:sz w:val="18"/>
                <w:szCs w:val="18"/>
              </w:rPr>
              <w:t xml:space="preserve">8,485</w:t>
            </w:r>
          </w:p>
        </w:tc>
      </w:tr>
      <w:tr>
        <w:tc>
          <w:tcPr>
            <w:tcW w:w="4872" w:type="dxa"/>
            <w:vAlign w:val="center"/>
          </w:tcPr>
          <w:p>
            <w:pPr>
              <w:spacing w:before="0" w:after="0"/>
              <w:jc w:val="left"/>
            </w:pPr>
            <w:r>
              <w:rPr>
                <w:sz w:val="18"/>
                <w:szCs w:val="18"/>
              </w:rPr>
              <w:t xml:space="preserve">Deferred revenue (gift cards and loyalty)</w:t>
            </w:r>
          </w:p>
        </w:tc>
        <w:tc>
          <w:tcPr>
            <w:tcW w:w="800" w:type="dxa"/>
            <w:vAlign w:val="center"/>
          </w:tcPr>
          <w:p>
            <w:pPr>
              <w:spacing w:before="0" w:after="0"/>
              <w:jc w:val="left"/>
            </w:pPr>
            <w:r>
              <w:rPr>
                <w:sz w:val="18"/>
                <w:szCs w:val="18"/>
              </w:rPr>
              <w:t xml:space="preserve"/>
            </w:r>
          </w:p>
        </w:tc>
        <w:tc>
          <w:tcPr>
            <w:tcW w:w="1700" w:type="dxa"/>
            <w:vAlign w:val="center"/>
          </w:tcPr>
          <w:p>
            <w:pPr>
              <w:spacing w:before="0" w:after="0"/>
              <w:jc w:val="right"/>
            </w:pPr>
            <w:r>
              <w:rPr>
                <w:sz w:val="18"/>
                <w:szCs w:val="18"/>
              </w:rPr>
              <w:t xml:space="preserve">9,920</w:t>
            </w:r>
          </w:p>
        </w:tc>
        <w:tc>
          <w:tcPr>
            <w:tcW w:w="1700" w:type="dxa"/>
            <w:vAlign w:val="center"/>
          </w:tcPr>
          <w:p>
            <w:pPr>
              <w:spacing w:before="0" w:after="0"/>
              <w:jc w:val="right"/>
            </w:pPr>
            <w:r>
              <w:rPr>
                <w:sz w:val="18"/>
                <w:szCs w:val="18"/>
              </w:rPr>
              <w:t xml:space="preserve">10,957</w:t>
            </w:r>
          </w:p>
        </w:tc>
      </w:tr>
      <w:tr>
        <w:tc>
          <w:tcPr>
            <w:tcW w:w="4872" w:type="dxa"/>
            <w:vAlign w:val="center"/>
          </w:tcPr>
          <w:p>
            <w:pPr>
              <w:spacing w:before="0" w:after="0"/>
              <w:jc w:val="left"/>
            </w:pPr>
            <w:r>
              <w:rPr>
                <w:sz w:val="18"/>
                <w:szCs w:val="18"/>
              </w:rPr>
              <w:t xml:space="preserve">Income taxes payable</w:t>
            </w:r>
          </w:p>
        </w:tc>
        <w:tc>
          <w:tcPr>
            <w:tcW w:w="800" w:type="dxa"/>
            <w:vAlign w:val="center"/>
          </w:tcPr>
          <w:p>
            <w:pPr>
              <w:spacing w:before="0" w:after="0"/>
              <w:jc w:val="left"/>
            </w:pPr>
            <w:r>
              <w:rPr>
                <w:sz w:val="18"/>
                <w:szCs w:val="18"/>
              </w:rPr>
              <w:t xml:space="preserve"/>
            </w:r>
          </w:p>
        </w:tc>
        <w:tc>
          <w:tcPr>
            <w:tcW w:w="1700" w:type="dxa"/>
            <w:vAlign w:val="center"/>
          </w:tcPr>
          <w:p>
            <w:pPr>
              <w:spacing w:before="0" w:after="0"/>
              <w:jc w:val="right"/>
            </w:pPr>
            <w:r>
              <w:rPr>
                <w:sz w:val="18"/>
                <w:szCs w:val="18"/>
              </w:rPr>
              <w:t xml:space="preserve">3,274</w:t>
            </w:r>
          </w:p>
        </w:tc>
        <w:tc>
          <w:tcPr>
            <w:tcW w:w="1700" w:type="dxa"/>
            <w:vAlign w:val="center"/>
          </w:tcPr>
          <w:p>
            <w:pPr>
              <w:spacing w:before="0" w:after="0"/>
              <w:jc w:val="right"/>
            </w:pPr>
            <w:r>
              <w:rPr>
                <w:sz w:val="18"/>
                <w:szCs w:val="18"/>
              </w:rPr>
              <w:t xml:space="preserve">3,412</w:t>
            </w:r>
          </w:p>
        </w:tc>
      </w:tr>
      <w:tr>
        <w:tc>
          <w:tcPr>
            <w:tcW w:w="4872" w:type="dxa"/>
            <w:vAlign w:val="center"/>
          </w:tcPr>
          <w:p>
            <w:pPr>
              <w:spacing w:before="0" w:after="0"/>
              <w:jc w:val="left"/>
            </w:pPr>
            <w:r>
              <w:rPr>
                <w:sz w:val="18"/>
                <w:szCs w:val="18"/>
              </w:rPr>
              <w:t xml:space="preserve">Other accrued liabilities</w:t>
            </w:r>
          </w:p>
        </w:tc>
        <w:tc>
          <w:tcPr>
            <w:tcW w:w="800" w:type="dxa"/>
            <w:vAlign w:val="center"/>
          </w:tcPr>
          <w:p>
            <w:pPr>
              <w:spacing w:before="0" w:after="0"/>
              <w:jc w:val="left"/>
            </w:pPr>
            <w:r>
              <w:rPr>
                <w:sz w:val="18"/>
                <w:szCs w:val="18"/>
              </w:rPr>
              <w:t xml:space="preserve"/>
            </w:r>
          </w:p>
        </w:tc>
        <w:tc>
          <w:tcPr>
            <w:tcW w:w="1700" w:type="dxa"/>
            <w:vAlign w:val="center"/>
          </w:tcPr>
          <w:p>
            <w:pPr>
              <w:spacing w:before="0" w:after="0"/>
              <w:jc w:val="right"/>
            </w:pPr>
            <w:r>
              <w:rPr>
                <w:sz w:val="18"/>
                <w:szCs w:val="18"/>
              </w:rPr>
              <w:t xml:space="preserve">5,829</w:t>
            </w:r>
          </w:p>
        </w:tc>
        <w:tc>
          <w:tcPr>
            <w:tcW w:w="1700" w:type="dxa"/>
            <w:vAlign w:val="center"/>
          </w:tcPr>
          <w:p>
            <w:pPr>
              <w:spacing w:before="0" w:after="0"/>
              <w:jc w:val="right"/>
            </w:pPr>
            <w:r>
              <w:rPr>
                <w:sz w:val="18"/>
                <w:szCs w:val="18"/>
              </w:rPr>
              <w:t xml:space="preserve">6,397</w:t>
            </w:r>
          </w:p>
        </w:tc>
      </w:tr>
      <w:tr>
        <w:tc>
          <w:tcPr>
            <w:tcW w:w="4872" w:type="dxa"/>
            <w:vAlign w:val="center"/>
          </w:tcPr>
          <w:p>
            <w:pPr>
              <w:spacing w:before="0" w:after="0"/>
              <w:jc w:val="left"/>
            </w:pPr>
            <w:r>
              <w:rPr>
                <w:b/>
                <w:sz w:val="18"/>
                <w:szCs w:val="18"/>
              </w:rPr>
              <w:t xml:space="preserve">Total current liabilities</w:t>
            </w:r>
          </w:p>
        </w:tc>
        <w:tc>
          <w:tcPr>
            <w:tcW w:w="800" w:type="dxa"/>
            <w:vAlign w:val="center"/>
          </w:tcPr>
          <w:p>
            <w:pPr>
              <w:spacing w:before="0" w:after="0"/>
              <w:jc w:val="left"/>
            </w:pPr>
            <w:r>
              <w:rPr>
                <w:b/>
                <w:sz w:val="18"/>
                <w:szCs w:val="18"/>
              </w:rPr>
              <w:t xml:space="preserve"/>
            </w:r>
          </w:p>
        </w:tc>
        <w:tc>
          <w:tcPr>
            <w:tcW w:w="1700" w:type="dxa"/>
            <w:vAlign w:val="center"/>
          </w:tcPr>
          <w:p>
            <w:pPr>
              <w:spacing w:before="0" w:after="0"/>
              <w:jc w:val="right"/>
            </w:pPr>
            <w:r>
              <w:rPr>
                <w:b/>
                <w:sz w:val="18"/>
                <w:szCs w:val="18"/>
              </w:rPr>
              <w:t xml:space="preserve">71,815</w:t>
            </w:r>
          </w:p>
        </w:tc>
        <w:tc>
          <w:tcPr>
            <w:tcW w:w="1700" w:type="dxa"/>
            <w:vAlign w:val="center"/>
          </w:tcPr>
          <w:p>
            <w:pPr>
              <w:spacing w:before="0" w:after="0"/>
              <w:jc w:val="right"/>
            </w:pPr>
            <w:r>
              <w:rPr>
                <w:b/>
                <w:sz w:val="18"/>
                <w:szCs w:val="18"/>
              </w:rPr>
              <w:t xml:space="preserve">77,049</w:t>
            </w:r>
          </w:p>
        </w:tc>
      </w:tr>
      <w:tr>
        <w:tc>
          <w:tcPr>
            <w:tcW w:w="4872" w:type="dxa"/>
            <w:vAlign w:val="center"/>
          </w:tcPr>
          <w:p>
            <w:pPr>
              <w:spacing w:before="0" w:after="0"/>
              <w:jc w:val="left"/>
            </w:pPr>
            <w:r>
              <w:rPr>
                <w:b/>
                <w:sz w:val="18"/>
                <w:szCs w:val="18"/>
              </w:rPr>
              <w:t xml:space="preserve">Non-current liabilities</w:t>
            </w:r>
          </w:p>
        </w:tc>
        <w:tc>
          <w:tcPr>
            <w:tcW w:w="800" w:type="dxa"/>
            <w:vAlign w:val="center"/>
          </w:tcPr>
          <w:p>
            <w:pPr>
              <w:spacing w:before="0" w:after="0"/>
              <w:jc w:val="left"/>
            </w:pPr>
            <w:r>
              <w:rPr>
                <w:b/>
                <w:sz w:val="18"/>
                <w:szCs w:val="18"/>
              </w:rPr>
              <w:t xml:space="preserve"/>
            </w:r>
          </w:p>
        </w:tc>
        <w:tc>
          <w:tcPr>
            <w:tcW w:w="1700" w:type="dxa"/>
            <w:vAlign w:val="center"/>
          </w:tcPr>
          <w:p>
            <w:pPr>
              <w:spacing w:before="0" w:after="0"/>
              <w:jc w:val="right"/>
            </w:pPr>
            <w:r>
              <w:rPr>
                <w:b/>
                <w:sz w:val="18"/>
                <w:szCs w:val="18"/>
              </w:rPr>
              <w:t xml:space="preserve"/>
            </w:r>
          </w:p>
        </w:tc>
        <w:tc>
          <w:tcPr>
            <w:tcW w:w="1700" w:type="dxa"/>
            <w:vAlign w:val="center"/>
          </w:tcPr>
          <w:p>
            <w:pPr>
              <w:spacing w:before="0" w:after="0"/>
              <w:jc w:val="right"/>
            </w:pPr>
            <w:r>
              <w:rPr>
                <w:b/>
                <w:sz w:val="18"/>
                <w:szCs w:val="18"/>
              </w:rPr>
              <w:t xml:space="preserve"/>
            </w:r>
          </w:p>
        </w:tc>
      </w:tr>
      <w:tr>
        <w:tc>
          <w:tcPr>
            <w:tcW w:w="4872" w:type="dxa"/>
            <w:vAlign w:val="center"/>
          </w:tcPr>
          <w:p>
            <w:pPr>
              <w:spacing w:before="0" w:after="0"/>
              <w:jc w:val="left"/>
            </w:pPr>
            <w:r>
              <w:rPr>
                <w:sz w:val="18"/>
                <w:szCs w:val="18"/>
              </w:rPr>
              <w:t xml:space="preserve">Long-term debt, net of current portion</w:t>
            </w:r>
          </w:p>
        </w:tc>
        <w:tc>
          <w:tcPr>
            <w:tcW w:w="800" w:type="dxa"/>
            <w:vAlign w:val="center"/>
          </w:tcPr>
          <w:p>
            <w:pPr>
              <w:spacing w:before="0" w:after="0"/>
              <w:jc w:val="left"/>
            </w:pPr>
            <w:r>
              <w:rPr>
                <w:sz w:val="18"/>
                <w:szCs w:val="18"/>
              </w:rPr>
              <w:t xml:space="preserve"/>
            </w:r>
          </w:p>
        </w:tc>
        <w:tc>
          <w:tcPr>
            <w:tcW w:w="1700" w:type="dxa"/>
            <w:vAlign w:val="center"/>
          </w:tcPr>
          <w:p>
            <w:pPr>
              <w:spacing w:before="0" w:after="0"/>
              <w:jc w:val="right"/>
            </w:pPr>
            <w:r>
              <w:rPr>
                <w:sz w:val="18"/>
                <w:szCs w:val="18"/>
              </w:rPr>
              <w:t xml:space="preserve">34,980</w:t>
            </w:r>
          </w:p>
        </w:tc>
        <w:tc>
          <w:tcPr>
            <w:tcW w:w="1700" w:type="dxa"/>
            <w:vAlign w:val="center"/>
          </w:tcPr>
          <w:p>
            <w:pPr>
              <w:spacing w:before="0" w:after="0"/>
              <w:jc w:val="right"/>
            </w:pPr>
            <w:r>
              <w:rPr>
                <w:sz w:val="18"/>
                <w:szCs w:val="18"/>
              </w:rPr>
              <w:t xml:space="preserve">42,076</w:t>
            </w:r>
          </w:p>
        </w:tc>
      </w:tr>
      <w:tr>
        <w:tc>
          <w:tcPr>
            <w:tcW w:w="4872" w:type="dxa"/>
            <w:vAlign w:val="center"/>
          </w:tcPr>
          <w:p>
            <w:pPr>
              <w:spacing w:before="0" w:after="0"/>
              <w:jc w:val="left"/>
            </w:pPr>
            <w:r>
              <w:rPr>
                <w:sz w:val="18"/>
                <w:szCs w:val="18"/>
              </w:rPr>
              <w:t xml:space="preserve">Operating lease liabilities, net of current portion</w:t>
            </w:r>
          </w:p>
        </w:tc>
        <w:tc>
          <w:tcPr>
            <w:tcW w:w="800" w:type="dxa"/>
            <w:vAlign w:val="center"/>
          </w:tcPr>
          <w:p>
            <w:pPr>
              <w:spacing w:before="0" w:after="0"/>
              <w:jc w:val="left"/>
            </w:pPr>
            <w:r>
              <w:rPr>
                <w:sz w:val="18"/>
                <w:szCs w:val="18"/>
              </w:rPr>
              <w:t xml:space="preserve"/>
            </w:r>
          </w:p>
        </w:tc>
        <w:tc>
          <w:tcPr>
            <w:tcW w:w="1700" w:type="dxa"/>
            <w:vAlign w:val="center"/>
          </w:tcPr>
          <w:p>
            <w:pPr>
              <w:spacing w:before="0" w:after="0"/>
              <w:jc w:val="right"/>
            </w:pPr>
            <w:r>
              <w:rPr>
                <w:sz w:val="18"/>
                <w:szCs w:val="18"/>
              </w:rPr>
              <w:t xml:space="preserve">103,223</w:t>
            </w:r>
          </w:p>
        </w:tc>
        <w:tc>
          <w:tcPr>
            <w:tcW w:w="1700" w:type="dxa"/>
            <w:vAlign w:val="center"/>
          </w:tcPr>
          <w:p>
            <w:pPr>
              <w:spacing w:before="0" w:after="0"/>
              <w:jc w:val="right"/>
            </w:pPr>
            <w:r>
              <w:rPr>
                <w:sz w:val="18"/>
                <w:szCs w:val="18"/>
              </w:rPr>
              <w:t xml:space="preserve">125,517</w:t>
            </w:r>
          </w:p>
        </w:tc>
      </w:tr>
      <w:tr>
        <w:tc>
          <w:tcPr>
            <w:tcW w:w="4872" w:type="dxa"/>
            <w:vAlign w:val="center"/>
          </w:tcPr>
          <w:p>
            <w:pPr>
              <w:spacing w:before="0" w:after="0"/>
              <w:jc w:val="left"/>
            </w:pPr>
            <w:r>
              <w:rPr>
                <w:sz w:val="18"/>
                <w:szCs w:val="18"/>
              </w:rPr>
              <w:t xml:space="preserve">Deferred rent and asset retirement obligations</w:t>
            </w:r>
          </w:p>
        </w:tc>
        <w:tc>
          <w:tcPr>
            <w:tcW w:w="800" w:type="dxa"/>
            <w:vAlign w:val="center"/>
          </w:tcPr>
          <w:p>
            <w:pPr>
              <w:spacing w:before="0" w:after="0"/>
              <w:jc w:val="left"/>
            </w:pPr>
            <w:r>
              <w:rPr>
                <w:sz w:val="18"/>
                <w:szCs w:val="18"/>
              </w:rPr>
              <w:t xml:space="preserve"/>
            </w:r>
          </w:p>
        </w:tc>
        <w:tc>
          <w:tcPr>
            <w:tcW w:w="1700" w:type="dxa"/>
            <w:vAlign w:val="center"/>
          </w:tcPr>
          <w:p>
            <w:pPr>
              <w:spacing w:before="0" w:after="0"/>
              <w:jc w:val="right"/>
            </w:pPr>
            <w:r>
              <w:rPr>
                <w:sz w:val="18"/>
                <w:szCs w:val="18"/>
              </w:rPr>
              <w:t xml:space="preserve">5,133</w:t>
            </w:r>
          </w:p>
        </w:tc>
        <w:tc>
          <w:tcPr>
            <w:tcW w:w="1700" w:type="dxa"/>
            <w:vAlign w:val="center"/>
          </w:tcPr>
          <w:p>
            <w:pPr>
              <w:spacing w:before="0" w:after="0"/>
              <w:jc w:val="right"/>
            </w:pPr>
            <w:r>
              <w:rPr>
                <w:sz w:val="18"/>
                <w:szCs w:val="18"/>
              </w:rPr>
              <w:t xml:space="preserve">5,015</w:t>
            </w:r>
          </w:p>
        </w:tc>
      </w:tr>
      <w:tr>
        <w:tc>
          <w:tcPr>
            <w:tcW w:w="4872" w:type="dxa"/>
            <w:vAlign w:val="center"/>
          </w:tcPr>
          <w:p>
            <w:pPr>
              <w:spacing w:before="0" w:after="0"/>
              <w:jc w:val="left"/>
            </w:pPr>
            <w:r>
              <w:rPr>
                <w:sz w:val="18"/>
                <w:szCs w:val="18"/>
              </w:rPr>
              <w:t xml:space="preserve">Other long-term liabilities</w:t>
            </w:r>
          </w:p>
        </w:tc>
        <w:tc>
          <w:tcPr>
            <w:tcW w:w="800" w:type="dxa"/>
            <w:vAlign w:val="center"/>
          </w:tcPr>
          <w:p>
            <w:pPr>
              <w:spacing w:before="0" w:after="0"/>
              <w:jc w:val="left"/>
            </w:pPr>
            <w:r>
              <w:rPr>
                <w:sz w:val="18"/>
                <w:szCs w:val="18"/>
              </w:rPr>
              <w:t xml:space="preserve">13</w:t>
            </w:r>
          </w:p>
        </w:tc>
        <w:tc>
          <w:tcPr>
            <w:tcW w:w="1700" w:type="dxa"/>
            <w:vAlign w:val="center"/>
          </w:tcPr>
          <w:p>
            <w:pPr>
              <w:spacing w:before="0" w:after="0"/>
              <w:jc w:val="right"/>
            </w:pPr>
            <w:r>
              <w:rPr>
                <w:sz w:val="18"/>
                <w:szCs w:val="18"/>
              </w:rPr>
              <w:t xml:space="preserve">2,934</w:t>
            </w:r>
          </w:p>
        </w:tc>
        <w:tc>
          <w:tcPr>
            <w:tcW w:w="1700" w:type="dxa"/>
            <w:vAlign w:val="center"/>
          </w:tcPr>
          <w:p>
            <w:pPr>
              <w:spacing w:before="0" w:after="0"/>
              <w:jc w:val="right"/>
            </w:pPr>
            <w:r>
              <w:rPr>
                <w:sz w:val="18"/>
                <w:szCs w:val="18"/>
              </w:rPr>
              <w:t xml:space="preserve">3,509</w:t>
            </w:r>
          </w:p>
        </w:tc>
      </w:tr>
      <w:tr>
        <w:tc>
          <w:tcPr>
            <w:tcW w:w="4872" w:type="dxa"/>
            <w:vAlign w:val="center"/>
          </w:tcPr>
          <w:p>
            <w:pPr>
              <w:spacing w:before="0" w:after="0"/>
              <w:jc w:val="left"/>
            </w:pPr>
            <w:r>
              <w:rPr>
                <w:b/>
                <w:sz w:val="18"/>
                <w:szCs w:val="18"/>
              </w:rPr>
              <w:t xml:space="preserve">Total non-current liabilities</w:t>
            </w:r>
          </w:p>
        </w:tc>
        <w:tc>
          <w:tcPr>
            <w:tcW w:w="800" w:type="dxa"/>
            <w:vAlign w:val="center"/>
          </w:tcPr>
          <w:p>
            <w:pPr>
              <w:spacing w:before="0" w:after="0"/>
              <w:jc w:val="left"/>
            </w:pPr>
            <w:r>
              <w:rPr>
                <w:b/>
                <w:sz w:val="18"/>
                <w:szCs w:val="18"/>
              </w:rPr>
              <w:t xml:space="preserve"/>
            </w:r>
          </w:p>
        </w:tc>
        <w:tc>
          <w:tcPr>
            <w:tcW w:w="1700" w:type="dxa"/>
            <w:vAlign w:val="center"/>
          </w:tcPr>
          <w:p>
            <w:pPr>
              <w:spacing w:before="0" w:after="0"/>
              <w:jc w:val="right"/>
            </w:pPr>
            <w:r>
              <w:rPr>
                <w:b/>
                <w:sz w:val="18"/>
                <w:szCs w:val="18"/>
              </w:rPr>
              <w:t xml:space="preserve">146,270</w:t>
            </w:r>
          </w:p>
        </w:tc>
        <w:tc>
          <w:tcPr>
            <w:tcW w:w="1700" w:type="dxa"/>
            <w:vAlign w:val="center"/>
          </w:tcPr>
          <w:p>
            <w:pPr>
              <w:spacing w:before="0" w:after="0"/>
              <w:jc w:val="right"/>
            </w:pPr>
            <w:r>
              <w:rPr>
                <w:b/>
                <w:sz w:val="18"/>
                <w:szCs w:val="18"/>
              </w:rPr>
              <w:t xml:space="preserve">176,117</w:t>
            </w:r>
          </w:p>
        </w:tc>
      </w:tr>
      <w:tr>
        <w:tc>
          <w:tcPr>
            <w:tcW w:w="4872" w:type="dxa"/>
            <w:vAlign w:val="center"/>
          </w:tcPr>
          <w:p>
            <w:pPr>
              <w:spacing w:before="0" w:after="0"/>
              <w:jc w:val="left"/>
            </w:pPr>
            <w:r>
              <w:rPr>
                <w:b/>
                <w:sz w:val="18"/>
                <w:szCs w:val="18"/>
              </w:rPr>
              <w:t xml:space="preserve">Total liabilities</w:t>
            </w:r>
          </w:p>
        </w:tc>
        <w:tc>
          <w:tcPr>
            <w:tcW w:w="800" w:type="dxa"/>
            <w:vAlign w:val="center"/>
          </w:tcPr>
          <w:p>
            <w:pPr>
              <w:spacing w:before="0" w:after="0"/>
              <w:jc w:val="left"/>
            </w:pPr>
            <w:r>
              <w:rPr>
                <w:b/>
                <w:sz w:val="18"/>
                <w:szCs w:val="18"/>
              </w:rPr>
              <w:t xml:space="preserve"/>
            </w:r>
          </w:p>
        </w:tc>
        <w:tc>
          <w:tcPr>
            <w:tcW w:w="1700" w:type="dxa"/>
            <w:vAlign w:val="center"/>
          </w:tcPr>
          <w:p>
            <w:pPr>
              <w:spacing w:before="0" w:after="0"/>
              <w:jc w:val="right"/>
            </w:pPr>
            <w:r>
              <w:rPr>
                <w:b/>
                <w:sz w:val="18"/>
                <w:szCs w:val="18"/>
              </w:rPr>
              <w:t xml:space="preserve">218,085</w:t>
            </w:r>
          </w:p>
        </w:tc>
        <w:tc>
          <w:tcPr>
            <w:tcW w:w="1700" w:type="dxa"/>
            <w:vAlign w:val="center"/>
          </w:tcPr>
          <w:p>
            <w:pPr>
              <w:spacing w:before="0" w:after="0"/>
              <w:jc w:val="right"/>
            </w:pPr>
            <w:r>
              <w:rPr>
                <w:b/>
                <w:sz w:val="18"/>
                <w:szCs w:val="18"/>
              </w:rPr>
              <w:t xml:space="preserve">253,166</w:t>
            </w:r>
          </w:p>
        </w:tc>
      </w:tr>
      <w:tr>
        <w:tc>
          <w:tcPr>
            <w:tcW w:w="4872" w:type="dxa"/>
            <w:vAlign w:val="center"/>
          </w:tcPr>
          <w:p>
            <w:pPr>
              <w:spacing w:before="0" w:after="0"/>
              <w:jc w:val="left"/>
            </w:pPr>
            <w:r>
              <w:rPr>
                <w:b/>
                <w:sz w:val="18"/>
                <w:szCs w:val="18"/>
              </w:rPr>
              <w:t xml:space="preserve">Stockholders' equity</w:t>
            </w:r>
          </w:p>
        </w:tc>
        <w:tc>
          <w:tcPr>
            <w:tcW w:w="800" w:type="dxa"/>
            <w:vAlign w:val="center"/>
          </w:tcPr>
          <w:p>
            <w:pPr>
              <w:spacing w:before="0" w:after="0"/>
              <w:jc w:val="left"/>
            </w:pPr>
            <w:r>
              <w:rPr>
                <w:b/>
                <w:sz w:val="18"/>
                <w:szCs w:val="18"/>
              </w:rPr>
              <w:t xml:space="preserve"/>
            </w:r>
          </w:p>
        </w:tc>
        <w:tc>
          <w:tcPr>
            <w:tcW w:w="1700" w:type="dxa"/>
            <w:vAlign w:val="center"/>
          </w:tcPr>
          <w:p>
            <w:pPr>
              <w:spacing w:before="0" w:after="0"/>
              <w:jc w:val="right"/>
            </w:pPr>
            <w:r>
              <w:rPr>
                <w:b/>
                <w:sz w:val="18"/>
                <w:szCs w:val="18"/>
              </w:rPr>
              <w:t xml:space="preserve"/>
            </w:r>
          </w:p>
        </w:tc>
        <w:tc>
          <w:tcPr>
            <w:tcW w:w="1700" w:type="dxa"/>
            <w:vAlign w:val="center"/>
          </w:tcPr>
          <w:p>
            <w:pPr>
              <w:spacing w:before="0" w:after="0"/>
              <w:jc w:val="right"/>
            </w:pPr>
            <w:r>
              <w:rPr>
                <w:b/>
                <w:sz w:val="18"/>
                <w:szCs w:val="18"/>
              </w:rPr>
              <w:t xml:space="preserve"/>
            </w:r>
          </w:p>
        </w:tc>
      </w:tr>
      <w:tr>
        <w:tc>
          <w:tcPr>
            <w:tcW w:w="4872" w:type="dxa"/>
            <w:vAlign w:val="center"/>
          </w:tcPr>
          <w:p>
            <w:pPr>
              <w:spacing w:before="0" w:after="0"/>
              <w:jc w:val="left"/>
            </w:pPr>
            <w:r>
              <w:rPr>
                <w:sz w:val="18"/>
                <w:szCs w:val="18"/>
              </w:rPr>
              <w:t xml:space="preserve">Common stock</w:t>
            </w:r>
          </w:p>
        </w:tc>
        <w:tc>
          <w:tcPr>
            <w:tcW w:w="800" w:type="dxa"/>
            <w:vAlign w:val="center"/>
          </w:tcPr>
          <w:p>
            <w:pPr>
              <w:spacing w:before="0" w:after="0"/>
              <w:jc w:val="left"/>
            </w:pPr>
            <w:r>
              <w:rPr>
                <w:sz w:val="18"/>
                <w:szCs w:val="18"/>
              </w:rPr>
              <w:t xml:space="preserve"/>
            </w:r>
          </w:p>
        </w:tc>
        <w:tc>
          <w:tcPr>
            <w:tcW w:w="1700" w:type="dxa"/>
            <w:vAlign w:val="center"/>
          </w:tcPr>
          <w:p>
            <w:pPr>
              <w:spacing w:before="0" w:after="0"/>
              <w:jc w:val="right"/>
            </w:pPr>
            <w:r>
              <w:rPr>
                <w:sz w:val="18"/>
                <w:szCs w:val="18"/>
              </w:rPr>
              <w:t xml:space="preserve">420</w:t>
            </w:r>
          </w:p>
        </w:tc>
        <w:tc>
          <w:tcPr>
            <w:tcW w:w="1700" w:type="dxa"/>
            <w:vAlign w:val="center"/>
          </w:tcPr>
          <w:p>
            <w:pPr>
              <w:spacing w:before="0" w:after="0"/>
              <w:jc w:val="right"/>
            </w:pPr>
            <w:r>
              <w:rPr>
                <w:sz w:val="18"/>
                <w:szCs w:val="18"/>
              </w:rPr>
              <w:t xml:space="preserve">459</w:t>
            </w:r>
          </w:p>
        </w:tc>
      </w:tr>
      <w:tr>
        <w:tc>
          <w:tcPr>
            <w:tcW w:w="4872" w:type="dxa"/>
            <w:vAlign w:val="center"/>
          </w:tcPr>
          <w:p>
            <w:pPr>
              <w:spacing w:before="0" w:after="0"/>
              <w:jc w:val="left"/>
            </w:pPr>
            <w:r>
              <w:rPr>
                <w:sz w:val="18"/>
                <w:szCs w:val="18"/>
              </w:rPr>
              <w:t xml:space="preserve">Additional paid-in capital</w:t>
            </w:r>
          </w:p>
        </w:tc>
        <w:tc>
          <w:tcPr>
            <w:tcW w:w="800" w:type="dxa"/>
            <w:vAlign w:val="center"/>
          </w:tcPr>
          <w:p>
            <w:pPr>
              <w:spacing w:before="0" w:after="0"/>
              <w:jc w:val="left"/>
            </w:pPr>
            <w:r>
              <w:rPr>
                <w:sz w:val="18"/>
                <w:szCs w:val="18"/>
              </w:rPr>
              <w:t xml:space="preserve">9</w:t>
            </w:r>
          </w:p>
        </w:tc>
        <w:tc>
          <w:tcPr>
            <w:tcW w:w="1700" w:type="dxa"/>
            <w:vAlign w:val="center"/>
          </w:tcPr>
          <w:p>
            <w:pPr>
              <w:spacing w:before="0" w:after="0"/>
              <w:jc w:val="right"/>
            </w:pPr>
            <w:r>
              <w:rPr>
                <w:sz w:val="18"/>
                <w:szCs w:val="18"/>
              </w:rPr>
              <w:t xml:space="preserve">49,061</w:t>
            </w:r>
          </w:p>
        </w:tc>
        <w:tc>
          <w:tcPr>
            <w:tcW w:w="1700" w:type="dxa"/>
            <w:vAlign w:val="center"/>
          </w:tcPr>
          <w:p>
            <w:pPr>
              <w:spacing w:before="0" w:after="0"/>
              <w:jc w:val="right"/>
            </w:pPr>
            <w:r>
              <w:rPr>
                <w:sz w:val="18"/>
                <w:szCs w:val="18"/>
              </w:rPr>
              <w:t xml:space="preserve">55,940</w:t>
            </w:r>
          </w:p>
        </w:tc>
      </w:tr>
      <w:tr>
        <w:tc>
          <w:tcPr>
            <w:tcW w:w="4872" w:type="dxa"/>
            <w:vAlign w:val="center"/>
          </w:tcPr>
          <w:p>
            <w:pPr>
              <w:spacing w:before="0" w:after="0"/>
              <w:jc w:val="left"/>
            </w:pPr>
            <w:r>
              <w:rPr>
                <w:sz w:val="18"/>
                <w:szCs w:val="18"/>
              </w:rPr>
              <w:t xml:space="preserve">Retained earnings</w:t>
            </w:r>
          </w:p>
        </w:tc>
        <w:tc>
          <w:tcPr>
            <w:tcW w:w="800" w:type="dxa"/>
            <w:vAlign w:val="center"/>
          </w:tcPr>
          <w:p>
            <w:pPr>
              <w:spacing w:before="0" w:after="0"/>
              <w:jc w:val="left"/>
            </w:pPr>
            <w:r>
              <w:rPr>
                <w:sz w:val="18"/>
                <w:szCs w:val="18"/>
              </w:rPr>
              <w:t xml:space="preserve"/>
            </w:r>
          </w:p>
        </w:tc>
        <w:tc>
          <w:tcPr>
            <w:tcW w:w="1700" w:type="dxa"/>
            <w:vAlign w:val="center"/>
          </w:tcPr>
          <w:p>
            <w:pPr>
              <w:spacing w:before="0" w:after="0"/>
              <w:jc w:val="right"/>
            </w:pPr>
            <w:r>
              <w:rPr>
                <w:sz w:val="18"/>
                <w:szCs w:val="18"/>
              </w:rPr>
              <w:t xml:space="preserve">142,249</w:t>
            </w:r>
          </w:p>
        </w:tc>
        <w:tc>
          <w:tcPr>
            <w:tcW w:w="1700" w:type="dxa"/>
            <w:vAlign w:val="center"/>
          </w:tcPr>
          <w:p>
            <w:pPr>
              <w:spacing w:before="0" w:after="0"/>
              <w:jc w:val="right"/>
            </w:pPr>
            <w:r>
              <w:rPr>
                <w:sz w:val="18"/>
                <w:szCs w:val="18"/>
              </w:rPr>
              <w:t xml:space="preserve">139,092</w:t>
            </w:r>
          </w:p>
        </w:tc>
      </w:tr>
      <w:tr>
        <w:tc>
          <w:tcPr>
            <w:tcW w:w="4872" w:type="dxa"/>
            <w:vAlign w:val="center"/>
          </w:tcPr>
          <w:p>
            <w:pPr>
              <w:spacing w:before="0" w:after="0"/>
              <w:jc w:val="left"/>
            </w:pPr>
            <w:r>
              <w:rPr>
                <w:sz w:val="18"/>
                <w:szCs w:val="18"/>
              </w:rPr>
              <w:t xml:space="preserve">Treasury stock, at cost</w:t>
            </w:r>
          </w:p>
        </w:tc>
        <w:tc>
          <w:tcPr>
            <w:tcW w:w="800" w:type="dxa"/>
            <w:vAlign w:val="center"/>
          </w:tcPr>
          <w:p>
            <w:pPr>
              <w:spacing w:before="0" w:after="0"/>
              <w:jc w:val="left"/>
            </w:pPr>
            <w:r>
              <w:rPr>
                <w:sz w:val="18"/>
                <w:szCs w:val="18"/>
              </w:rPr>
              <w:t xml:space="preserve"/>
            </w:r>
          </w:p>
        </w:tc>
        <w:tc>
          <w:tcPr>
            <w:tcW w:w="1700" w:type="dxa"/>
            <w:vAlign w:val="center"/>
          </w:tcPr>
          <w:p>
            <w:pPr>
              <w:spacing w:before="0" w:after="0"/>
              <w:jc w:val="right"/>
            </w:pPr>
            <w:r>
              <w:rPr>
                <w:sz w:val="18"/>
                <w:szCs w:val="18"/>
              </w:rPr>
              <w:t xml:space="preserve">(3,835)</w:t>
            </w:r>
          </w:p>
        </w:tc>
        <w:tc>
          <w:tcPr>
            <w:tcW w:w="1700" w:type="dxa"/>
            <w:vAlign w:val="center"/>
          </w:tcPr>
          <w:p>
            <w:pPr>
              <w:spacing w:before="0" w:after="0"/>
              <w:jc w:val="right"/>
            </w:pPr>
            <w:r>
              <w:rPr>
                <w:sz w:val="18"/>
                <w:szCs w:val="18"/>
              </w:rPr>
              <w:t xml:space="preserve">(4,363)</w:t>
            </w:r>
          </w:p>
        </w:tc>
      </w:tr>
      <w:tr>
        <w:tc>
          <w:tcPr>
            <w:tcW w:w="4872" w:type="dxa"/>
            <w:vAlign w:val="center"/>
          </w:tcPr>
          <w:p>
            <w:pPr>
              <w:spacing w:before="0" w:after="0"/>
              <w:jc w:val="left"/>
            </w:pPr>
            <w:r>
              <w:rPr>
                <w:sz w:val="18"/>
                <w:szCs w:val="18"/>
              </w:rPr>
              <w:t xml:space="preserve">Accumulated other comprehensive income (loss)</w:t>
            </w:r>
          </w:p>
        </w:tc>
        <w:tc>
          <w:tcPr>
            <w:tcW w:w="800" w:type="dxa"/>
            <w:vAlign w:val="center"/>
          </w:tcPr>
          <w:p>
            <w:pPr>
              <w:spacing w:before="0" w:after="0"/>
              <w:jc w:val="left"/>
            </w:pPr>
            <w:r>
              <w:rPr>
                <w:sz w:val="18"/>
                <w:szCs w:val="18"/>
              </w:rPr>
              <w:t xml:space="preserve"/>
            </w:r>
          </w:p>
        </w:tc>
        <w:tc>
          <w:tcPr>
            <w:tcW w:w="1700" w:type="dxa"/>
            <w:vAlign w:val="center"/>
          </w:tcPr>
          <w:p>
            <w:pPr>
              <w:spacing w:before="0" w:after="0"/>
              <w:jc w:val="right"/>
            </w:pPr>
            <w:r>
              <w:rPr>
                <w:sz w:val="18"/>
                <w:szCs w:val="18"/>
              </w:rPr>
              <w:t xml:space="preserve">42</w:t>
            </w:r>
          </w:p>
        </w:tc>
        <w:tc>
          <w:tcPr>
            <w:tcW w:w="1700" w:type="dxa"/>
            <w:vAlign w:val="center"/>
          </w:tcPr>
          <w:p>
            <w:pPr>
              <w:spacing w:before="0" w:after="0"/>
              <w:jc w:val="right"/>
            </w:pPr>
            <w:r>
              <w:rPr>
                <w:sz w:val="18"/>
                <w:szCs w:val="18"/>
              </w:rPr>
              <w:t xml:space="preserve">(635)</w:t>
            </w:r>
          </w:p>
        </w:tc>
      </w:tr>
      <w:tr>
        <w:tc>
          <w:tcPr>
            <w:tcW w:w="4872" w:type="dxa"/>
            <w:vAlign w:val="center"/>
          </w:tcPr>
          <w:p>
            <w:pPr>
              <w:spacing w:before="0" w:after="0"/>
              <w:jc w:val="left"/>
            </w:pPr>
            <w:r>
              <w:rPr>
                <w:b/>
                <w:sz w:val="18"/>
                <w:szCs w:val="18"/>
              </w:rPr>
              <w:t xml:space="preserve">Total stockholders' equity</w:t>
            </w:r>
          </w:p>
        </w:tc>
        <w:tc>
          <w:tcPr>
            <w:tcW w:w="800" w:type="dxa"/>
            <w:vAlign w:val="center"/>
          </w:tcPr>
          <w:p>
            <w:pPr>
              <w:spacing w:before="0" w:after="0"/>
              <w:jc w:val="left"/>
            </w:pPr>
            <w:r>
              <w:rPr>
                <w:b/>
                <w:sz w:val="18"/>
                <w:szCs w:val="18"/>
              </w:rPr>
              <w:t xml:space="preserve"/>
            </w:r>
          </w:p>
        </w:tc>
        <w:tc>
          <w:tcPr>
            <w:tcW w:w="1700" w:type="dxa"/>
            <w:vAlign w:val="center"/>
          </w:tcPr>
          <w:p>
            <w:pPr>
              <w:spacing w:before="0" w:after="0"/>
              <w:jc w:val="right"/>
            </w:pPr>
            <w:r>
              <w:rPr>
                <w:b/>
                <w:sz w:val="18"/>
                <w:szCs w:val="18"/>
              </w:rPr>
              <w:t xml:space="preserve">187,937</w:t>
            </w:r>
          </w:p>
        </w:tc>
        <w:tc>
          <w:tcPr>
            <w:tcW w:w="1700" w:type="dxa"/>
            <w:vAlign w:val="center"/>
          </w:tcPr>
          <w:p>
            <w:pPr>
              <w:spacing w:before="0" w:after="0"/>
              <w:jc w:val="right"/>
            </w:pPr>
            <w:r>
              <w:rPr>
                <w:b/>
                <w:sz w:val="18"/>
                <w:szCs w:val="18"/>
              </w:rPr>
              <w:t xml:space="preserve">190,493</w:t>
            </w:r>
          </w:p>
        </w:tc>
      </w:tr>
      <w:tr>
        <w:tc>
          <w:tcPr>
            <w:tcW w:w="4872" w:type="dxa"/>
            <w:vAlign w:val="center"/>
          </w:tcPr>
          <w:p>
            <w:pPr>
              <w:spacing w:before="0" w:after="0"/>
              <w:jc w:val="left"/>
            </w:pPr>
            <w:r>
              <w:rPr>
                <w:b/>
                <w:sz w:val="18"/>
                <w:szCs w:val="18"/>
              </w:rPr>
              <w:t xml:space="preserve">Total liabilities and stockholders' equity</w:t>
            </w:r>
          </w:p>
        </w:tc>
        <w:tc>
          <w:tcPr>
            <w:tcW w:w="800" w:type="dxa"/>
            <w:vAlign w:val="center"/>
          </w:tcPr>
          <w:p>
            <w:pPr>
              <w:spacing w:before="0" w:after="0"/>
              <w:jc w:val="left"/>
            </w:pPr>
            <w:r>
              <w:rPr>
                <w:b/>
                <w:sz w:val="18"/>
                <w:szCs w:val="18"/>
              </w:rPr>
              <w:t xml:space="preserve"/>
            </w:r>
          </w:p>
        </w:tc>
        <w:tc>
          <w:tcPr>
            <w:tcW w:w="1700" w:type="dxa"/>
            <w:vAlign w:val="center"/>
          </w:tcPr>
          <w:p>
            <w:pPr>
              <w:spacing w:before="0" w:after="0"/>
              <w:jc w:val="right"/>
            </w:pPr>
            <w:r>
              <w:rPr>
                <w:b/>
                <w:sz w:val="18"/>
                <w:szCs w:val="18"/>
              </w:rPr>
              <w:t xml:space="preserve">406,022</w:t>
            </w:r>
          </w:p>
        </w:tc>
        <w:tc>
          <w:tcPr>
            <w:tcW w:w="1700" w:type="dxa"/>
            <w:vAlign w:val="center"/>
          </w:tcPr>
          <w:p>
            <w:pPr>
              <w:spacing w:before="0" w:after="0"/>
              <w:jc w:val="right"/>
            </w:pPr>
            <w:r>
              <w:rPr>
                <w:b/>
                <w:sz w:val="18"/>
                <w:szCs w:val="18"/>
              </w:rPr>
              <w:t xml:space="preserve">443,659</w:t>
            </w:r>
          </w:p>
        </w:tc>
      </w:tr>
    </w:tbl>
    <w:p>
      <w:pPr/>
    </w:p>
    <w:p>
      <w:r>
        <w:br w:type="page"/>
      </w:r>
    </w:p>
    <w:p>
      <w:pPr>
        <w:pStyle w:val="Heading3"/>
        <w:keepNext/>
      </w:pPr>
      <w:r>
        <w:t xml:space="preserve">Statements of Income</w:t>
      </w:r>
    </w:p>
    <w:p>
      <w:pPr>
        <w:jc w:val="right"/>
      </w:pPr>
      <w:r>
        <w:rPr>
          <w:sz w:val="18"/>
          <w:szCs w:val="18"/>
        </w:rPr>
        <w:t xml:space="preserve">(In thousands of U.S. dollars)</w:t>
      </w:r>
    </w:p>
    <w:tbl>
      <w:tblPr>
        <w:tblW w:w="907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72" w:type="dxa"/>
          <w:right w:w="72" w:type="dxa"/>
        </w:tblCellMar>
      </w:tblPr>
      <w:tblGrid>
        <w:gridCol w:w="4872"/>
        <w:gridCol w:w="800"/>
        <w:gridCol w:w="1700"/>
        <w:gridCol w:w="1700"/>
      </w:tblGrid>
      <w:tr>
        <w:trPr>
          <w:tblHeader/>
        </w:trPr>
        <w:tc>
          <w:tcPr>
            <w:tcW w:w="4872" w:type="dxa"/>
            <w:shd w:val="clear" w:color="auto" w:fill="DDEBF7"/>
            <w:vAlign w:val="center"/>
          </w:tcPr>
          <w:p>
            <w:pPr>
              <w:spacing w:before="0" w:after="0"/>
              <w:jc w:val="center"/>
            </w:pPr>
            <w:r>
              <w:rPr>
                <w:b/>
                <w:sz w:val="18"/>
                <w:szCs w:val="18"/>
              </w:rPr>
              <w:t xml:space="preserve"/>
            </w:r>
          </w:p>
        </w:tc>
        <w:tc>
          <w:tcPr>
            <w:tcW w:w="800" w:type="dxa"/>
            <w:shd w:val="clear" w:color="auto" w:fill="DDEBF7"/>
            <w:vAlign w:val="center"/>
          </w:tcPr>
          <w:p>
            <w:pPr>
              <w:spacing w:before="0" w:after="0"/>
              <w:jc w:val="center"/>
            </w:pPr>
            <w:r>
              <w:rPr>
                <w:b/>
                <w:sz w:val="18"/>
                <w:szCs w:val="18"/>
              </w:rPr>
              <w:t xml:space="preserve">Note</w:t>
            </w:r>
          </w:p>
        </w:tc>
        <w:tc>
          <w:tcPr>
            <w:tcW w:w="1700" w:type="dxa"/>
            <w:shd w:val="clear" w:color="auto" w:fill="DDEBF7"/>
            <w:vAlign w:val="center"/>
          </w:tcPr>
          <w:p>
            <w:pPr>
              <w:spacing w:before="0" w:after="0"/>
              <w:jc w:val="center"/>
            </w:pPr>
            <w:r>
              <w:rPr>
                <w:b/>
                <w:sz w:val="18"/>
                <w:szCs w:val="18"/>
              </w:rPr>
              <w:t xml:space="preserve">H1 2025</w:t>
            </w:r>
          </w:p>
        </w:tc>
        <w:tc>
          <w:tcPr>
            <w:tcW w:w="1700" w:type="dxa"/>
            <w:shd w:val="clear" w:color="auto" w:fill="DDEBF7"/>
            <w:vAlign w:val="center"/>
          </w:tcPr>
          <w:p>
            <w:pPr>
              <w:spacing w:before="0" w:after="0"/>
              <w:jc w:val="center"/>
            </w:pPr>
            <w:r>
              <w:rPr>
                <w:b/>
                <w:sz w:val="18"/>
                <w:szCs w:val="18"/>
              </w:rPr>
              <w:t xml:space="preserve">H1 2026</w:t>
            </w:r>
          </w:p>
        </w:tc>
      </w:tr>
      <w:tr>
        <w:tc>
          <w:tcPr>
            <w:tcW w:w="4872" w:type="dxa"/>
            <w:vAlign w:val="center"/>
          </w:tcPr>
          <w:p>
            <w:pPr>
              <w:spacing w:before="0" w:after="0"/>
              <w:jc w:val="left"/>
            </w:pPr>
            <w:r>
              <w:rPr>
                <w:b/>
                <w:sz w:val="18"/>
                <w:szCs w:val="18"/>
              </w:rPr>
              <w:t xml:space="preserve">Revenue</w:t>
            </w:r>
          </w:p>
        </w:tc>
        <w:tc>
          <w:tcPr>
            <w:tcW w:w="800" w:type="dxa"/>
            <w:vAlign w:val="center"/>
          </w:tcPr>
          <w:p>
            <w:pPr>
              <w:spacing w:before="0" w:after="0"/>
              <w:jc w:val="left"/>
            </w:pPr>
            <w:r>
              <w:rPr>
                <w:b/>
                <w:sz w:val="18"/>
                <w:szCs w:val="18"/>
              </w:rPr>
              <w:t xml:space="preserve"/>
            </w:r>
          </w:p>
        </w:tc>
        <w:tc>
          <w:tcPr>
            <w:tcW w:w="1700" w:type="dxa"/>
            <w:vAlign w:val="center"/>
          </w:tcPr>
          <w:p>
            <w:pPr>
              <w:spacing w:before="0" w:after="0"/>
              <w:jc w:val="right"/>
            </w:pPr>
            <w:r>
              <w:rPr>
                <w:b/>
                <w:sz w:val="18"/>
                <w:szCs w:val="18"/>
              </w:rPr>
              <w:t xml:space="preserve"/>
            </w:r>
          </w:p>
        </w:tc>
        <w:tc>
          <w:tcPr>
            <w:tcW w:w="1700" w:type="dxa"/>
            <w:vAlign w:val="center"/>
          </w:tcPr>
          <w:p>
            <w:pPr>
              <w:spacing w:before="0" w:after="0"/>
              <w:jc w:val="right"/>
            </w:pPr>
            <w:r>
              <w:rPr>
                <w:b/>
                <w:sz w:val="18"/>
                <w:szCs w:val="18"/>
              </w:rPr>
              <w:t xml:space="preserve"/>
            </w:r>
          </w:p>
        </w:tc>
      </w:tr>
      <w:tr>
        <w:tc>
          <w:tcPr>
            <w:tcW w:w="4872" w:type="dxa"/>
            <w:vAlign w:val="center"/>
          </w:tcPr>
          <w:p>
            <w:pPr>
              <w:spacing w:before="0" w:after="0"/>
              <w:jc w:val="left"/>
            </w:pPr>
            <w:r>
              <w:rPr>
                <w:sz w:val="18"/>
                <w:szCs w:val="18"/>
              </w:rPr>
              <w:t xml:space="preserve">Company-operated stores</w:t>
            </w:r>
          </w:p>
        </w:tc>
        <w:tc>
          <w:tcPr>
            <w:tcW w:w="800" w:type="dxa"/>
            <w:vAlign w:val="center"/>
          </w:tcPr>
          <w:p>
            <w:pPr>
              <w:spacing w:before="0" w:after="0"/>
              <w:jc w:val="left"/>
            </w:pPr>
            <w:r>
              <w:rPr>
                <w:sz w:val="18"/>
                <w:szCs w:val="18"/>
              </w:rPr>
              <w:t xml:space="preserve"/>
            </w:r>
          </w:p>
        </w:tc>
        <w:tc>
          <w:tcPr>
            <w:tcW w:w="1700" w:type="dxa"/>
            <w:vAlign w:val="center"/>
          </w:tcPr>
          <w:p>
            <w:pPr>
              <w:spacing w:before="0" w:after="0"/>
              <w:jc w:val="right"/>
            </w:pPr>
            <w:r>
              <w:rPr>
                <w:sz w:val="18"/>
                <w:szCs w:val="18"/>
              </w:rPr>
              <w:t xml:space="preserve">121,652</w:t>
            </w:r>
          </w:p>
        </w:tc>
        <w:tc>
          <w:tcPr>
            <w:tcW w:w="1700" w:type="dxa"/>
            <w:vAlign w:val="center"/>
          </w:tcPr>
          <w:p>
            <w:pPr>
              <w:spacing w:before="0" w:after="0"/>
              <w:jc w:val="right"/>
            </w:pPr>
            <w:r>
              <w:rPr>
                <w:sz w:val="18"/>
                <w:szCs w:val="18"/>
              </w:rPr>
              <w:t xml:space="preserve">136,842</w:t>
            </w:r>
          </w:p>
        </w:tc>
      </w:tr>
      <w:tr>
        <w:tc>
          <w:tcPr>
            <w:tcW w:w="4872" w:type="dxa"/>
            <w:vAlign w:val="center"/>
          </w:tcPr>
          <w:p>
            <w:pPr>
              <w:spacing w:before="0" w:after="0"/>
              <w:jc w:val="left"/>
            </w:pPr>
            <w:r>
              <w:rPr>
                <w:sz w:val="18"/>
                <w:szCs w:val="18"/>
              </w:rPr>
              <w:t xml:space="preserve">Online store</w:t>
            </w:r>
          </w:p>
        </w:tc>
        <w:tc>
          <w:tcPr>
            <w:tcW w:w="800" w:type="dxa"/>
            <w:vAlign w:val="center"/>
          </w:tcPr>
          <w:p>
            <w:pPr>
              <w:spacing w:before="0" w:after="0"/>
              <w:jc w:val="left"/>
            </w:pPr>
            <w:r>
              <w:rPr>
                <w:sz w:val="18"/>
                <w:szCs w:val="18"/>
              </w:rPr>
              <w:t xml:space="preserve"/>
            </w:r>
          </w:p>
        </w:tc>
        <w:tc>
          <w:tcPr>
            <w:tcW w:w="1700" w:type="dxa"/>
            <w:vAlign w:val="center"/>
          </w:tcPr>
          <w:p>
            <w:pPr>
              <w:spacing w:before="0" w:after="0"/>
              <w:jc w:val="right"/>
            </w:pPr>
            <w:r>
              <w:rPr>
                <w:sz w:val="18"/>
                <w:szCs w:val="18"/>
              </w:rPr>
              <w:t xml:space="preserve">16,661</w:t>
            </w:r>
          </w:p>
        </w:tc>
        <w:tc>
          <w:tcPr>
            <w:tcW w:w="1700" w:type="dxa"/>
            <w:vAlign w:val="center"/>
          </w:tcPr>
          <w:p>
            <w:pPr>
              <w:spacing w:before="0" w:after="0"/>
              <w:jc w:val="right"/>
            </w:pPr>
            <w:r>
              <w:rPr>
                <w:sz w:val="18"/>
                <w:szCs w:val="18"/>
              </w:rPr>
              <w:t xml:space="preserve">17,424</w:t>
            </w:r>
          </w:p>
        </w:tc>
      </w:tr>
      <w:tr>
        <w:tc>
          <w:tcPr>
            <w:tcW w:w="4872" w:type="dxa"/>
            <w:vAlign w:val="center"/>
          </w:tcPr>
          <w:p>
            <w:pPr>
              <w:spacing w:before="0" w:after="0"/>
              <w:jc w:val="left"/>
            </w:pPr>
            <w:r>
              <w:rPr>
                <w:sz w:val="18"/>
                <w:szCs w:val="18"/>
              </w:rPr>
              <w:t xml:space="preserve">Wholesale</w:t>
            </w:r>
          </w:p>
        </w:tc>
        <w:tc>
          <w:tcPr>
            <w:tcW w:w="800" w:type="dxa"/>
            <w:vAlign w:val="center"/>
          </w:tcPr>
          <w:p>
            <w:pPr>
              <w:spacing w:before="0" w:after="0"/>
              <w:jc w:val="left"/>
            </w:pPr>
            <w:r>
              <w:rPr>
                <w:sz w:val="18"/>
                <w:szCs w:val="18"/>
              </w:rPr>
              <w:t xml:space="preserve"/>
            </w:r>
          </w:p>
        </w:tc>
        <w:tc>
          <w:tcPr>
            <w:tcW w:w="1700" w:type="dxa"/>
            <w:vAlign w:val="center"/>
          </w:tcPr>
          <w:p>
            <w:pPr>
              <w:spacing w:before="0" w:after="0"/>
              <w:jc w:val="right"/>
            </w:pPr>
            <w:r>
              <w:rPr>
                <w:sz w:val="18"/>
                <w:szCs w:val="18"/>
              </w:rPr>
              <w:t xml:space="preserve">9,358</w:t>
            </w:r>
          </w:p>
        </w:tc>
        <w:tc>
          <w:tcPr>
            <w:tcW w:w="1700" w:type="dxa"/>
            <w:vAlign w:val="center"/>
          </w:tcPr>
          <w:p>
            <w:pPr>
              <w:spacing w:before="0" w:after="0"/>
              <w:jc w:val="right"/>
            </w:pPr>
            <w:r>
              <w:rPr>
                <w:sz w:val="18"/>
                <w:szCs w:val="18"/>
              </w:rPr>
              <w:t xml:space="preserve">9,734</w:t>
            </w:r>
          </w:p>
        </w:tc>
      </w:tr>
      <w:tr>
        <w:tc>
          <w:tcPr>
            <w:tcW w:w="4872" w:type="dxa"/>
            <w:vAlign w:val="center"/>
          </w:tcPr>
          <w:p>
            <w:pPr>
              <w:spacing w:before="0" w:after="0"/>
              <w:jc w:val="left"/>
            </w:pPr>
            <w:r>
              <w:rPr>
                <w:b/>
                <w:sz w:val="18"/>
                <w:szCs w:val="18"/>
              </w:rPr>
              <w:t xml:space="preserve">Total revenue</w:t>
            </w:r>
          </w:p>
        </w:tc>
        <w:tc>
          <w:tcPr>
            <w:tcW w:w="800" w:type="dxa"/>
            <w:vAlign w:val="center"/>
          </w:tcPr>
          <w:p>
            <w:pPr>
              <w:spacing w:before="0" w:after="0"/>
              <w:jc w:val="left"/>
            </w:pPr>
            <w:r>
              <w:rPr>
                <w:b/>
                <w:sz w:val="18"/>
                <w:szCs w:val="18"/>
              </w:rPr>
              <w:t xml:space="preserve">2</w:t>
            </w:r>
          </w:p>
        </w:tc>
        <w:tc>
          <w:tcPr>
            <w:tcW w:w="1700" w:type="dxa"/>
            <w:vAlign w:val="center"/>
          </w:tcPr>
          <w:p>
            <w:pPr>
              <w:spacing w:before="0" w:after="0"/>
              <w:jc w:val="right"/>
            </w:pPr>
            <w:r>
              <w:rPr>
                <w:b/>
                <w:sz w:val="18"/>
                <w:szCs w:val="18"/>
              </w:rPr>
              <w:t xml:space="preserve">147,671</w:t>
            </w:r>
          </w:p>
        </w:tc>
        <w:tc>
          <w:tcPr>
            <w:tcW w:w="1700" w:type="dxa"/>
            <w:vAlign w:val="center"/>
          </w:tcPr>
          <w:p>
            <w:pPr>
              <w:spacing w:before="0" w:after="0"/>
              <w:jc w:val="right"/>
            </w:pPr>
            <w:r>
              <w:rPr>
                <w:b/>
                <w:sz w:val="18"/>
                <w:szCs w:val="18"/>
              </w:rPr>
              <w:t xml:space="preserve">164,000</w:t>
            </w:r>
          </w:p>
        </w:tc>
      </w:tr>
      <w:tr>
        <w:tc>
          <w:tcPr>
            <w:tcW w:w="4872" w:type="dxa"/>
            <w:vAlign w:val="center"/>
          </w:tcPr>
          <w:p>
            <w:pPr>
              <w:spacing w:before="0" w:after="0"/>
              <w:jc w:val="left"/>
            </w:pPr>
            <w:r>
              <w:rPr>
                <w:b/>
                <w:sz w:val="18"/>
                <w:szCs w:val="18"/>
              </w:rPr>
              <w:t xml:space="preserve">Operating expenses</w:t>
            </w:r>
          </w:p>
        </w:tc>
        <w:tc>
          <w:tcPr>
            <w:tcW w:w="800" w:type="dxa"/>
            <w:vAlign w:val="center"/>
          </w:tcPr>
          <w:p>
            <w:pPr>
              <w:spacing w:before="0" w:after="0"/>
              <w:jc w:val="left"/>
            </w:pPr>
            <w:r>
              <w:rPr>
                <w:b/>
                <w:sz w:val="18"/>
                <w:szCs w:val="18"/>
              </w:rPr>
              <w:t xml:space="preserve"/>
            </w:r>
          </w:p>
        </w:tc>
        <w:tc>
          <w:tcPr>
            <w:tcW w:w="1700" w:type="dxa"/>
            <w:vAlign w:val="center"/>
          </w:tcPr>
          <w:p>
            <w:pPr>
              <w:spacing w:before="0" w:after="0"/>
              <w:jc w:val="right"/>
            </w:pPr>
            <w:r>
              <w:rPr>
                <w:b/>
                <w:sz w:val="18"/>
                <w:szCs w:val="18"/>
              </w:rPr>
              <w:t xml:space="preserve"/>
            </w:r>
          </w:p>
        </w:tc>
        <w:tc>
          <w:tcPr>
            <w:tcW w:w="1700" w:type="dxa"/>
            <w:vAlign w:val="center"/>
          </w:tcPr>
          <w:p>
            <w:pPr>
              <w:spacing w:before="0" w:after="0"/>
              <w:jc w:val="right"/>
            </w:pPr>
            <w:r>
              <w:rPr>
                <w:b/>
                <w:sz w:val="18"/>
                <w:szCs w:val="18"/>
              </w:rPr>
              <w:t xml:space="preserve"/>
            </w:r>
          </w:p>
        </w:tc>
      </w:tr>
      <w:tr>
        <w:tc>
          <w:tcPr>
            <w:tcW w:w="4872" w:type="dxa"/>
            <w:vAlign w:val="center"/>
          </w:tcPr>
          <w:p>
            <w:pPr>
              <w:spacing w:before="0" w:after="0"/>
              <w:jc w:val="left"/>
            </w:pPr>
            <w:r>
              <w:rPr>
                <w:sz w:val="18"/>
                <w:szCs w:val="18"/>
              </w:rPr>
              <w:t xml:space="preserve">Product and distribution costs</w:t>
            </w:r>
          </w:p>
        </w:tc>
        <w:tc>
          <w:tcPr>
            <w:tcW w:w="800" w:type="dxa"/>
            <w:vAlign w:val="center"/>
          </w:tcPr>
          <w:p>
            <w:pPr>
              <w:spacing w:before="0" w:after="0"/>
              <w:jc w:val="left"/>
            </w:pPr>
            <w:r>
              <w:rPr>
                <w:sz w:val="18"/>
                <w:szCs w:val="18"/>
              </w:rPr>
              <w:t xml:space="preserve"/>
            </w:r>
          </w:p>
        </w:tc>
        <w:tc>
          <w:tcPr>
            <w:tcW w:w="1700" w:type="dxa"/>
            <w:vAlign w:val="center"/>
          </w:tcPr>
          <w:p>
            <w:pPr>
              <w:spacing w:before="0" w:after="0"/>
              <w:jc w:val="right"/>
            </w:pPr>
            <w:r>
              <w:rPr>
                <w:sz w:val="18"/>
                <w:szCs w:val="18"/>
              </w:rPr>
              <w:t xml:space="preserve">44,041</w:t>
            </w:r>
          </w:p>
        </w:tc>
        <w:tc>
          <w:tcPr>
            <w:tcW w:w="1700" w:type="dxa"/>
            <w:vAlign w:val="center"/>
          </w:tcPr>
          <w:p>
            <w:pPr>
              <w:spacing w:before="0" w:after="0"/>
              <w:jc w:val="right"/>
            </w:pPr>
            <w:r>
              <w:rPr>
                <w:sz w:val="18"/>
                <w:szCs w:val="18"/>
              </w:rPr>
              <w:t xml:space="preserve">49,823</w:t>
            </w:r>
          </w:p>
        </w:tc>
      </w:tr>
      <w:tr>
        <w:tc>
          <w:tcPr>
            <w:tcW w:w="4872" w:type="dxa"/>
            <w:vAlign w:val="center"/>
          </w:tcPr>
          <w:p>
            <w:pPr>
              <w:spacing w:before="0" w:after="0"/>
              <w:jc w:val="left"/>
            </w:pPr>
            <w:r>
              <w:rPr>
                <w:sz w:val="18"/>
                <w:szCs w:val="18"/>
              </w:rPr>
              <w:t xml:space="preserve">Store operating expenses</w:t>
            </w:r>
          </w:p>
        </w:tc>
        <w:tc>
          <w:tcPr>
            <w:tcW w:w="800" w:type="dxa"/>
            <w:vAlign w:val="center"/>
          </w:tcPr>
          <w:p>
            <w:pPr>
              <w:spacing w:before="0" w:after="0"/>
              <w:jc w:val="left"/>
            </w:pPr>
            <w:r>
              <w:rPr>
                <w:sz w:val="18"/>
                <w:szCs w:val="18"/>
              </w:rPr>
              <w:t xml:space="preserve">16</w:t>
            </w:r>
          </w:p>
        </w:tc>
        <w:tc>
          <w:tcPr>
            <w:tcW w:w="1700" w:type="dxa"/>
            <w:vAlign w:val="center"/>
          </w:tcPr>
          <w:p>
            <w:pPr>
              <w:spacing w:before="0" w:after="0"/>
              <w:jc w:val="right"/>
            </w:pPr>
            <w:r>
              <w:rPr>
                <w:sz w:val="18"/>
                <w:szCs w:val="18"/>
              </w:rPr>
              <w:t xml:space="preserve">49,564</w:t>
            </w:r>
          </w:p>
        </w:tc>
        <w:tc>
          <w:tcPr>
            <w:tcW w:w="1700" w:type="dxa"/>
            <w:vAlign w:val="center"/>
          </w:tcPr>
          <w:p>
            <w:pPr>
              <w:spacing w:before="0" w:after="0"/>
              <w:jc w:val="right"/>
            </w:pPr>
            <w:r>
              <w:rPr>
                <w:sz w:val="18"/>
                <w:szCs w:val="18"/>
              </w:rPr>
              <w:t xml:space="preserve">56,629</w:t>
            </w:r>
          </w:p>
        </w:tc>
      </w:tr>
      <w:tr>
        <w:tc>
          <w:tcPr>
            <w:tcW w:w="4872" w:type="dxa"/>
            <w:vAlign w:val="center"/>
          </w:tcPr>
          <w:p>
            <w:pPr>
              <w:spacing w:before="0" w:after="0"/>
              <w:jc w:val="left"/>
            </w:pPr>
            <w:r>
              <w:rPr>
                <w:sz w:val="18"/>
                <w:szCs w:val="18"/>
              </w:rPr>
              <w:t xml:space="preserve">Occupancy costs</w:t>
            </w:r>
          </w:p>
        </w:tc>
        <w:tc>
          <w:tcPr>
            <w:tcW w:w="800" w:type="dxa"/>
            <w:vAlign w:val="center"/>
          </w:tcPr>
          <w:p>
            <w:pPr>
              <w:spacing w:before="0" w:after="0"/>
              <w:jc w:val="left"/>
            </w:pPr>
            <w:r>
              <w:rPr>
                <w:sz w:val="18"/>
                <w:szCs w:val="18"/>
              </w:rPr>
              <w:t xml:space="preserve"/>
            </w:r>
          </w:p>
        </w:tc>
        <w:tc>
          <w:tcPr>
            <w:tcW w:w="1700" w:type="dxa"/>
            <w:vAlign w:val="center"/>
          </w:tcPr>
          <w:p>
            <w:pPr>
              <w:spacing w:before="0" w:after="0"/>
              <w:jc w:val="right"/>
            </w:pPr>
            <w:r>
              <w:rPr>
                <w:sz w:val="18"/>
                <w:szCs w:val="18"/>
              </w:rPr>
              <w:t xml:space="preserve">17,160</w:t>
            </w:r>
          </w:p>
        </w:tc>
        <w:tc>
          <w:tcPr>
            <w:tcW w:w="1700" w:type="dxa"/>
            <w:vAlign w:val="center"/>
          </w:tcPr>
          <w:p>
            <w:pPr>
              <w:spacing w:before="0" w:after="0"/>
              <w:jc w:val="right"/>
            </w:pPr>
            <w:r>
              <w:rPr>
                <w:sz w:val="18"/>
                <w:szCs w:val="18"/>
              </w:rPr>
              <w:t xml:space="preserve">18,365</w:t>
            </w:r>
          </w:p>
        </w:tc>
      </w:tr>
      <w:tr>
        <w:tc>
          <w:tcPr>
            <w:tcW w:w="4872" w:type="dxa"/>
            <w:vAlign w:val="center"/>
          </w:tcPr>
          <w:p>
            <w:pPr>
              <w:spacing w:before="0" w:after="0"/>
              <w:jc w:val="left"/>
            </w:pPr>
            <w:r>
              <w:rPr>
                <w:sz w:val="18"/>
                <w:szCs w:val="18"/>
              </w:rPr>
              <w:t xml:space="preserve">Depreciation and amortization</w:t>
            </w:r>
          </w:p>
        </w:tc>
        <w:tc>
          <w:tcPr>
            <w:tcW w:w="800" w:type="dxa"/>
            <w:vAlign w:val="center"/>
          </w:tcPr>
          <w:p>
            <w:pPr>
              <w:spacing w:before="0" w:after="0"/>
              <w:jc w:val="left"/>
            </w:pPr>
            <w:r>
              <w:rPr>
                <w:sz w:val="18"/>
                <w:szCs w:val="18"/>
              </w:rPr>
              <w:t xml:space="preserve"/>
            </w:r>
          </w:p>
        </w:tc>
        <w:tc>
          <w:tcPr>
            <w:tcW w:w="1700" w:type="dxa"/>
            <w:vAlign w:val="center"/>
          </w:tcPr>
          <w:p>
            <w:pPr>
              <w:spacing w:before="0" w:after="0"/>
              <w:jc w:val="right"/>
            </w:pPr>
            <w:r>
              <w:rPr>
                <w:sz w:val="18"/>
                <w:szCs w:val="18"/>
              </w:rPr>
              <w:t xml:space="preserve">7,690</w:t>
            </w:r>
          </w:p>
        </w:tc>
        <w:tc>
          <w:tcPr>
            <w:tcW w:w="1700" w:type="dxa"/>
            <w:vAlign w:val="center"/>
          </w:tcPr>
          <w:p>
            <w:pPr>
              <w:spacing w:before="0" w:after="0"/>
              <w:jc w:val="right"/>
            </w:pPr>
            <w:r>
              <w:rPr>
                <w:sz w:val="18"/>
                <w:szCs w:val="18"/>
              </w:rPr>
              <w:t xml:space="preserve">8,813</w:t>
            </w:r>
          </w:p>
        </w:tc>
      </w:tr>
      <w:tr>
        <w:tc>
          <w:tcPr>
            <w:tcW w:w="4872" w:type="dxa"/>
            <w:vAlign w:val="center"/>
          </w:tcPr>
          <w:p>
            <w:pPr>
              <w:spacing w:before="0" w:after="0"/>
              <w:jc w:val="left"/>
            </w:pPr>
            <w:r>
              <w:rPr>
                <w:sz w:val="18"/>
                <w:szCs w:val="18"/>
              </w:rPr>
              <w:t xml:space="preserve">General and administrative expenses</w:t>
            </w:r>
          </w:p>
        </w:tc>
        <w:tc>
          <w:tcPr>
            <w:tcW w:w="800" w:type="dxa"/>
            <w:vAlign w:val="center"/>
          </w:tcPr>
          <w:p>
            <w:pPr>
              <w:spacing w:before="0" w:after="0"/>
              <w:jc w:val="left"/>
            </w:pPr>
            <w:r>
              <w:rPr>
                <w:sz w:val="18"/>
                <w:szCs w:val="18"/>
              </w:rPr>
              <w:t xml:space="preserve"/>
            </w:r>
          </w:p>
        </w:tc>
        <w:tc>
          <w:tcPr>
            <w:tcW w:w="1700" w:type="dxa"/>
            <w:vAlign w:val="center"/>
          </w:tcPr>
          <w:p>
            <w:pPr>
              <w:spacing w:before="0" w:after="0"/>
              <w:jc w:val="right"/>
            </w:pPr>
            <w:r>
              <w:rPr>
                <w:sz w:val="18"/>
                <w:szCs w:val="18"/>
              </w:rPr>
              <w:t xml:space="preserve">9,024</w:t>
            </w:r>
          </w:p>
        </w:tc>
        <w:tc>
          <w:tcPr>
            <w:tcW w:w="1700" w:type="dxa"/>
            <w:vAlign w:val="center"/>
          </w:tcPr>
          <w:p>
            <w:pPr>
              <w:spacing w:before="0" w:after="0"/>
              <w:jc w:val="right"/>
            </w:pPr>
            <w:r>
              <w:rPr>
                <w:sz w:val="18"/>
                <w:szCs w:val="18"/>
              </w:rPr>
              <w:t xml:space="preserve">10,229</w:t>
            </w:r>
          </w:p>
        </w:tc>
      </w:tr>
      <w:tr>
        <w:tc>
          <w:tcPr>
            <w:tcW w:w="4872" w:type="dxa"/>
            <w:vAlign w:val="center"/>
          </w:tcPr>
          <w:p>
            <w:pPr>
              <w:spacing w:before="0" w:after="0"/>
              <w:jc w:val="left"/>
            </w:pPr>
            <w:r>
              <w:rPr>
                <w:sz w:val="18"/>
                <w:szCs w:val="18"/>
              </w:rPr>
              <w:t xml:space="preserve">Store opening expenses</w:t>
            </w:r>
          </w:p>
        </w:tc>
        <w:tc>
          <w:tcPr>
            <w:tcW w:w="800" w:type="dxa"/>
            <w:vAlign w:val="center"/>
          </w:tcPr>
          <w:p>
            <w:pPr>
              <w:spacing w:before="0" w:after="0"/>
              <w:jc w:val="left"/>
            </w:pPr>
            <w:r>
              <w:rPr>
                <w:sz w:val="18"/>
                <w:szCs w:val="18"/>
              </w:rPr>
              <w:t xml:space="preserve"/>
            </w:r>
          </w:p>
        </w:tc>
        <w:tc>
          <w:tcPr>
            <w:tcW w:w="1700" w:type="dxa"/>
            <w:vAlign w:val="center"/>
          </w:tcPr>
          <w:p>
            <w:pPr>
              <w:spacing w:before="0" w:after="0"/>
              <w:jc w:val="right"/>
            </w:pPr>
            <w:r>
              <w:rPr>
                <w:sz w:val="18"/>
                <w:szCs w:val="18"/>
              </w:rPr>
              <w:t xml:space="preserve">1,159</w:t>
            </w:r>
          </w:p>
        </w:tc>
        <w:tc>
          <w:tcPr>
            <w:tcW w:w="1700" w:type="dxa"/>
            <w:vAlign w:val="center"/>
          </w:tcPr>
          <w:p>
            <w:pPr>
              <w:spacing w:before="0" w:after="0"/>
              <w:jc w:val="right"/>
            </w:pPr>
            <w:r>
              <w:rPr>
                <w:sz w:val="18"/>
                <w:szCs w:val="18"/>
              </w:rPr>
              <w:t xml:space="preserve">948</w:t>
            </w:r>
          </w:p>
        </w:tc>
      </w:tr>
      <w:tr>
        <w:tc>
          <w:tcPr>
            <w:tcW w:w="4872" w:type="dxa"/>
            <w:vAlign w:val="center"/>
          </w:tcPr>
          <w:p>
            <w:pPr>
              <w:spacing w:before="0" w:after="0"/>
              <w:jc w:val="left"/>
            </w:pPr>
            <w:r>
              <w:rPr>
                <w:b/>
                <w:sz w:val="18"/>
                <w:szCs w:val="18"/>
              </w:rPr>
              <w:t xml:space="preserve">Total operating expenses</w:t>
            </w:r>
          </w:p>
        </w:tc>
        <w:tc>
          <w:tcPr>
            <w:tcW w:w="800" w:type="dxa"/>
            <w:vAlign w:val="center"/>
          </w:tcPr>
          <w:p>
            <w:pPr>
              <w:spacing w:before="0" w:after="0"/>
              <w:jc w:val="left"/>
            </w:pPr>
            <w:r>
              <w:rPr>
                <w:b/>
                <w:sz w:val="18"/>
                <w:szCs w:val="18"/>
              </w:rPr>
              <w:t xml:space="preserve"/>
            </w:r>
          </w:p>
        </w:tc>
        <w:tc>
          <w:tcPr>
            <w:tcW w:w="1700" w:type="dxa"/>
            <w:vAlign w:val="center"/>
          </w:tcPr>
          <w:p>
            <w:pPr>
              <w:spacing w:before="0" w:after="0"/>
              <w:jc w:val="right"/>
            </w:pPr>
            <w:r>
              <w:rPr>
                <w:b/>
                <w:sz w:val="18"/>
                <w:szCs w:val="18"/>
              </w:rPr>
              <w:t xml:space="preserve">128,638</w:t>
            </w:r>
          </w:p>
        </w:tc>
        <w:tc>
          <w:tcPr>
            <w:tcW w:w="1700" w:type="dxa"/>
            <w:vAlign w:val="center"/>
          </w:tcPr>
          <w:p>
            <w:pPr>
              <w:spacing w:before="0" w:after="0"/>
              <w:jc w:val="right"/>
            </w:pPr>
            <w:r>
              <w:rPr>
                <w:b/>
                <w:sz w:val="18"/>
                <w:szCs w:val="18"/>
              </w:rPr>
              <w:t xml:space="preserve">144,808</w:t>
            </w:r>
          </w:p>
        </w:tc>
      </w:tr>
      <w:tr>
        <w:tc>
          <w:tcPr>
            <w:tcW w:w="4872" w:type="dxa"/>
            <w:vAlign w:val="center"/>
          </w:tcPr>
          <w:p>
            <w:pPr>
              <w:spacing w:before="0" w:after="0"/>
              <w:jc w:val="left"/>
            </w:pPr>
            <w:r>
              <w:rPr>
                <w:b/>
                <w:sz w:val="18"/>
                <w:szCs w:val="18"/>
              </w:rPr>
              <w:t xml:space="preserve">Operating income</w:t>
            </w:r>
          </w:p>
        </w:tc>
        <w:tc>
          <w:tcPr>
            <w:tcW w:w="800" w:type="dxa"/>
            <w:vAlign w:val="center"/>
          </w:tcPr>
          <w:p>
            <w:pPr>
              <w:spacing w:before="0" w:after="0"/>
              <w:jc w:val="left"/>
            </w:pPr>
            <w:r>
              <w:rPr>
                <w:b/>
                <w:sz w:val="18"/>
                <w:szCs w:val="18"/>
              </w:rPr>
              <w:t xml:space="preserve"/>
            </w:r>
          </w:p>
        </w:tc>
        <w:tc>
          <w:tcPr>
            <w:tcW w:w="1700" w:type="dxa"/>
            <w:vAlign w:val="center"/>
          </w:tcPr>
          <w:p>
            <w:pPr>
              <w:spacing w:before="0" w:after="0"/>
              <w:jc w:val="right"/>
            </w:pPr>
            <w:r>
              <w:rPr>
                <w:b/>
                <w:sz w:val="18"/>
                <w:szCs w:val="18"/>
              </w:rPr>
              <w:t xml:space="preserve">19,033</w:t>
            </w:r>
          </w:p>
        </w:tc>
        <w:tc>
          <w:tcPr>
            <w:tcW w:w="1700" w:type="dxa"/>
            <w:vAlign w:val="center"/>
          </w:tcPr>
          <w:p>
            <w:pPr>
              <w:spacing w:before="0" w:after="0"/>
              <w:jc w:val="right"/>
            </w:pPr>
            <w:r>
              <w:rPr>
                <w:b/>
                <w:sz w:val="18"/>
                <w:szCs w:val="18"/>
              </w:rPr>
              <w:t xml:space="preserve">19,192</w:t>
            </w:r>
          </w:p>
        </w:tc>
      </w:tr>
      <w:tr>
        <w:tc>
          <w:tcPr>
            <w:tcW w:w="4872" w:type="dxa"/>
            <w:vAlign w:val="center"/>
          </w:tcPr>
          <w:p>
            <w:pPr>
              <w:spacing w:before="0" w:after="0"/>
              <w:jc w:val="left"/>
            </w:pPr>
            <w:r>
              <w:rPr>
                <w:sz w:val="18"/>
                <w:szCs w:val="18"/>
              </w:rPr>
              <w:t xml:space="preserve">Interest income</w:t>
            </w:r>
          </w:p>
        </w:tc>
        <w:tc>
          <w:tcPr>
            <w:tcW w:w="800" w:type="dxa"/>
            <w:vAlign w:val="center"/>
          </w:tcPr>
          <w:p>
            <w:pPr>
              <w:spacing w:before="0" w:after="0"/>
              <w:jc w:val="left"/>
            </w:pPr>
            <w:r>
              <w:rPr>
                <w:sz w:val="18"/>
                <w:szCs w:val="18"/>
              </w:rPr>
              <w:t xml:space="preserve"/>
            </w:r>
          </w:p>
        </w:tc>
        <w:tc>
          <w:tcPr>
            <w:tcW w:w="1700" w:type="dxa"/>
            <w:vAlign w:val="center"/>
          </w:tcPr>
          <w:p>
            <w:pPr>
              <w:spacing w:before="0" w:after="0"/>
              <w:jc w:val="right"/>
            </w:pPr>
            <w:r>
              <w:rPr>
                <w:sz w:val="18"/>
                <w:szCs w:val="18"/>
              </w:rPr>
              <w:t xml:space="preserve">148</w:t>
            </w:r>
          </w:p>
        </w:tc>
        <w:tc>
          <w:tcPr>
            <w:tcW w:w="1700" w:type="dxa"/>
            <w:vAlign w:val="center"/>
          </w:tcPr>
          <w:p>
            <w:pPr>
              <w:spacing w:before="0" w:after="0"/>
              <w:jc w:val="right"/>
            </w:pPr>
            <w:r>
              <w:rPr>
                <w:sz w:val="18"/>
                <w:szCs w:val="18"/>
              </w:rPr>
              <w:t xml:space="preserve">164</w:t>
            </w:r>
          </w:p>
        </w:tc>
      </w:tr>
      <w:tr>
        <w:tc>
          <w:tcPr>
            <w:tcW w:w="4872" w:type="dxa"/>
            <w:vAlign w:val="center"/>
          </w:tcPr>
          <w:p>
            <w:pPr>
              <w:spacing w:before="0" w:after="0"/>
              <w:jc w:val="left"/>
            </w:pPr>
            <w:r>
              <w:rPr>
                <w:sz w:val="18"/>
                <w:szCs w:val="18"/>
              </w:rPr>
              <w:t xml:space="preserve">Interest expense</w:t>
            </w:r>
          </w:p>
        </w:tc>
        <w:tc>
          <w:tcPr>
            <w:tcW w:w="800" w:type="dxa"/>
            <w:vAlign w:val="center"/>
          </w:tcPr>
          <w:p>
            <w:pPr>
              <w:spacing w:before="0" w:after="0"/>
              <w:jc w:val="left"/>
            </w:pPr>
            <w:r>
              <w:rPr>
                <w:sz w:val="18"/>
                <w:szCs w:val="18"/>
              </w:rPr>
              <w:t xml:space="preserve"/>
            </w:r>
          </w:p>
        </w:tc>
        <w:tc>
          <w:tcPr>
            <w:tcW w:w="1700" w:type="dxa"/>
            <w:vAlign w:val="center"/>
          </w:tcPr>
          <w:p>
            <w:pPr>
              <w:spacing w:before="0" w:after="0"/>
              <w:jc w:val="right"/>
            </w:pPr>
            <w:r>
              <w:rPr>
                <w:sz w:val="18"/>
                <w:szCs w:val="18"/>
              </w:rPr>
              <w:t xml:space="preserve">(471)</w:t>
            </w:r>
          </w:p>
        </w:tc>
        <w:tc>
          <w:tcPr>
            <w:tcW w:w="1700" w:type="dxa"/>
            <w:vAlign w:val="center"/>
          </w:tcPr>
          <w:p>
            <w:pPr>
              <w:spacing w:before="0" w:after="0"/>
              <w:jc w:val="right"/>
            </w:pPr>
            <w:r>
              <w:rPr>
                <w:sz w:val="18"/>
                <w:szCs w:val="18"/>
              </w:rPr>
              <w:t xml:space="preserve">(543)</w:t>
            </w:r>
          </w:p>
        </w:tc>
      </w:tr>
      <w:tr>
        <w:tc>
          <w:tcPr>
            <w:tcW w:w="4872" w:type="dxa"/>
            <w:vAlign w:val="center"/>
          </w:tcPr>
          <w:p>
            <w:pPr>
              <w:spacing w:before="0" w:after="0"/>
              <w:jc w:val="left"/>
            </w:pPr>
            <w:r>
              <w:rPr>
                <w:sz w:val="18"/>
                <w:szCs w:val="18"/>
              </w:rPr>
              <w:t xml:space="preserve">Other income (expense), net</w:t>
            </w:r>
          </w:p>
        </w:tc>
        <w:tc>
          <w:tcPr>
            <w:tcW w:w="800" w:type="dxa"/>
            <w:vAlign w:val="center"/>
          </w:tcPr>
          <w:p>
            <w:pPr>
              <w:spacing w:before="0" w:after="0"/>
              <w:jc w:val="left"/>
            </w:pPr>
            <w:r>
              <w:rPr>
                <w:sz w:val="18"/>
                <w:szCs w:val="18"/>
              </w:rPr>
              <w:t xml:space="preserve"/>
            </w:r>
          </w:p>
        </w:tc>
        <w:tc>
          <w:tcPr>
            <w:tcW w:w="1700" w:type="dxa"/>
            <w:vAlign w:val="center"/>
          </w:tcPr>
          <w:p>
            <w:pPr>
              <w:spacing w:before="0" w:after="0"/>
              <w:jc w:val="right"/>
            </w:pPr>
            <w:r>
              <w:rPr>
                <w:sz w:val="18"/>
                <w:szCs w:val="18"/>
              </w:rPr>
              <w:t xml:space="preserve">104</w:t>
            </w:r>
          </w:p>
        </w:tc>
        <w:tc>
          <w:tcPr>
            <w:tcW w:w="1700" w:type="dxa"/>
            <w:vAlign w:val="center"/>
          </w:tcPr>
          <w:p>
            <w:pPr>
              <w:spacing w:before="0" w:after="0"/>
              <w:jc w:val="right"/>
            </w:pPr>
            <w:r>
              <w:rPr>
                <w:sz w:val="18"/>
                <w:szCs w:val="18"/>
              </w:rPr>
              <w:t xml:space="preserve">9</w:t>
            </w:r>
          </w:p>
        </w:tc>
      </w:tr>
      <w:tr>
        <w:tc>
          <w:tcPr>
            <w:tcW w:w="4872" w:type="dxa"/>
            <w:vAlign w:val="center"/>
          </w:tcPr>
          <w:p>
            <w:pPr>
              <w:spacing w:before="0" w:after="0"/>
              <w:jc w:val="left"/>
            </w:pPr>
            <w:r>
              <w:rPr>
                <w:b/>
                <w:sz w:val="18"/>
                <w:szCs w:val="18"/>
              </w:rPr>
              <w:t xml:space="preserve">Income before income taxes</w:t>
            </w:r>
          </w:p>
        </w:tc>
        <w:tc>
          <w:tcPr>
            <w:tcW w:w="800" w:type="dxa"/>
            <w:vAlign w:val="center"/>
          </w:tcPr>
          <w:p>
            <w:pPr>
              <w:spacing w:before="0" w:after="0"/>
              <w:jc w:val="left"/>
            </w:pPr>
            <w:r>
              <w:rPr>
                <w:b/>
                <w:sz w:val="18"/>
                <w:szCs w:val="18"/>
              </w:rPr>
              <w:t xml:space="preserve"/>
            </w:r>
          </w:p>
        </w:tc>
        <w:tc>
          <w:tcPr>
            <w:tcW w:w="1700" w:type="dxa"/>
            <w:vAlign w:val="center"/>
          </w:tcPr>
          <w:p>
            <w:pPr>
              <w:spacing w:before="0" w:after="0"/>
              <w:jc w:val="right"/>
            </w:pPr>
            <w:r>
              <w:rPr>
                <w:b/>
                <w:sz w:val="18"/>
                <w:szCs w:val="18"/>
              </w:rPr>
              <w:t xml:space="preserve">18,814</w:t>
            </w:r>
          </w:p>
        </w:tc>
        <w:tc>
          <w:tcPr>
            <w:tcW w:w="1700" w:type="dxa"/>
            <w:vAlign w:val="center"/>
          </w:tcPr>
          <w:p>
            <w:pPr>
              <w:spacing w:before="0" w:after="0"/>
              <w:jc w:val="right"/>
            </w:pPr>
            <w:r>
              <w:rPr>
                <w:b/>
                <w:sz w:val="18"/>
                <w:szCs w:val="18"/>
              </w:rPr>
              <w:t xml:space="preserve">18,822</w:t>
            </w:r>
          </w:p>
        </w:tc>
      </w:tr>
      <w:tr>
        <w:tc>
          <w:tcPr>
            <w:tcW w:w="4872" w:type="dxa"/>
            <w:vAlign w:val="center"/>
          </w:tcPr>
          <w:p>
            <w:pPr>
              <w:spacing w:before="0" w:after="0"/>
              <w:jc w:val="left"/>
            </w:pPr>
            <w:r>
              <w:rPr>
                <w:sz w:val="18"/>
                <w:szCs w:val="18"/>
              </w:rPr>
              <w:t xml:space="preserve">Income tax expense</w:t>
            </w:r>
          </w:p>
        </w:tc>
        <w:tc>
          <w:tcPr>
            <w:tcW w:w="800" w:type="dxa"/>
            <w:vAlign w:val="center"/>
          </w:tcPr>
          <w:p>
            <w:pPr>
              <w:spacing w:before="0" w:after="0"/>
              <w:jc w:val="left"/>
            </w:pPr>
            <w:r>
              <w:rPr>
                <w:sz w:val="18"/>
                <w:szCs w:val="18"/>
              </w:rPr>
              <w:t xml:space="preserve">5</w:t>
            </w:r>
          </w:p>
        </w:tc>
        <w:tc>
          <w:tcPr>
            <w:tcW w:w="1700" w:type="dxa"/>
            <w:vAlign w:val="center"/>
          </w:tcPr>
          <w:p>
            <w:pPr>
              <w:spacing w:before="0" w:after="0"/>
              <w:jc w:val="right"/>
            </w:pPr>
            <w:r>
              <w:rPr>
                <w:sz w:val="18"/>
                <w:szCs w:val="18"/>
              </w:rPr>
              <w:t xml:space="preserve">(4,730)</w:t>
            </w:r>
          </w:p>
        </w:tc>
        <w:tc>
          <w:tcPr>
            <w:tcW w:w="1700" w:type="dxa"/>
            <w:vAlign w:val="center"/>
          </w:tcPr>
          <w:p>
            <w:pPr>
              <w:spacing w:before="0" w:after="0"/>
              <w:jc w:val="right"/>
            </w:pPr>
            <w:r>
              <w:rPr>
                <w:sz w:val="18"/>
                <w:szCs w:val="18"/>
              </w:rPr>
              <w:t xml:space="preserve">(4,660)</w:t>
            </w:r>
          </w:p>
        </w:tc>
      </w:tr>
      <w:tr>
        <w:tc>
          <w:tcPr>
            <w:tcW w:w="4872" w:type="dxa"/>
            <w:vAlign w:val="center"/>
          </w:tcPr>
          <w:p>
            <w:pPr>
              <w:spacing w:before="0" w:after="0"/>
              <w:jc w:val="left"/>
            </w:pPr>
            <w:r>
              <w:rPr>
                <w:b/>
                <w:sz w:val="18"/>
                <w:szCs w:val="18"/>
              </w:rPr>
              <w:t xml:space="preserve">Net income</w:t>
            </w:r>
          </w:p>
        </w:tc>
        <w:tc>
          <w:tcPr>
            <w:tcW w:w="800" w:type="dxa"/>
            <w:vAlign w:val="center"/>
          </w:tcPr>
          <w:p>
            <w:pPr>
              <w:spacing w:before="0" w:after="0"/>
              <w:jc w:val="left"/>
            </w:pPr>
            <w:r>
              <w:rPr>
                <w:b/>
                <w:sz w:val="18"/>
                <w:szCs w:val="18"/>
              </w:rPr>
              <w:t xml:space="preserve"/>
            </w:r>
          </w:p>
        </w:tc>
        <w:tc>
          <w:tcPr>
            <w:tcW w:w="1700" w:type="dxa"/>
            <w:vAlign w:val="center"/>
          </w:tcPr>
          <w:p>
            <w:pPr>
              <w:spacing w:before="0" w:after="0"/>
              <w:jc w:val="right"/>
            </w:pPr>
            <w:r>
              <w:rPr>
                <w:b/>
                <w:sz w:val="18"/>
                <w:szCs w:val="18"/>
              </w:rPr>
              <w:t xml:space="preserve">14,084</w:t>
            </w:r>
          </w:p>
        </w:tc>
        <w:tc>
          <w:tcPr>
            <w:tcW w:w="1700" w:type="dxa"/>
            <w:vAlign w:val="center"/>
          </w:tcPr>
          <w:p>
            <w:pPr>
              <w:spacing w:before="0" w:after="0"/>
              <w:jc w:val="right"/>
            </w:pPr>
            <w:r>
              <w:rPr>
                <w:b/>
                <w:sz w:val="18"/>
                <w:szCs w:val="18"/>
              </w:rPr>
              <w:t xml:space="preserve">14,163</w:t>
            </w:r>
          </w:p>
        </w:tc>
      </w:tr>
      <w:tr>
        <w:tc>
          <w:tcPr>
            <w:tcW w:w="4872" w:type="dxa"/>
            <w:vAlign w:val="center"/>
          </w:tcPr>
          <w:p>
            <w:pPr>
              <w:spacing w:before="0" w:after="0"/>
              <w:jc w:val="left"/>
            </w:pPr>
            <w:r>
              <w:rPr>
                <w:sz w:val="18"/>
                <w:szCs w:val="18"/>
              </w:rPr>
              <w:t xml:space="preserve">Earnings per share, basic (in dollars)</w:t>
            </w:r>
          </w:p>
        </w:tc>
        <w:tc>
          <w:tcPr>
            <w:tcW w:w="800" w:type="dxa"/>
            <w:vAlign w:val="center"/>
          </w:tcPr>
          <w:p>
            <w:pPr>
              <w:spacing w:before="0" w:after="0"/>
              <w:jc w:val="left"/>
            </w:pPr>
            <w:r>
              <w:rPr>
                <w:sz w:val="18"/>
                <w:szCs w:val="18"/>
              </w:rPr>
              <w:t xml:space="preserve"/>
            </w:r>
          </w:p>
        </w:tc>
        <w:tc>
          <w:tcPr>
            <w:tcW w:w="1700" w:type="dxa"/>
            <w:vAlign w:val="center"/>
          </w:tcPr>
          <w:p>
            <w:pPr>
              <w:spacing w:before="0" w:after="0"/>
              <w:jc w:val="right"/>
            </w:pPr>
            <w:r>
              <w:rPr>
                <w:sz w:val="18"/>
                <w:szCs w:val="18"/>
              </w:rPr>
              <w:t xml:space="preserve">0.34</w:t>
            </w:r>
          </w:p>
        </w:tc>
        <w:tc>
          <w:tcPr>
            <w:tcW w:w="1700" w:type="dxa"/>
            <w:vAlign w:val="center"/>
          </w:tcPr>
          <w:p>
            <w:pPr>
              <w:spacing w:before="0" w:after="0"/>
              <w:jc w:val="right"/>
            </w:pPr>
            <w:r>
              <w:rPr>
                <w:sz w:val="18"/>
                <w:szCs w:val="18"/>
              </w:rPr>
              <w:t xml:space="preserve">0.34</w:t>
            </w:r>
          </w:p>
        </w:tc>
      </w:tr>
      <w:tr>
        <w:tc>
          <w:tcPr>
            <w:tcW w:w="4872" w:type="dxa"/>
            <w:vAlign w:val="center"/>
          </w:tcPr>
          <w:p>
            <w:pPr>
              <w:spacing w:before="0" w:after="0"/>
              <w:jc w:val="left"/>
            </w:pPr>
            <w:r>
              <w:rPr>
                <w:sz w:val="18"/>
                <w:szCs w:val="18"/>
              </w:rPr>
              <w:t xml:space="preserve">Earnings per share, diluted (in dollars)</w:t>
            </w:r>
          </w:p>
        </w:tc>
        <w:tc>
          <w:tcPr>
            <w:tcW w:w="800" w:type="dxa"/>
            <w:vAlign w:val="center"/>
          </w:tcPr>
          <w:p>
            <w:pPr>
              <w:spacing w:before="0" w:after="0"/>
              <w:jc w:val="left"/>
            </w:pPr>
            <w:r>
              <w:rPr>
                <w:sz w:val="18"/>
                <w:szCs w:val="18"/>
              </w:rPr>
              <w:t xml:space="preserve"/>
            </w:r>
          </w:p>
        </w:tc>
        <w:tc>
          <w:tcPr>
            <w:tcW w:w="1700" w:type="dxa"/>
            <w:vAlign w:val="center"/>
          </w:tcPr>
          <w:p>
            <w:pPr>
              <w:spacing w:before="0" w:after="0"/>
              <w:jc w:val="right"/>
            </w:pPr>
            <w:r>
              <w:rPr>
                <w:sz w:val="18"/>
                <w:szCs w:val="18"/>
              </w:rPr>
              <w:t xml:space="preserve">0.33</w:t>
            </w:r>
          </w:p>
        </w:tc>
        <w:tc>
          <w:tcPr>
            <w:tcW w:w="1700" w:type="dxa"/>
            <w:vAlign w:val="center"/>
          </w:tcPr>
          <w:p>
            <w:pPr>
              <w:spacing w:before="0" w:after="0"/>
              <w:jc w:val="right"/>
            </w:pPr>
            <w:r>
              <w:rPr>
                <w:sz w:val="18"/>
                <w:szCs w:val="18"/>
              </w:rPr>
              <w:t xml:space="preserve">0.33</w:t>
            </w:r>
          </w:p>
        </w:tc>
      </w:tr>
    </w:tbl>
    <w:p>
      <w:pPr/>
    </w:p>
    <w:p>
      <w:r>
        <w:br w:type="page"/>
      </w:r>
    </w:p>
    <w:p>
      <w:pPr>
        <w:pStyle w:val="Heading3"/>
        <w:keepNext/>
      </w:pPr>
      <w:r>
        <w:t xml:space="preserve">Statements of Cash Flows</w:t>
      </w:r>
    </w:p>
    <w:p>
      <w:pPr>
        <w:jc w:val="right"/>
      </w:pPr>
      <w:r>
        <w:rPr>
          <w:sz w:val="18"/>
          <w:szCs w:val="18"/>
        </w:rPr>
        <w:t xml:space="preserve">(In thousands of U.S. dollars)</w:t>
      </w:r>
    </w:p>
    <w:tbl>
      <w:tblPr>
        <w:tblW w:w="907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72" w:type="dxa"/>
          <w:right w:w="72" w:type="dxa"/>
        </w:tblCellMar>
      </w:tblPr>
      <w:tblGrid>
        <w:gridCol w:w="4872"/>
        <w:gridCol w:w="800"/>
        <w:gridCol w:w="1700"/>
        <w:gridCol w:w="1700"/>
      </w:tblGrid>
      <w:tr>
        <w:trPr>
          <w:tblHeader/>
        </w:trPr>
        <w:tc>
          <w:tcPr>
            <w:tcW w:w="4872" w:type="dxa"/>
            <w:shd w:val="clear" w:color="auto" w:fill="DDEBF7"/>
            <w:vAlign w:val="center"/>
          </w:tcPr>
          <w:p>
            <w:pPr>
              <w:spacing w:before="0" w:after="0"/>
              <w:jc w:val="center"/>
            </w:pPr>
            <w:r>
              <w:rPr>
                <w:b/>
                <w:sz w:val="18"/>
                <w:szCs w:val="18"/>
              </w:rPr>
              <w:t xml:space="preserve"/>
            </w:r>
          </w:p>
        </w:tc>
        <w:tc>
          <w:tcPr>
            <w:tcW w:w="800" w:type="dxa"/>
            <w:shd w:val="clear" w:color="auto" w:fill="DDEBF7"/>
            <w:vAlign w:val="center"/>
          </w:tcPr>
          <w:p>
            <w:pPr>
              <w:spacing w:before="0" w:after="0"/>
              <w:jc w:val="center"/>
            </w:pPr>
            <w:r>
              <w:rPr>
                <w:b/>
                <w:sz w:val="18"/>
                <w:szCs w:val="18"/>
              </w:rPr>
              <w:t xml:space="preserve">Note</w:t>
            </w:r>
          </w:p>
        </w:tc>
        <w:tc>
          <w:tcPr>
            <w:tcW w:w="1700" w:type="dxa"/>
            <w:shd w:val="clear" w:color="auto" w:fill="DDEBF7"/>
            <w:vAlign w:val="center"/>
          </w:tcPr>
          <w:p>
            <w:pPr>
              <w:spacing w:before="0" w:after="0"/>
              <w:jc w:val="center"/>
            </w:pPr>
            <w:r>
              <w:rPr>
                <w:b/>
                <w:sz w:val="18"/>
                <w:szCs w:val="18"/>
              </w:rPr>
              <w:t xml:space="preserve">H1 2025</w:t>
            </w:r>
          </w:p>
        </w:tc>
        <w:tc>
          <w:tcPr>
            <w:tcW w:w="1700" w:type="dxa"/>
            <w:shd w:val="clear" w:color="auto" w:fill="DDEBF7"/>
            <w:vAlign w:val="center"/>
          </w:tcPr>
          <w:p>
            <w:pPr>
              <w:spacing w:before="0" w:after="0"/>
              <w:jc w:val="center"/>
            </w:pPr>
            <w:r>
              <w:rPr>
                <w:b/>
                <w:sz w:val="18"/>
                <w:szCs w:val="18"/>
              </w:rPr>
              <w:t xml:space="preserve">H1 2026</w:t>
            </w:r>
          </w:p>
        </w:tc>
      </w:tr>
      <w:tr>
        <w:tc>
          <w:tcPr>
            <w:tcW w:w="4872" w:type="dxa"/>
            <w:vAlign w:val="center"/>
          </w:tcPr>
          <w:p>
            <w:pPr>
              <w:spacing w:before="0" w:after="0"/>
              <w:jc w:val="left"/>
            </w:pPr>
            <w:r>
              <w:rPr>
                <w:b/>
                <w:sz w:val="18"/>
                <w:szCs w:val="18"/>
              </w:rPr>
              <w:t xml:space="preserve">Cash flows from operating activities</w:t>
            </w:r>
          </w:p>
        </w:tc>
        <w:tc>
          <w:tcPr>
            <w:tcW w:w="800" w:type="dxa"/>
            <w:vAlign w:val="center"/>
          </w:tcPr>
          <w:p>
            <w:pPr>
              <w:spacing w:before="0" w:after="0"/>
              <w:jc w:val="left"/>
            </w:pPr>
            <w:r>
              <w:rPr>
                <w:b/>
                <w:sz w:val="18"/>
                <w:szCs w:val="18"/>
              </w:rPr>
              <w:t xml:space="preserve"/>
            </w:r>
          </w:p>
        </w:tc>
        <w:tc>
          <w:tcPr>
            <w:tcW w:w="1700" w:type="dxa"/>
            <w:vAlign w:val="center"/>
          </w:tcPr>
          <w:p>
            <w:pPr>
              <w:spacing w:before="0" w:after="0"/>
              <w:jc w:val="right"/>
            </w:pPr>
            <w:r>
              <w:rPr>
                <w:b/>
                <w:sz w:val="18"/>
                <w:szCs w:val="18"/>
              </w:rPr>
              <w:t xml:space="preserve"/>
            </w:r>
          </w:p>
        </w:tc>
        <w:tc>
          <w:tcPr>
            <w:tcW w:w="1700" w:type="dxa"/>
            <w:vAlign w:val="center"/>
          </w:tcPr>
          <w:p>
            <w:pPr>
              <w:spacing w:before="0" w:after="0"/>
              <w:jc w:val="right"/>
            </w:pPr>
            <w:r>
              <w:rPr>
                <w:b/>
                <w:sz w:val="18"/>
                <w:szCs w:val="18"/>
              </w:rPr>
              <w:t xml:space="preserve"/>
            </w:r>
          </w:p>
        </w:tc>
      </w:tr>
      <w:tr>
        <w:tc>
          <w:tcPr>
            <w:tcW w:w="4872" w:type="dxa"/>
            <w:vAlign w:val="center"/>
          </w:tcPr>
          <w:p>
            <w:pPr>
              <w:spacing w:before="0" w:after="0"/>
              <w:jc w:val="left"/>
            </w:pPr>
            <w:r>
              <w:rPr>
                <w:sz w:val="18"/>
                <w:szCs w:val="18"/>
              </w:rPr>
              <w:t xml:space="preserve">Net income</w:t>
            </w:r>
          </w:p>
        </w:tc>
        <w:tc>
          <w:tcPr>
            <w:tcW w:w="800" w:type="dxa"/>
            <w:vAlign w:val="center"/>
          </w:tcPr>
          <w:p>
            <w:pPr>
              <w:spacing w:before="0" w:after="0"/>
              <w:jc w:val="left"/>
            </w:pPr>
            <w:r>
              <w:rPr>
                <w:sz w:val="18"/>
                <w:szCs w:val="18"/>
              </w:rPr>
              <w:t xml:space="preserve"/>
            </w:r>
          </w:p>
        </w:tc>
        <w:tc>
          <w:tcPr>
            <w:tcW w:w="1700" w:type="dxa"/>
            <w:vAlign w:val="center"/>
          </w:tcPr>
          <w:p>
            <w:pPr>
              <w:spacing w:before="0" w:after="0"/>
              <w:jc w:val="right"/>
            </w:pPr>
            <w:r>
              <w:rPr>
                <w:sz w:val="18"/>
                <w:szCs w:val="18"/>
              </w:rPr>
              <w:t xml:space="preserve">14,084</w:t>
            </w:r>
          </w:p>
        </w:tc>
        <w:tc>
          <w:tcPr>
            <w:tcW w:w="1700" w:type="dxa"/>
            <w:vAlign w:val="center"/>
          </w:tcPr>
          <w:p>
            <w:pPr>
              <w:spacing w:before="0" w:after="0"/>
              <w:jc w:val="right"/>
            </w:pPr>
            <w:r>
              <w:rPr>
                <w:sz w:val="18"/>
                <w:szCs w:val="18"/>
              </w:rPr>
              <w:t xml:space="preserve">14,163</w:t>
            </w:r>
          </w:p>
        </w:tc>
      </w:tr>
      <w:tr>
        <w:tc>
          <w:tcPr>
            <w:tcW w:w="4872" w:type="dxa"/>
            <w:vAlign w:val="center"/>
          </w:tcPr>
          <w:p>
            <w:pPr>
              <w:spacing w:before="0" w:after="0"/>
              <w:jc w:val="left"/>
            </w:pPr>
            <w:r>
              <w:rPr>
                <w:sz w:val="18"/>
                <w:szCs w:val="18"/>
              </w:rPr>
              <w:t xml:space="preserve">Depreciation and amortization</w:t>
            </w:r>
          </w:p>
        </w:tc>
        <w:tc>
          <w:tcPr>
            <w:tcW w:w="800" w:type="dxa"/>
            <w:vAlign w:val="center"/>
          </w:tcPr>
          <w:p>
            <w:pPr>
              <w:spacing w:before="0" w:after="0"/>
              <w:jc w:val="left"/>
            </w:pPr>
            <w:r>
              <w:rPr>
                <w:sz w:val="18"/>
                <w:szCs w:val="18"/>
              </w:rPr>
              <w:t xml:space="preserve"/>
            </w:r>
          </w:p>
        </w:tc>
        <w:tc>
          <w:tcPr>
            <w:tcW w:w="1700" w:type="dxa"/>
            <w:vAlign w:val="center"/>
          </w:tcPr>
          <w:p>
            <w:pPr>
              <w:spacing w:before="0" w:after="0"/>
              <w:jc w:val="right"/>
            </w:pPr>
            <w:r>
              <w:rPr>
                <w:sz w:val="18"/>
                <w:szCs w:val="18"/>
              </w:rPr>
              <w:t xml:space="preserve">7,690</w:t>
            </w:r>
          </w:p>
        </w:tc>
        <w:tc>
          <w:tcPr>
            <w:tcW w:w="1700" w:type="dxa"/>
            <w:vAlign w:val="center"/>
          </w:tcPr>
          <w:p>
            <w:pPr>
              <w:spacing w:before="0" w:after="0"/>
              <w:jc w:val="right"/>
            </w:pPr>
            <w:r>
              <w:rPr>
                <w:sz w:val="18"/>
                <w:szCs w:val="18"/>
              </w:rPr>
              <w:t xml:space="preserve">8,813</w:t>
            </w:r>
          </w:p>
        </w:tc>
      </w:tr>
      <w:tr>
        <w:tc>
          <w:tcPr>
            <w:tcW w:w="4872" w:type="dxa"/>
            <w:vAlign w:val="center"/>
          </w:tcPr>
          <w:p>
            <w:pPr>
              <w:spacing w:before="0" w:after="0"/>
              <w:jc w:val="left"/>
            </w:pPr>
            <w:r>
              <w:rPr>
                <w:sz w:val="18"/>
                <w:szCs w:val="18"/>
              </w:rPr>
              <w:t xml:space="preserve">Stock-based compensation</w:t>
            </w:r>
          </w:p>
        </w:tc>
        <w:tc>
          <w:tcPr>
            <w:tcW w:w="800" w:type="dxa"/>
            <w:vAlign w:val="center"/>
          </w:tcPr>
          <w:p>
            <w:pPr>
              <w:spacing w:before="0" w:after="0"/>
              <w:jc w:val="left"/>
            </w:pPr>
            <w:r>
              <w:rPr>
                <w:sz w:val="18"/>
                <w:szCs w:val="18"/>
              </w:rPr>
              <w:t xml:space="preserve"/>
            </w:r>
          </w:p>
        </w:tc>
        <w:tc>
          <w:tcPr>
            <w:tcW w:w="1700" w:type="dxa"/>
            <w:vAlign w:val="center"/>
          </w:tcPr>
          <w:p>
            <w:pPr>
              <w:spacing w:before="0" w:after="0"/>
              <w:jc w:val="right"/>
            </w:pPr>
            <w:r>
              <w:rPr>
                <w:sz w:val="18"/>
                <w:szCs w:val="18"/>
              </w:rPr>
              <w:t xml:space="preserve">886</w:t>
            </w:r>
          </w:p>
        </w:tc>
        <w:tc>
          <w:tcPr>
            <w:tcW w:w="1700" w:type="dxa"/>
            <w:vAlign w:val="center"/>
          </w:tcPr>
          <w:p>
            <w:pPr>
              <w:spacing w:before="0" w:after="0"/>
              <w:jc w:val="right"/>
            </w:pPr>
            <w:r>
              <w:rPr>
                <w:sz w:val="18"/>
                <w:szCs w:val="18"/>
              </w:rPr>
              <w:t xml:space="preserve">984</w:t>
            </w:r>
          </w:p>
        </w:tc>
      </w:tr>
      <w:tr>
        <w:tc>
          <w:tcPr>
            <w:tcW w:w="4872" w:type="dxa"/>
            <w:vAlign w:val="center"/>
          </w:tcPr>
          <w:p>
            <w:pPr>
              <w:spacing w:before="0" w:after="0"/>
              <w:jc w:val="left"/>
            </w:pPr>
            <w:r>
              <w:rPr>
                <w:sz w:val="18"/>
                <w:szCs w:val="18"/>
              </w:rPr>
              <w:t xml:space="preserve">Deferred income taxes</w:t>
            </w:r>
          </w:p>
        </w:tc>
        <w:tc>
          <w:tcPr>
            <w:tcW w:w="800" w:type="dxa"/>
            <w:vAlign w:val="center"/>
          </w:tcPr>
          <w:p>
            <w:pPr>
              <w:spacing w:before="0" w:after="0"/>
              <w:jc w:val="left"/>
            </w:pPr>
            <w:r>
              <w:rPr>
                <w:sz w:val="18"/>
                <w:szCs w:val="18"/>
              </w:rPr>
              <w:t xml:space="preserve"/>
            </w:r>
          </w:p>
        </w:tc>
        <w:tc>
          <w:tcPr>
            <w:tcW w:w="1700" w:type="dxa"/>
            <w:vAlign w:val="center"/>
          </w:tcPr>
          <w:p>
            <w:pPr>
              <w:spacing w:before="0" w:after="0"/>
              <w:jc w:val="right"/>
            </w:pPr>
            <w:r>
              <w:rPr>
                <w:sz w:val="18"/>
                <w:szCs w:val="18"/>
              </w:rPr>
              <w:t xml:space="preserve">219</w:t>
            </w:r>
          </w:p>
        </w:tc>
        <w:tc>
          <w:tcPr>
            <w:tcW w:w="1700" w:type="dxa"/>
            <w:vAlign w:val="center"/>
          </w:tcPr>
          <w:p>
            <w:pPr>
              <w:spacing w:before="0" w:after="0"/>
              <w:jc w:val="right"/>
            </w:pPr>
            <w:r>
              <w:rPr>
                <w:sz w:val="18"/>
                <w:szCs w:val="18"/>
              </w:rPr>
              <w:t xml:space="preserve">(231)</w:t>
            </w:r>
          </w:p>
        </w:tc>
      </w:tr>
      <w:tr>
        <w:tc>
          <w:tcPr>
            <w:tcW w:w="4872" w:type="dxa"/>
            <w:vAlign w:val="center"/>
          </w:tcPr>
          <w:p>
            <w:pPr>
              <w:spacing w:before="0" w:after="0"/>
              <w:jc w:val="left"/>
            </w:pPr>
            <w:r>
              <w:rPr>
                <w:sz w:val="18"/>
                <w:szCs w:val="18"/>
              </w:rPr>
              <w:t xml:space="preserve">Inventories</w:t>
            </w:r>
          </w:p>
        </w:tc>
        <w:tc>
          <w:tcPr>
            <w:tcW w:w="800" w:type="dxa"/>
            <w:vAlign w:val="center"/>
          </w:tcPr>
          <w:p>
            <w:pPr>
              <w:spacing w:before="0" w:after="0"/>
              <w:jc w:val="left"/>
            </w:pPr>
            <w:r>
              <w:rPr>
                <w:sz w:val="18"/>
                <w:szCs w:val="18"/>
              </w:rPr>
              <w:t xml:space="preserve"/>
            </w:r>
          </w:p>
        </w:tc>
        <w:tc>
          <w:tcPr>
            <w:tcW w:w="1700" w:type="dxa"/>
            <w:vAlign w:val="center"/>
          </w:tcPr>
          <w:p>
            <w:pPr>
              <w:spacing w:before="0" w:after="0"/>
              <w:jc w:val="right"/>
            </w:pPr>
            <w:r>
              <w:rPr>
                <w:sz w:val="18"/>
                <w:szCs w:val="18"/>
              </w:rPr>
              <w:t xml:space="preserve">(732)</w:t>
            </w:r>
          </w:p>
        </w:tc>
        <w:tc>
          <w:tcPr>
            <w:tcW w:w="1700" w:type="dxa"/>
            <w:vAlign w:val="center"/>
          </w:tcPr>
          <w:p>
            <w:pPr>
              <w:spacing w:before="0" w:after="0"/>
              <w:jc w:val="right"/>
            </w:pPr>
            <w:r>
              <w:rPr>
                <w:sz w:val="18"/>
                <w:szCs w:val="18"/>
              </w:rPr>
              <w:t xml:space="preserve">(890)</w:t>
            </w:r>
          </w:p>
        </w:tc>
      </w:tr>
      <w:tr>
        <w:tc>
          <w:tcPr>
            <w:tcW w:w="4872" w:type="dxa"/>
            <w:vAlign w:val="center"/>
          </w:tcPr>
          <w:p>
            <w:pPr>
              <w:spacing w:before="0" w:after="0"/>
              <w:jc w:val="left"/>
            </w:pPr>
            <w:r>
              <w:rPr>
                <w:sz w:val="18"/>
                <w:szCs w:val="18"/>
              </w:rPr>
              <w:t xml:space="preserve">Accounts receivable</w:t>
            </w:r>
          </w:p>
        </w:tc>
        <w:tc>
          <w:tcPr>
            <w:tcW w:w="800" w:type="dxa"/>
            <w:vAlign w:val="center"/>
          </w:tcPr>
          <w:p>
            <w:pPr>
              <w:spacing w:before="0" w:after="0"/>
              <w:jc w:val="left"/>
            </w:pPr>
            <w:r>
              <w:rPr>
                <w:sz w:val="18"/>
                <w:szCs w:val="18"/>
              </w:rPr>
              <w:t xml:space="preserve"/>
            </w:r>
          </w:p>
        </w:tc>
        <w:tc>
          <w:tcPr>
            <w:tcW w:w="1700" w:type="dxa"/>
            <w:vAlign w:val="center"/>
          </w:tcPr>
          <w:p>
            <w:pPr>
              <w:spacing w:before="0" w:after="0"/>
              <w:jc w:val="right"/>
            </w:pPr>
            <w:r>
              <w:rPr>
                <w:sz w:val="18"/>
                <w:szCs w:val="18"/>
              </w:rPr>
              <w:t xml:space="preserve">(197)</w:t>
            </w:r>
          </w:p>
        </w:tc>
        <w:tc>
          <w:tcPr>
            <w:tcW w:w="1700" w:type="dxa"/>
            <w:vAlign w:val="center"/>
          </w:tcPr>
          <w:p>
            <w:pPr>
              <w:spacing w:before="0" w:after="0"/>
              <w:jc w:val="right"/>
            </w:pPr>
            <w:r>
              <w:rPr>
                <w:sz w:val="18"/>
                <w:szCs w:val="18"/>
              </w:rPr>
              <w:t xml:space="preserve">(394)</w:t>
            </w:r>
          </w:p>
        </w:tc>
      </w:tr>
      <w:tr>
        <w:tc>
          <w:tcPr>
            <w:tcW w:w="4872" w:type="dxa"/>
            <w:vAlign w:val="center"/>
          </w:tcPr>
          <w:p>
            <w:pPr>
              <w:spacing w:before="0" w:after="0"/>
              <w:jc w:val="left"/>
            </w:pPr>
            <w:r>
              <w:rPr>
                <w:sz w:val="18"/>
                <w:szCs w:val="18"/>
              </w:rPr>
              <w:t xml:space="preserve">Accounts payable</w:t>
            </w:r>
          </w:p>
        </w:tc>
        <w:tc>
          <w:tcPr>
            <w:tcW w:w="800" w:type="dxa"/>
            <w:vAlign w:val="center"/>
          </w:tcPr>
          <w:p>
            <w:pPr>
              <w:spacing w:before="0" w:after="0"/>
              <w:jc w:val="left"/>
            </w:pPr>
            <w:r>
              <w:rPr>
                <w:sz w:val="18"/>
                <w:szCs w:val="18"/>
              </w:rPr>
              <w:t xml:space="preserve"/>
            </w:r>
          </w:p>
        </w:tc>
        <w:tc>
          <w:tcPr>
            <w:tcW w:w="1700" w:type="dxa"/>
            <w:vAlign w:val="center"/>
          </w:tcPr>
          <w:p>
            <w:pPr>
              <w:spacing w:before="0" w:after="0"/>
              <w:jc w:val="right"/>
            </w:pPr>
            <w:r>
              <w:rPr>
                <w:sz w:val="18"/>
                <w:szCs w:val="18"/>
              </w:rPr>
              <w:t xml:space="preserve">271</w:t>
            </w:r>
          </w:p>
        </w:tc>
        <w:tc>
          <w:tcPr>
            <w:tcW w:w="1700" w:type="dxa"/>
            <w:vAlign w:val="center"/>
          </w:tcPr>
          <w:p>
            <w:pPr>
              <w:spacing w:before="0" w:after="0"/>
              <w:jc w:val="right"/>
            </w:pPr>
            <w:r>
              <w:rPr>
                <w:sz w:val="18"/>
                <w:szCs w:val="18"/>
              </w:rPr>
              <w:t xml:space="preserve">341</w:t>
            </w:r>
          </w:p>
        </w:tc>
      </w:tr>
      <w:tr>
        <w:tc>
          <w:tcPr>
            <w:tcW w:w="4872" w:type="dxa"/>
            <w:vAlign w:val="center"/>
          </w:tcPr>
          <w:p>
            <w:pPr>
              <w:spacing w:before="0" w:after="0"/>
              <w:jc w:val="left"/>
            </w:pPr>
            <w:r>
              <w:rPr>
                <w:sz w:val="18"/>
                <w:szCs w:val="18"/>
              </w:rPr>
              <w:t xml:space="preserve">Deferred revenue</w:t>
            </w:r>
          </w:p>
        </w:tc>
        <w:tc>
          <w:tcPr>
            <w:tcW w:w="800" w:type="dxa"/>
            <w:vAlign w:val="center"/>
          </w:tcPr>
          <w:p>
            <w:pPr>
              <w:spacing w:before="0" w:after="0"/>
              <w:jc w:val="left"/>
            </w:pPr>
            <w:r>
              <w:rPr>
                <w:sz w:val="18"/>
                <w:szCs w:val="18"/>
              </w:rPr>
              <w:t xml:space="preserve"/>
            </w:r>
          </w:p>
        </w:tc>
        <w:tc>
          <w:tcPr>
            <w:tcW w:w="1700" w:type="dxa"/>
            <w:vAlign w:val="center"/>
          </w:tcPr>
          <w:p>
            <w:pPr>
              <w:spacing w:before="0" w:after="0"/>
              <w:jc w:val="right"/>
            </w:pPr>
            <w:r>
              <w:rPr>
                <w:sz w:val="18"/>
                <w:szCs w:val="18"/>
              </w:rPr>
              <w:t xml:space="preserve">324</w:t>
            </w:r>
          </w:p>
        </w:tc>
        <w:tc>
          <w:tcPr>
            <w:tcW w:w="1700" w:type="dxa"/>
            <w:vAlign w:val="center"/>
          </w:tcPr>
          <w:p>
            <w:pPr>
              <w:spacing w:before="0" w:after="0"/>
              <w:jc w:val="right"/>
            </w:pPr>
            <w:r>
              <w:rPr>
                <w:sz w:val="18"/>
                <w:szCs w:val="18"/>
              </w:rPr>
              <w:t xml:space="preserve">353</w:t>
            </w:r>
          </w:p>
        </w:tc>
      </w:tr>
      <w:tr>
        <w:tc>
          <w:tcPr>
            <w:tcW w:w="4872" w:type="dxa"/>
            <w:vAlign w:val="center"/>
          </w:tcPr>
          <w:p>
            <w:pPr>
              <w:spacing w:before="0" w:after="0"/>
              <w:jc w:val="left"/>
            </w:pPr>
            <w:r>
              <w:rPr>
                <w:sz w:val="18"/>
                <w:szCs w:val="18"/>
              </w:rPr>
              <w:t xml:space="preserve">Other accrued liabilities</w:t>
            </w:r>
          </w:p>
        </w:tc>
        <w:tc>
          <w:tcPr>
            <w:tcW w:w="800" w:type="dxa"/>
            <w:vAlign w:val="center"/>
          </w:tcPr>
          <w:p>
            <w:pPr>
              <w:spacing w:before="0" w:after="0"/>
              <w:jc w:val="left"/>
            </w:pPr>
            <w:r>
              <w:rPr>
                <w:sz w:val="18"/>
                <w:szCs w:val="18"/>
              </w:rPr>
              <w:t xml:space="preserve"/>
            </w:r>
          </w:p>
        </w:tc>
        <w:tc>
          <w:tcPr>
            <w:tcW w:w="1700" w:type="dxa"/>
            <w:vAlign w:val="center"/>
          </w:tcPr>
          <w:p>
            <w:pPr>
              <w:spacing w:before="0" w:after="0"/>
              <w:jc w:val="right"/>
            </w:pPr>
            <w:r>
              <w:rPr>
                <w:sz w:val="18"/>
                <w:szCs w:val="18"/>
              </w:rPr>
              <w:t xml:space="preserve">375</w:t>
            </w:r>
          </w:p>
        </w:tc>
        <w:tc>
          <w:tcPr>
            <w:tcW w:w="1700" w:type="dxa"/>
            <w:vAlign w:val="center"/>
          </w:tcPr>
          <w:p>
            <w:pPr>
              <w:spacing w:before="0" w:after="0"/>
              <w:jc w:val="right"/>
            </w:pPr>
            <w:r>
              <w:rPr>
                <w:sz w:val="18"/>
                <w:szCs w:val="18"/>
              </w:rPr>
              <w:t xml:space="preserve">136</w:t>
            </w:r>
          </w:p>
        </w:tc>
      </w:tr>
      <w:tr>
        <w:tc>
          <w:tcPr>
            <w:tcW w:w="4872" w:type="dxa"/>
            <w:vAlign w:val="center"/>
          </w:tcPr>
          <w:p>
            <w:pPr>
              <w:spacing w:before="0" w:after="0"/>
              <w:jc w:val="left"/>
            </w:pPr>
            <w:r>
              <w:rPr>
                <w:b/>
                <w:sz w:val="18"/>
                <w:szCs w:val="18"/>
              </w:rPr>
              <w:t xml:space="preserve">Net cash provided by operating activities</w:t>
            </w:r>
          </w:p>
        </w:tc>
        <w:tc>
          <w:tcPr>
            <w:tcW w:w="800" w:type="dxa"/>
            <w:vAlign w:val="center"/>
          </w:tcPr>
          <w:p>
            <w:pPr>
              <w:spacing w:before="0" w:after="0"/>
              <w:jc w:val="left"/>
            </w:pPr>
            <w:r>
              <w:rPr>
                <w:b/>
                <w:sz w:val="18"/>
                <w:szCs w:val="18"/>
              </w:rPr>
              <w:t xml:space="preserve"/>
            </w:r>
          </w:p>
        </w:tc>
        <w:tc>
          <w:tcPr>
            <w:tcW w:w="1700" w:type="dxa"/>
            <w:vAlign w:val="center"/>
          </w:tcPr>
          <w:p>
            <w:pPr>
              <w:spacing w:before="0" w:after="0"/>
              <w:jc w:val="right"/>
            </w:pPr>
            <w:r>
              <w:rPr>
                <w:b/>
                <w:sz w:val="18"/>
                <w:szCs w:val="18"/>
              </w:rPr>
              <w:t xml:space="preserve">22,920</w:t>
            </w:r>
          </w:p>
        </w:tc>
        <w:tc>
          <w:tcPr>
            <w:tcW w:w="1700" w:type="dxa"/>
            <w:vAlign w:val="center"/>
          </w:tcPr>
          <w:p>
            <w:pPr>
              <w:spacing w:before="0" w:after="0"/>
              <w:jc w:val="right"/>
            </w:pPr>
            <w:r>
              <w:rPr>
                <w:b/>
                <w:sz w:val="18"/>
                <w:szCs w:val="18"/>
              </w:rPr>
              <w:t xml:space="preserve">23,275</w:t>
            </w:r>
          </w:p>
        </w:tc>
      </w:tr>
      <w:tr>
        <w:tc>
          <w:tcPr>
            <w:tcW w:w="4872" w:type="dxa"/>
            <w:vAlign w:val="center"/>
          </w:tcPr>
          <w:p>
            <w:pPr>
              <w:spacing w:before="0" w:after="0"/>
              <w:jc w:val="left"/>
            </w:pPr>
            <w:r>
              <w:rPr>
                <w:b/>
                <w:sz w:val="18"/>
                <w:szCs w:val="18"/>
              </w:rPr>
              <w:t xml:space="preserve">Cash flows from investing activities</w:t>
            </w:r>
          </w:p>
        </w:tc>
        <w:tc>
          <w:tcPr>
            <w:tcW w:w="800" w:type="dxa"/>
            <w:vAlign w:val="center"/>
          </w:tcPr>
          <w:p>
            <w:pPr>
              <w:spacing w:before="0" w:after="0"/>
              <w:jc w:val="left"/>
            </w:pPr>
            <w:r>
              <w:rPr>
                <w:b/>
                <w:sz w:val="18"/>
                <w:szCs w:val="18"/>
              </w:rPr>
              <w:t xml:space="preserve"/>
            </w:r>
          </w:p>
        </w:tc>
        <w:tc>
          <w:tcPr>
            <w:tcW w:w="1700" w:type="dxa"/>
            <w:vAlign w:val="center"/>
          </w:tcPr>
          <w:p>
            <w:pPr>
              <w:spacing w:before="0" w:after="0"/>
              <w:jc w:val="right"/>
            </w:pPr>
            <w:r>
              <w:rPr>
                <w:b/>
                <w:sz w:val="18"/>
                <w:szCs w:val="18"/>
              </w:rPr>
              <w:t xml:space="preserve"/>
            </w:r>
          </w:p>
        </w:tc>
        <w:tc>
          <w:tcPr>
            <w:tcW w:w="1700" w:type="dxa"/>
            <w:vAlign w:val="center"/>
          </w:tcPr>
          <w:p>
            <w:pPr>
              <w:spacing w:before="0" w:after="0"/>
              <w:jc w:val="right"/>
            </w:pPr>
            <w:r>
              <w:rPr>
                <w:b/>
                <w:sz w:val="18"/>
                <w:szCs w:val="18"/>
              </w:rPr>
              <w:t xml:space="preserve"/>
            </w:r>
          </w:p>
        </w:tc>
      </w:tr>
      <w:tr>
        <w:tc>
          <w:tcPr>
            <w:tcW w:w="4872" w:type="dxa"/>
            <w:vAlign w:val="center"/>
          </w:tcPr>
          <w:p>
            <w:pPr>
              <w:spacing w:before="0" w:after="0"/>
              <w:jc w:val="left"/>
            </w:pPr>
            <w:r>
              <w:rPr>
                <w:sz w:val="18"/>
                <w:szCs w:val="18"/>
              </w:rPr>
              <w:t xml:space="preserve">Purchases of property and equipment</w:t>
            </w:r>
          </w:p>
        </w:tc>
        <w:tc>
          <w:tcPr>
            <w:tcW w:w="800" w:type="dxa"/>
            <w:vAlign w:val="center"/>
          </w:tcPr>
          <w:p>
            <w:pPr>
              <w:spacing w:before="0" w:after="0"/>
              <w:jc w:val="left"/>
            </w:pPr>
            <w:r>
              <w:rPr>
                <w:sz w:val="18"/>
                <w:szCs w:val="18"/>
              </w:rPr>
              <w:t xml:space="preserve"/>
            </w:r>
          </w:p>
        </w:tc>
        <w:tc>
          <w:tcPr>
            <w:tcW w:w="1700" w:type="dxa"/>
            <w:vAlign w:val="center"/>
          </w:tcPr>
          <w:p>
            <w:pPr>
              <w:spacing w:before="0" w:after="0"/>
              <w:jc w:val="right"/>
            </w:pPr>
            <w:r>
              <w:rPr>
                <w:sz w:val="18"/>
                <w:szCs w:val="18"/>
              </w:rPr>
              <w:t xml:space="preserve">(13,131)</w:t>
            </w:r>
          </w:p>
        </w:tc>
        <w:tc>
          <w:tcPr>
            <w:tcW w:w="1700" w:type="dxa"/>
            <w:vAlign w:val="center"/>
          </w:tcPr>
          <w:p>
            <w:pPr>
              <w:spacing w:before="0" w:after="0"/>
              <w:jc w:val="right"/>
            </w:pPr>
            <w:r>
              <w:rPr>
                <w:sz w:val="18"/>
                <w:szCs w:val="18"/>
              </w:rPr>
              <w:t xml:space="preserve">(15,494)</w:t>
            </w:r>
          </w:p>
        </w:tc>
      </w:tr>
      <w:tr>
        <w:tc>
          <w:tcPr>
            <w:tcW w:w="4872" w:type="dxa"/>
            <w:vAlign w:val="center"/>
          </w:tcPr>
          <w:p>
            <w:pPr>
              <w:spacing w:before="0" w:after="0"/>
              <w:jc w:val="left"/>
            </w:pPr>
            <w:r>
              <w:rPr>
                <w:sz w:val="18"/>
                <w:szCs w:val="18"/>
              </w:rPr>
              <w:t xml:space="preserve">Purchases of roasting equipment</w:t>
            </w:r>
          </w:p>
        </w:tc>
        <w:tc>
          <w:tcPr>
            <w:tcW w:w="800" w:type="dxa"/>
            <w:vAlign w:val="center"/>
          </w:tcPr>
          <w:p>
            <w:pPr>
              <w:spacing w:before="0" w:after="0"/>
              <w:jc w:val="left"/>
            </w:pPr>
            <w:r>
              <w:rPr>
                <w:sz w:val="18"/>
                <w:szCs w:val="18"/>
              </w:rPr>
              <w:t xml:space="preserve"/>
            </w:r>
          </w:p>
        </w:tc>
        <w:tc>
          <w:tcPr>
            <w:tcW w:w="1700" w:type="dxa"/>
            <w:vAlign w:val="center"/>
          </w:tcPr>
          <w:p>
            <w:pPr>
              <w:spacing w:before="0" w:after="0"/>
              <w:jc w:val="right"/>
            </w:pPr>
            <w:r>
              <w:rPr>
                <w:sz w:val="18"/>
                <w:szCs w:val="18"/>
              </w:rPr>
              <w:t xml:space="preserve">(999)</w:t>
            </w:r>
          </w:p>
        </w:tc>
        <w:tc>
          <w:tcPr>
            <w:tcW w:w="1700" w:type="dxa"/>
            <w:vAlign w:val="center"/>
          </w:tcPr>
          <w:p>
            <w:pPr>
              <w:spacing w:before="0" w:after="0"/>
              <w:jc w:val="right"/>
            </w:pPr>
            <w:r>
              <w:rPr>
                <w:sz w:val="18"/>
                <w:szCs w:val="18"/>
              </w:rPr>
              <w:t xml:space="preserve">(831)</w:t>
            </w:r>
          </w:p>
        </w:tc>
      </w:tr>
      <w:tr>
        <w:tc>
          <w:tcPr>
            <w:tcW w:w="4872" w:type="dxa"/>
            <w:vAlign w:val="center"/>
          </w:tcPr>
          <w:p>
            <w:pPr>
              <w:spacing w:before="0" w:after="0"/>
              <w:jc w:val="left"/>
            </w:pPr>
            <w:r>
              <w:rPr>
                <w:sz w:val="18"/>
                <w:szCs w:val="18"/>
              </w:rPr>
              <w:t xml:space="preserve">Purchases of short-term investments</w:t>
            </w:r>
          </w:p>
        </w:tc>
        <w:tc>
          <w:tcPr>
            <w:tcW w:w="800" w:type="dxa"/>
            <w:vAlign w:val="center"/>
          </w:tcPr>
          <w:p>
            <w:pPr>
              <w:spacing w:before="0" w:after="0"/>
              <w:jc w:val="left"/>
            </w:pPr>
            <w:r>
              <w:rPr>
                <w:sz w:val="18"/>
                <w:szCs w:val="18"/>
              </w:rPr>
              <w:t xml:space="preserve"/>
            </w:r>
          </w:p>
        </w:tc>
        <w:tc>
          <w:tcPr>
            <w:tcW w:w="1700" w:type="dxa"/>
            <w:vAlign w:val="center"/>
          </w:tcPr>
          <w:p>
            <w:pPr>
              <w:spacing w:before="0" w:after="0"/>
              <w:jc w:val="right"/>
            </w:pPr>
            <w:r>
              <w:rPr>
                <w:sz w:val="18"/>
                <w:szCs w:val="18"/>
              </w:rPr>
              <w:t xml:space="preserve">(1,703)</w:t>
            </w:r>
          </w:p>
        </w:tc>
        <w:tc>
          <w:tcPr>
            <w:tcW w:w="1700" w:type="dxa"/>
            <w:vAlign w:val="center"/>
          </w:tcPr>
          <w:p>
            <w:pPr>
              <w:spacing w:before="0" w:after="0"/>
              <w:jc w:val="right"/>
            </w:pPr>
            <w:r>
              <w:rPr>
                <w:sz w:val="18"/>
                <w:szCs w:val="18"/>
              </w:rPr>
              <w:t xml:space="preserve">(2,079)</w:t>
            </w:r>
          </w:p>
        </w:tc>
      </w:tr>
      <w:tr>
        <w:tc>
          <w:tcPr>
            <w:tcW w:w="4872" w:type="dxa"/>
            <w:vAlign w:val="center"/>
          </w:tcPr>
          <w:p>
            <w:pPr>
              <w:spacing w:before="0" w:after="0"/>
              <w:jc w:val="left"/>
            </w:pPr>
            <w:r>
              <w:rPr>
                <w:sz w:val="18"/>
                <w:szCs w:val="18"/>
              </w:rPr>
              <w:t xml:space="preserve">Maturities of short-term investments</w:t>
            </w:r>
          </w:p>
        </w:tc>
        <w:tc>
          <w:tcPr>
            <w:tcW w:w="800" w:type="dxa"/>
            <w:vAlign w:val="center"/>
          </w:tcPr>
          <w:p>
            <w:pPr>
              <w:spacing w:before="0" w:after="0"/>
              <w:jc w:val="left"/>
            </w:pPr>
            <w:r>
              <w:rPr>
                <w:sz w:val="18"/>
                <w:szCs w:val="18"/>
              </w:rPr>
              <w:t xml:space="preserve"/>
            </w:r>
          </w:p>
        </w:tc>
        <w:tc>
          <w:tcPr>
            <w:tcW w:w="1700" w:type="dxa"/>
            <w:vAlign w:val="center"/>
          </w:tcPr>
          <w:p>
            <w:pPr>
              <w:spacing w:before="0" w:after="0"/>
              <w:jc w:val="right"/>
            </w:pPr>
            <w:r>
              <w:rPr>
                <w:sz w:val="18"/>
                <w:szCs w:val="18"/>
              </w:rPr>
              <w:t xml:space="preserve">2,015</w:t>
            </w:r>
          </w:p>
        </w:tc>
        <w:tc>
          <w:tcPr>
            <w:tcW w:w="1700" w:type="dxa"/>
            <w:vAlign w:val="center"/>
          </w:tcPr>
          <w:p>
            <w:pPr>
              <w:spacing w:before="0" w:after="0"/>
              <w:jc w:val="right"/>
            </w:pPr>
            <w:r>
              <w:rPr>
                <w:sz w:val="18"/>
                <w:szCs w:val="18"/>
              </w:rPr>
              <w:t xml:space="preserve">2,242</w:t>
            </w:r>
          </w:p>
        </w:tc>
      </w:tr>
      <w:tr>
        <w:tc>
          <w:tcPr>
            <w:tcW w:w="4872" w:type="dxa"/>
            <w:vAlign w:val="center"/>
          </w:tcPr>
          <w:p>
            <w:pPr>
              <w:spacing w:before="0" w:after="0"/>
              <w:jc w:val="left"/>
            </w:pPr>
            <w:r>
              <w:rPr>
                <w:b/>
                <w:sz w:val="18"/>
                <w:szCs w:val="18"/>
              </w:rPr>
              <w:t xml:space="preserve">Net cash used in investing activities</w:t>
            </w:r>
          </w:p>
        </w:tc>
        <w:tc>
          <w:tcPr>
            <w:tcW w:w="800" w:type="dxa"/>
            <w:vAlign w:val="center"/>
          </w:tcPr>
          <w:p>
            <w:pPr>
              <w:spacing w:before="0" w:after="0"/>
              <w:jc w:val="left"/>
            </w:pPr>
            <w:r>
              <w:rPr>
                <w:b/>
                <w:sz w:val="18"/>
                <w:szCs w:val="18"/>
              </w:rPr>
              <w:t xml:space="preserve"/>
            </w:r>
          </w:p>
        </w:tc>
        <w:tc>
          <w:tcPr>
            <w:tcW w:w="1700" w:type="dxa"/>
            <w:vAlign w:val="center"/>
          </w:tcPr>
          <w:p>
            <w:pPr>
              <w:spacing w:before="0" w:after="0"/>
              <w:jc w:val="right"/>
            </w:pPr>
            <w:r>
              <w:rPr>
                <w:b/>
                <w:sz w:val="18"/>
                <w:szCs w:val="18"/>
              </w:rPr>
              <w:t xml:space="preserve">(13,818)</w:t>
            </w:r>
          </w:p>
        </w:tc>
        <w:tc>
          <w:tcPr>
            <w:tcW w:w="1700" w:type="dxa"/>
            <w:vAlign w:val="center"/>
          </w:tcPr>
          <w:p>
            <w:pPr>
              <w:spacing w:before="0" w:after="0"/>
              <w:jc w:val="right"/>
            </w:pPr>
            <w:r>
              <w:rPr>
                <w:b/>
                <w:sz w:val="18"/>
                <w:szCs w:val="18"/>
              </w:rPr>
              <w:t xml:space="preserve">(16,162)</w:t>
            </w:r>
          </w:p>
        </w:tc>
      </w:tr>
      <w:tr>
        <w:tc>
          <w:tcPr>
            <w:tcW w:w="4872" w:type="dxa"/>
            <w:vAlign w:val="center"/>
          </w:tcPr>
          <w:p>
            <w:pPr>
              <w:spacing w:before="0" w:after="0"/>
              <w:jc w:val="left"/>
            </w:pPr>
            <w:r>
              <w:rPr>
                <w:b/>
                <w:sz w:val="18"/>
                <w:szCs w:val="18"/>
              </w:rPr>
              <w:t xml:space="preserve">Cash flows from financing activities</w:t>
            </w:r>
          </w:p>
        </w:tc>
        <w:tc>
          <w:tcPr>
            <w:tcW w:w="800" w:type="dxa"/>
            <w:vAlign w:val="center"/>
          </w:tcPr>
          <w:p>
            <w:pPr>
              <w:spacing w:before="0" w:after="0"/>
              <w:jc w:val="left"/>
            </w:pPr>
            <w:r>
              <w:rPr>
                <w:b/>
                <w:sz w:val="18"/>
                <w:szCs w:val="18"/>
              </w:rPr>
              <w:t xml:space="preserve"/>
            </w:r>
          </w:p>
        </w:tc>
        <w:tc>
          <w:tcPr>
            <w:tcW w:w="1700" w:type="dxa"/>
            <w:vAlign w:val="center"/>
          </w:tcPr>
          <w:p>
            <w:pPr>
              <w:spacing w:before="0" w:after="0"/>
              <w:jc w:val="right"/>
            </w:pPr>
            <w:r>
              <w:rPr>
                <w:b/>
                <w:sz w:val="18"/>
                <w:szCs w:val="18"/>
              </w:rPr>
              <w:t xml:space="preserve"/>
            </w:r>
          </w:p>
        </w:tc>
        <w:tc>
          <w:tcPr>
            <w:tcW w:w="1700" w:type="dxa"/>
            <w:vAlign w:val="center"/>
          </w:tcPr>
          <w:p>
            <w:pPr>
              <w:spacing w:before="0" w:after="0"/>
              <w:jc w:val="right"/>
            </w:pPr>
            <w:r>
              <w:rPr>
                <w:b/>
                <w:sz w:val="18"/>
                <w:szCs w:val="18"/>
              </w:rPr>
              <w:t xml:space="preserve"/>
            </w:r>
          </w:p>
        </w:tc>
      </w:tr>
      <w:tr>
        <w:tc>
          <w:tcPr>
            <w:tcW w:w="4872" w:type="dxa"/>
            <w:vAlign w:val="center"/>
          </w:tcPr>
          <w:p>
            <w:pPr>
              <w:spacing w:before="0" w:after="0"/>
              <w:jc w:val="left"/>
            </w:pPr>
            <w:r>
              <w:rPr>
                <w:sz w:val="18"/>
                <w:szCs w:val="18"/>
              </w:rPr>
              <w:t xml:space="preserve">Proceeds from borrowings under the credit facility</w:t>
            </w:r>
          </w:p>
        </w:tc>
        <w:tc>
          <w:tcPr>
            <w:tcW w:w="800" w:type="dxa"/>
            <w:vAlign w:val="center"/>
          </w:tcPr>
          <w:p>
            <w:pPr>
              <w:spacing w:before="0" w:after="0"/>
              <w:jc w:val="left"/>
            </w:pPr>
            <w:r>
              <w:rPr>
                <w:sz w:val="18"/>
                <w:szCs w:val="18"/>
              </w:rPr>
              <w:t xml:space="preserve"/>
            </w:r>
          </w:p>
        </w:tc>
        <w:tc>
          <w:tcPr>
            <w:tcW w:w="1700" w:type="dxa"/>
            <w:vAlign w:val="center"/>
          </w:tcPr>
          <w:p>
            <w:pPr>
              <w:spacing w:before="0" w:after="0"/>
              <w:jc w:val="right"/>
            </w:pPr>
            <w:r>
              <w:rPr>
                <w:sz w:val="18"/>
                <w:szCs w:val="18"/>
              </w:rPr>
              <w:t xml:space="preserve">228</w:t>
            </w:r>
          </w:p>
        </w:tc>
        <w:tc>
          <w:tcPr>
            <w:tcW w:w="1700" w:type="dxa"/>
            <w:vAlign w:val="center"/>
          </w:tcPr>
          <w:p>
            <w:pPr>
              <w:spacing w:before="0" w:after="0"/>
              <w:jc w:val="right"/>
            </w:pPr>
            <w:r>
              <w:rPr>
                <w:sz w:val="18"/>
                <w:szCs w:val="18"/>
              </w:rPr>
              <w:t xml:space="preserve">1,495</w:t>
            </w:r>
          </w:p>
        </w:tc>
      </w:tr>
      <w:tr>
        <w:tc>
          <w:tcPr>
            <w:tcW w:w="4872" w:type="dxa"/>
            <w:vAlign w:val="center"/>
          </w:tcPr>
          <w:p>
            <w:pPr>
              <w:spacing w:before="0" w:after="0"/>
              <w:jc w:val="left"/>
            </w:pPr>
            <w:r>
              <w:rPr>
                <w:sz w:val="18"/>
                <w:szCs w:val="18"/>
              </w:rPr>
              <w:t xml:space="preserve">Repayments of long-term debt</w:t>
            </w:r>
          </w:p>
        </w:tc>
        <w:tc>
          <w:tcPr>
            <w:tcW w:w="800" w:type="dxa"/>
            <w:vAlign w:val="center"/>
          </w:tcPr>
          <w:p>
            <w:pPr>
              <w:spacing w:before="0" w:after="0"/>
              <w:jc w:val="left"/>
            </w:pPr>
            <w:r>
              <w:rPr>
                <w:sz w:val="18"/>
                <w:szCs w:val="18"/>
              </w:rPr>
              <w:t xml:space="preserve"/>
            </w:r>
          </w:p>
        </w:tc>
        <w:tc>
          <w:tcPr>
            <w:tcW w:w="1700" w:type="dxa"/>
            <w:vAlign w:val="center"/>
          </w:tcPr>
          <w:p>
            <w:pPr>
              <w:spacing w:before="0" w:after="0"/>
              <w:jc w:val="right"/>
            </w:pPr>
            <w:r>
              <w:rPr>
                <w:sz w:val="18"/>
                <w:szCs w:val="18"/>
              </w:rPr>
              <w:t xml:space="preserve">(2,818)</w:t>
            </w:r>
          </w:p>
        </w:tc>
        <w:tc>
          <w:tcPr>
            <w:tcW w:w="1700" w:type="dxa"/>
            <w:vAlign w:val="center"/>
          </w:tcPr>
          <w:p>
            <w:pPr>
              <w:spacing w:before="0" w:after="0"/>
              <w:jc w:val="right"/>
            </w:pPr>
            <w:r>
              <w:rPr>
                <w:sz w:val="18"/>
                <w:szCs w:val="18"/>
              </w:rPr>
              <w:t xml:space="preserve">(3,118)</w:t>
            </w:r>
          </w:p>
        </w:tc>
      </w:tr>
      <w:tr>
        <w:tc>
          <w:tcPr>
            <w:tcW w:w="4872" w:type="dxa"/>
            <w:vAlign w:val="center"/>
          </w:tcPr>
          <w:p>
            <w:pPr>
              <w:spacing w:before="0" w:after="0"/>
              <w:jc w:val="left"/>
            </w:pPr>
            <w:r>
              <w:rPr>
                <w:sz w:val="18"/>
                <w:szCs w:val="18"/>
              </w:rPr>
              <w:t xml:space="preserve">Dividends paid</w:t>
            </w:r>
          </w:p>
        </w:tc>
        <w:tc>
          <w:tcPr>
            <w:tcW w:w="800" w:type="dxa"/>
            <w:vAlign w:val="center"/>
          </w:tcPr>
          <w:p>
            <w:pPr>
              <w:spacing w:before="0" w:after="0"/>
              <w:jc w:val="left"/>
            </w:pPr>
            <w:r>
              <w:rPr>
                <w:sz w:val="18"/>
                <w:szCs w:val="18"/>
              </w:rPr>
              <w:t xml:space="preserve"/>
            </w:r>
          </w:p>
        </w:tc>
        <w:tc>
          <w:tcPr>
            <w:tcW w:w="1700" w:type="dxa"/>
            <w:vAlign w:val="center"/>
          </w:tcPr>
          <w:p>
            <w:pPr>
              <w:spacing w:before="0" w:after="0"/>
              <w:jc w:val="right"/>
            </w:pPr>
            <w:r>
              <w:rPr>
                <w:sz w:val="18"/>
                <w:szCs w:val="18"/>
              </w:rPr>
              <w:t xml:space="preserve">(1,772)</w:t>
            </w:r>
          </w:p>
        </w:tc>
        <w:tc>
          <w:tcPr>
            <w:tcW w:w="1700" w:type="dxa"/>
            <w:vAlign w:val="center"/>
          </w:tcPr>
          <w:p>
            <w:pPr>
              <w:spacing w:before="0" w:after="0"/>
              <w:jc w:val="right"/>
            </w:pPr>
            <w:r>
              <w:rPr>
                <w:sz w:val="18"/>
                <w:szCs w:val="18"/>
              </w:rPr>
              <w:t xml:space="preserve">(1,968)</w:t>
            </w:r>
          </w:p>
        </w:tc>
      </w:tr>
      <w:tr>
        <w:tc>
          <w:tcPr>
            <w:tcW w:w="4872" w:type="dxa"/>
            <w:vAlign w:val="center"/>
          </w:tcPr>
          <w:p>
            <w:pPr>
              <w:spacing w:before="0" w:after="0"/>
              <w:jc w:val="left"/>
            </w:pPr>
            <w:r>
              <w:rPr>
                <w:sz w:val="18"/>
                <w:szCs w:val="18"/>
              </w:rPr>
              <w:t xml:space="preserve">Proceeds from exercise of stock options</w:t>
            </w:r>
          </w:p>
        </w:tc>
        <w:tc>
          <w:tcPr>
            <w:tcW w:w="800" w:type="dxa"/>
            <w:vAlign w:val="center"/>
          </w:tcPr>
          <w:p>
            <w:pPr>
              <w:spacing w:before="0" w:after="0"/>
              <w:jc w:val="left"/>
            </w:pPr>
            <w:r>
              <w:rPr>
                <w:sz w:val="18"/>
                <w:szCs w:val="18"/>
              </w:rPr>
              <w:t xml:space="preserve"/>
            </w:r>
          </w:p>
        </w:tc>
        <w:tc>
          <w:tcPr>
            <w:tcW w:w="1700" w:type="dxa"/>
            <w:vAlign w:val="center"/>
          </w:tcPr>
          <w:p>
            <w:pPr>
              <w:spacing w:before="0" w:after="0"/>
              <w:jc w:val="right"/>
            </w:pPr>
            <w:r>
              <w:rPr>
                <w:sz w:val="18"/>
                <w:szCs w:val="18"/>
              </w:rPr>
              <w:t xml:space="preserve">395</w:t>
            </w:r>
          </w:p>
        </w:tc>
        <w:tc>
          <w:tcPr>
            <w:tcW w:w="1700" w:type="dxa"/>
            <w:vAlign w:val="center"/>
          </w:tcPr>
          <w:p>
            <w:pPr>
              <w:spacing w:before="0" w:after="0"/>
              <w:jc w:val="right"/>
            </w:pPr>
            <w:r>
              <w:rPr>
                <w:sz w:val="18"/>
                <w:szCs w:val="18"/>
              </w:rPr>
              <w:t xml:space="preserve">233</w:t>
            </w:r>
          </w:p>
        </w:tc>
      </w:tr>
      <w:tr>
        <w:tc>
          <w:tcPr>
            <w:tcW w:w="4872" w:type="dxa"/>
            <w:vAlign w:val="center"/>
          </w:tcPr>
          <w:p>
            <w:pPr>
              <w:spacing w:before="0" w:after="0"/>
              <w:jc w:val="left"/>
            </w:pPr>
            <w:r>
              <w:rPr>
                <w:b/>
                <w:sz w:val="18"/>
                <w:szCs w:val="18"/>
              </w:rPr>
              <w:t xml:space="preserve">Net cash used in financing activities</w:t>
            </w:r>
          </w:p>
        </w:tc>
        <w:tc>
          <w:tcPr>
            <w:tcW w:w="800" w:type="dxa"/>
            <w:vAlign w:val="center"/>
          </w:tcPr>
          <w:p>
            <w:pPr>
              <w:spacing w:before="0" w:after="0"/>
              <w:jc w:val="left"/>
            </w:pPr>
            <w:r>
              <w:rPr>
                <w:b/>
                <w:sz w:val="18"/>
                <w:szCs w:val="18"/>
              </w:rPr>
              <w:t xml:space="preserve"/>
            </w:r>
          </w:p>
        </w:tc>
        <w:tc>
          <w:tcPr>
            <w:tcW w:w="1700" w:type="dxa"/>
            <w:vAlign w:val="center"/>
          </w:tcPr>
          <w:p>
            <w:pPr>
              <w:spacing w:before="0" w:after="0"/>
              <w:jc w:val="right"/>
            </w:pPr>
            <w:r>
              <w:rPr>
                <w:b/>
                <w:sz w:val="18"/>
                <w:szCs w:val="18"/>
              </w:rPr>
              <w:t xml:space="preserve">(3,967)</w:t>
            </w:r>
          </w:p>
        </w:tc>
        <w:tc>
          <w:tcPr>
            <w:tcW w:w="1700" w:type="dxa"/>
            <w:vAlign w:val="center"/>
          </w:tcPr>
          <w:p>
            <w:pPr>
              <w:spacing w:before="0" w:after="0"/>
              <w:jc w:val="right"/>
            </w:pPr>
            <w:r>
              <w:rPr>
                <w:b/>
                <w:sz w:val="18"/>
                <w:szCs w:val="18"/>
              </w:rPr>
              <w:t xml:space="preserve">(3,359)</w:t>
            </w:r>
          </w:p>
        </w:tc>
      </w:tr>
      <w:tr>
        <w:tc>
          <w:tcPr>
            <w:tcW w:w="4872" w:type="dxa"/>
            <w:vAlign w:val="center"/>
          </w:tcPr>
          <w:p>
            <w:pPr>
              <w:spacing w:before="0" w:after="0"/>
              <w:jc w:val="left"/>
            </w:pPr>
            <w:r>
              <w:rPr>
                <w:b/>
                <w:sz w:val="18"/>
                <w:szCs w:val="18"/>
              </w:rPr>
              <w:t xml:space="preserve">Net increase (decrease) in cash and cash equivalents</w:t>
            </w:r>
          </w:p>
        </w:tc>
        <w:tc>
          <w:tcPr>
            <w:tcW w:w="800" w:type="dxa"/>
            <w:vAlign w:val="center"/>
          </w:tcPr>
          <w:p>
            <w:pPr>
              <w:spacing w:before="0" w:after="0"/>
              <w:jc w:val="left"/>
            </w:pPr>
            <w:r>
              <w:rPr>
                <w:b/>
                <w:sz w:val="18"/>
                <w:szCs w:val="18"/>
              </w:rPr>
              <w:t xml:space="preserve"/>
            </w:r>
          </w:p>
        </w:tc>
        <w:tc>
          <w:tcPr>
            <w:tcW w:w="1700" w:type="dxa"/>
            <w:vAlign w:val="center"/>
          </w:tcPr>
          <w:p>
            <w:pPr>
              <w:spacing w:before="0" w:after="0"/>
              <w:jc w:val="right"/>
            </w:pPr>
            <w:r>
              <w:rPr>
                <w:b/>
                <w:sz w:val="18"/>
                <w:szCs w:val="18"/>
              </w:rPr>
              <w:t xml:space="preserve">5,134</w:t>
            </w:r>
          </w:p>
        </w:tc>
        <w:tc>
          <w:tcPr>
            <w:tcW w:w="1700" w:type="dxa"/>
            <w:vAlign w:val="center"/>
          </w:tcPr>
          <w:p>
            <w:pPr>
              <w:spacing w:before="0" w:after="0"/>
              <w:jc w:val="right"/>
            </w:pPr>
            <w:r>
              <w:rPr>
                <w:b/>
                <w:sz w:val="18"/>
                <w:szCs w:val="18"/>
              </w:rPr>
              <w:t xml:space="preserve">3,753</w:t>
            </w:r>
          </w:p>
        </w:tc>
      </w:tr>
      <w:tr>
        <w:tc>
          <w:tcPr>
            <w:tcW w:w="4872" w:type="dxa"/>
            <w:vAlign w:val="center"/>
          </w:tcPr>
          <w:p>
            <w:pPr>
              <w:spacing w:before="0" w:after="0"/>
              <w:jc w:val="left"/>
            </w:pPr>
            <w:r>
              <w:rPr>
                <w:sz w:val="18"/>
                <w:szCs w:val="18"/>
              </w:rPr>
              <w:t xml:space="preserve">Cash and cash equivalents at beginning of period</w:t>
            </w:r>
          </w:p>
        </w:tc>
        <w:tc>
          <w:tcPr>
            <w:tcW w:w="800" w:type="dxa"/>
            <w:vAlign w:val="center"/>
          </w:tcPr>
          <w:p>
            <w:pPr>
              <w:spacing w:before="0" w:after="0"/>
              <w:jc w:val="left"/>
            </w:pPr>
            <w:r>
              <w:rPr>
                <w:sz w:val="18"/>
                <w:szCs w:val="18"/>
              </w:rPr>
              <w:t xml:space="preserve"/>
            </w:r>
          </w:p>
        </w:tc>
        <w:tc>
          <w:tcPr>
            <w:tcW w:w="1700" w:type="dxa"/>
            <w:vAlign w:val="center"/>
          </w:tcPr>
          <w:p>
            <w:pPr>
              <w:spacing w:before="0" w:after="0"/>
              <w:jc w:val="right"/>
            </w:pPr>
            <w:r>
              <w:rPr>
                <w:sz w:val="18"/>
                <w:szCs w:val="18"/>
              </w:rPr>
              <w:t xml:space="preserve">15,941</w:t>
            </w:r>
          </w:p>
        </w:tc>
        <w:tc>
          <w:tcPr>
            <w:tcW w:w="1700" w:type="dxa"/>
            <w:vAlign w:val="center"/>
          </w:tcPr>
          <w:p>
            <w:pPr>
              <w:spacing w:before="0" w:after="0"/>
              <w:jc w:val="right"/>
            </w:pPr>
            <w:r>
              <w:rPr>
                <w:sz w:val="18"/>
                <w:szCs w:val="18"/>
              </w:rPr>
              <w:t xml:space="preserve">15,087</w:t>
            </w:r>
          </w:p>
        </w:tc>
      </w:tr>
      <w:tr>
        <w:tc>
          <w:tcPr>
            <w:tcW w:w="4872" w:type="dxa"/>
            <w:vAlign w:val="center"/>
          </w:tcPr>
          <w:p>
            <w:pPr>
              <w:spacing w:before="0" w:after="0"/>
              <w:jc w:val="left"/>
            </w:pPr>
            <w:r>
              <w:rPr>
                <w:b/>
                <w:sz w:val="18"/>
                <w:szCs w:val="18"/>
              </w:rPr>
              <w:t xml:space="preserve">Cash and cash equivalents at end of period</w:t>
            </w:r>
          </w:p>
        </w:tc>
        <w:tc>
          <w:tcPr>
            <w:tcW w:w="800" w:type="dxa"/>
            <w:vAlign w:val="center"/>
          </w:tcPr>
          <w:p>
            <w:pPr>
              <w:spacing w:before="0" w:after="0"/>
              <w:jc w:val="left"/>
            </w:pPr>
            <w:r>
              <w:rPr>
                <w:b/>
                <w:sz w:val="18"/>
                <w:szCs w:val="18"/>
              </w:rPr>
              <w:t xml:space="preserve"/>
            </w:r>
          </w:p>
        </w:tc>
        <w:tc>
          <w:tcPr>
            <w:tcW w:w="1700" w:type="dxa"/>
            <w:vAlign w:val="center"/>
          </w:tcPr>
          <w:p>
            <w:pPr>
              <w:spacing w:before="0" w:after="0"/>
              <w:jc w:val="right"/>
            </w:pPr>
            <w:r>
              <w:rPr>
                <w:b/>
                <w:sz w:val="18"/>
                <w:szCs w:val="18"/>
              </w:rPr>
              <w:t xml:space="preserve">21,075</w:t>
            </w:r>
          </w:p>
        </w:tc>
        <w:tc>
          <w:tcPr>
            <w:tcW w:w="1700" w:type="dxa"/>
            <w:vAlign w:val="center"/>
          </w:tcPr>
          <w:p>
            <w:pPr>
              <w:spacing w:before="0" w:after="0"/>
              <w:jc w:val="right"/>
            </w:pPr>
            <w:r>
              <w:rPr>
                <w:b/>
                <w:sz w:val="18"/>
                <w:szCs w:val="18"/>
              </w:rPr>
              <w:t xml:space="preserve">18,841</w:t>
            </w:r>
          </w:p>
        </w:tc>
      </w:tr>
    </w:tbl>
    <w:p>
      <w:pPr/>
    </w:p>
    <w:p>
      <w:pPr>
        <w:pStyle w:val="Heading3"/>
        <w:keepNext/>
      </w:pPr>
      <w:r>
        <w:t xml:space="preserve">Notes to the Financial Statements</w:t>
      </w:r>
    </w:p>
    <w:p>
      <w:pPr>
        <w:keepNext/>
      </w:pPr>
      <w:r>
        <w:rPr>
          <w:b/>
        </w:rPr>
        <w:t xml:space="preserve">1. Summary of significant accounting policies</w:t>
      </w:r>
    </w:p>
    <w:p>
      <w:pPr>
        <w:ind w:left="0" w:firstLine="360"/>
      </w:pPr>
      <w:r>
        <w:t xml:space="preserve">The loyalty program had 834 thousand active members at the end of the fiscal year, and purchases by members accounted for 46.5% of store revenue. Capital expenditures totaled $11,708 thousand and consisted mainly of the build-out of new stores, the remodeling of existing stores and a second roasting line at the Northfield roastery. Total assets at the end of the fiscal year were $122,484 thousand, an increase of $34,839 thousand from the end of the prior fiscal year. The Company operates specialty coffee shops under the Nimbus Coffee name and roasts all of the coffee it serves at its own roastery in Northfield. Net cash used in investing activities was $12,680 thousand, primarily for purchases of property and equipment.</w:t>
      </w:r>
    </w:p>
    <w:p>
      <w:pPr>
        <w:ind w:left="0" w:firstLine="360"/>
      </w:pPr>
      <w:r>
        <w:t xml:space="preserve">Nimbus Coffee intends to pay dividends out of retained earnings while keeping sufficient funds to finance the opening of new stores. Orders placed through the online store, including orders for pickup in store and home delivery of whole beans, accounted for 55.7% of revenue in the Beverages and Beans categories. The roastery produced 913 thousand pounds of roasted coffee during the fiscal year, of which 14.1% was sold through company-operated stores. Green coffee is purchased from exporters and cooperatives in Central America, South America and East Africa under fixed-price contracts that generally cover the next nine to twelve months of expected needs. Nimbus Coffee buys 39.9% of its green coffee by volume from farms certified under recognized sustainability standards.</w:t>
      </w:r>
    </w:p>
    <w:p>
      <w:pPr>
        <w:ind w:left="0" w:firstLine="360"/>
      </w:pPr>
      <w:r>
        <w:t xml:space="preserve">Nimbus Coffee intends to pay dividends out of retained earnings while keeping sufficient funds to finance the opening of new stores. The loyalty program had 379 thousand active members at the end of the fiscal year, and purchases by members accounted for 35.5% of store revenue. The loyalty program had 544 thousand active members at the end of the fiscal year, and purchases by members accounted for 9.7% of store revenue. The loyalty program had 547 thousand active members at the end of the fiscal year, and purchases by members accounted for 43.6% of store revenue. Net cash used in investing activities was $9,471 thousand, primarily for purchases of property and equipment. Green coffee is purchased from exporters and cooperatives in Central America, South America and East Africa under fixed-price contracts that generally cover the next nine to twelve months of expected needs.</w:t>
      </w:r>
    </w:p>
    <w:tbl>
      <w:tblPr>
        <w:tblW w:w="907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72" w:type="dxa"/>
          <w:right w:w="72" w:type="dxa"/>
        </w:tblCellMar>
      </w:tblPr>
      <w:tblGrid>
        <w:gridCol w:w="4072"/>
        <w:gridCol w:w="2500"/>
        <w:gridCol w:w="2500"/>
      </w:tblGrid>
      <w:tr>
        <w:trPr>
          <w:tblHeader/>
        </w:trPr>
        <w:tc>
          <w:tcPr>
            <w:tcW w:w="4072" w:type="dxa"/>
            <w:shd w:val="clear" w:color="auto" w:fill="DDEBF7"/>
            <w:vAlign w:val="center"/>
          </w:tcPr>
          <w:p>
            <w:pPr>
              <w:spacing w:before="0" w:after="0"/>
              <w:jc w:val="center"/>
            </w:pPr>
            <w:r>
              <w:rPr>
                <w:b/>
                <w:sz w:val="18"/>
                <w:szCs w:val="18"/>
              </w:rPr>
              <w:t xml:space="preserve">Item</w:t>
            </w:r>
          </w:p>
        </w:tc>
        <w:tc>
          <w:tcPr>
            <w:tcW w:w="2500" w:type="dxa"/>
            <w:shd w:val="clear" w:color="auto" w:fill="DDEBF7"/>
            <w:vAlign w:val="center"/>
          </w:tcPr>
          <w:p>
            <w:pPr>
              <w:spacing w:before="0" w:after="0"/>
              <w:jc w:val="center"/>
            </w:pPr>
            <w:r>
              <w:rPr>
                <w:b/>
                <w:sz w:val="18"/>
                <w:szCs w:val="18"/>
              </w:rPr>
              <w:t xml:space="preserve">H1 2025</w:t>
            </w:r>
          </w:p>
        </w:tc>
        <w:tc>
          <w:tcPr>
            <w:tcW w:w="2500" w:type="dxa"/>
            <w:shd w:val="clear" w:color="auto" w:fill="DDEBF7"/>
            <w:vAlign w:val="center"/>
          </w:tcPr>
          <w:p>
            <w:pPr>
              <w:spacing w:before="0" w:after="0"/>
              <w:jc w:val="center"/>
            </w:pPr>
            <w:r>
              <w:rPr>
                <w:b/>
                <w:sz w:val="18"/>
                <w:szCs w:val="18"/>
              </w:rPr>
              <w:t xml:space="preserve">H1 2026</w:t>
            </w:r>
          </w:p>
        </w:tc>
      </w:tr>
      <w:tr>
        <w:tc>
          <w:tcPr>
            <w:tcW w:w="4072" w:type="dxa"/>
            <w:vAlign w:val="center"/>
          </w:tcPr>
          <w:p>
            <w:pPr>
              <w:spacing w:before="0" w:after="0"/>
              <w:jc w:val="left"/>
            </w:pPr>
            <w:r>
              <w:rPr>
                <w:sz w:val="18"/>
                <w:szCs w:val="18"/>
              </w:rPr>
              <w:t xml:space="preserve">Goodwill</w:t>
            </w:r>
          </w:p>
        </w:tc>
        <w:tc>
          <w:tcPr>
            <w:tcW w:w="2500" w:type="dxa"/>
            <w:vAlign w:val="center"/>
          </w:tcPr>
          <w:p>
            <w:pPr>
              <w:spacing w:before="0" w:after="0"/>
              <w:jc w:val="right"/>
            </w:pPr>
            <w:r>
              <w:rPr>
                <w:sz w:val="18"/>
                <w:szCs w:val="18"/>
              </w:rPr>
              <w:t xml:space="preserve">23,997</w:t>
            </w:r>
          </w:p>
        </w:tc>
        <w:tc>
          <w:tcPr>
            <w:tcW w:w="2500" w:type="dxa"/>
            <w:vAlign w:val="center"/>
          </w:tcPr>
          <w:p>
            <w:pPr>
              <w:spacing w:before="0" w:after="0"/>
              <w:jc w:val="right"/>
            </w:pPr>
            <w:r>
              <w:rPr>
                <w:sz w:val="18"/>
                <w:szCs w:val="18"/>
              </w:rPr>
              <w:t xml:space="preserve">24,630</w:t>
            </w:r>
          </w:p>
        </w:tc>
      </w:tr>
      <w:tr>
        <w:tc>
          <w:tcPr>
            <w:tcW w:w="4072" w:type="dxa"/>
            <w:vAlign w:val="center"/>
          </w:tcPr>
          <w:p>
            <w:pPr>
              <w:spacing w:before="0" w:after="0"/>
              <w:jc w:val="left"/>
            </w:pPr>
            <w:r>
              <w:rPr>
                <w:sz w:val="18"/>
                <w:szCs w:val="18"/>
              </w:rPr>
              <w:t xml:space="preserve">Accounts payable</w:t>
            </w:r>
          </w:p>
        </w:tc>
        <w:tc>
          <w:tcPr>
            <w:tcW w:w="2500" w:type="dxa"/>
            <w:vAlign w:val="center"/>
          </w:tcPr>
          <w:p>
            <w:pPr>
              <w:spacing w:before="0" w:after="0"/>
              <w:jc w:val="right"/>
            </w:pPr>
            <w:r>
              <w:rPr>
                <w:sz w:val="18"/>
                <w:szCs w:val="18"/>
              </w:rPr>
              <w:t xml:space="preserve">22,554</w:t>
            </w:r>
          </w:p>
        </w:tc>
        <w:tc>
          <w:tcPr>
            <w:tcW w:w="2500" w:type="dxa"/>
            <w:vAlign w:val="center"/>
          </w:tcPr>
          <w:p>
            <w:pPr>
              <w:spacing w:before="0" w:after="0"/>
              <w:jc w:val="right"/>
            </w:pPr>
            <w:r>
              <w:rPr>
                <w:sz w:val="18"/>
                <w:szCs w:val="18"/>
              </w:rPr>
              <w:t xml:space="preserve">24,226</w:t>
            </w:r>
          </w:p>
        </w:tc>
      </w:tr>
      <w:tr>
        <w:tc>
          <w:tcPr>
            <w:tcW w:w="4072" w:type="dxa"/>
            <w:vAlign w:val="center"/>
          </w:tcPr>
          <w:p>
            <w:pPr>
              <w:spacing w:before="0" w:after="0"/>
              <w:jc w:val="left"/>
            </w:pPr>
            <w:r>
              <w:rPr>
                <w:sz w:val="18"/>
                <w:szCs w:val="18"/>
              </w:rPr>
              <w:t xml:space="preserve">Current portion of operating lease liabilities</w:t>
            </w:r>
          </w:p>
        </w:tc>
        <w:tc>
          <w:tcPr>
            <w:tcW w:w="2500" w:type="dxa"/>
            <w:vAlign w:val="center"/>
          </w:tcPr>
          <w:p>
            <w:pPr>
              <w:spacing w:before="0" w:after="0"/>
              <w:jc w:val="right"/>
            </w:pPr>
            <w:r>
              <w:rPr>
                <w:sz w:val="18"/>
                <w:szCs w:val="18"/>
              </w:rPr>
              <w:t xml:space="preserve">22,115</w:t>
            </w:r>
          </w:p>
        </w:tc>
        <w:tc>
          <w:tcPr>
            <w:tcW w:w="2500" w:type="dxa"/>
            <w:vAlign w:val="center"/>
          </w:tcPr>
          <w:p>
            <w:pPr>
              <w:spacing w:before="0" w:after="0"/>
              <w:jc w:val="right"/>
            </w:pPr>
            <w:r>
              <w:rPr>
                <w:sz w:val="18"/>
                <w:szCs w:val="18"/>
              </w:rPr>
              <w:t xml:space="preserve">23,346</w:t>
            </w:r>
          </w:p>
        </w:tc>
      </w:tr>
      <w:tr>
        <w:tc>
          <w:tcPr>
            <w:tcW w:w="4072" w:type="dxa"/>
            <w:vAlign w:val="center"/>
          </w:tcPr>
          <w:p>
            <w:pPr>
              <w:spacing w:before="0" w:after="0"/>
              <w:jc w:val="left"/>
            </w:pPr>
            <w:r>
              <w:rPr>
                <w:sz w:val="18"/>
                <w:szCs w:val="18"/>
              </w:rPr>
              <w:t xml:space="preserve">Current portion of long-term debt</w:t>
            </w:r>
          </w:p>
        </w:tc>
        <w:tc>
          <w:tcPr>
            <w:tcW w:w="2500" w:type="dxa"/>
            <w:vAlign w:val="center"/>
          </w:tcPr>
          <w:p>
            <w:pPr>
              <w:spacing w:before="0" w:after="0"/>
              <w:jc w:val="right"/>
            </w:pPr>
            <w:r>
              <w:rPr>
                <w:sz w:val="18"/>
                <w:szCs w:val="18"/>
              </w:rPr>
              <w:t xml:space="preserve">18,421</w:t>
            </w:r>
          </w:p>
        </w:tc>
        <w:tc>
          <w:tcPr>
            <w:tcW w:w="2500" w:type="dxa"/>
            <w:vAlign w:val="center"/>
          </w:tcPr>
          <w:p>
            <w:pPr>
              <w:spacing w:before="0" w:after="0"/>
              <w:jc w:val="right"/>
            </w:pPr>
            <w:r>
              <w:rPr>
                <w:sz w:val="18"/>
                <w:szCs w:val="18"/>
              </w:rPr>
              <w:t xml:space="preserve">21,666</w:t>
            </w:r>
          </w:p>
        </w:tc>
      </w:tr>
      <w:tr>
        <w:tc>
          <w:tcPr>
            <w:tcW w:w="4072" w:type="dxa"/>
            <w:vAlign w:val="center"/>
          </w:tcPr>
          <w:p>
            <w:pPr>
              <w:spacing w:before="0" w:after="0"/>
              <w:jc w:val="left"/>
            </w:pPr>
            <w:r>
              <w:rPr>
                <w:sz w:val="18"/>
                <w:szCs w:val="18"/>
              </w:rPr>
              <w:t xml:space="preserve">Other intangible assets, net</w:t>
            </w:r>
          </w:p>
        </w:tc>
        <w:tc>
          <w:tcPr>
            <w:tcW w:w="2500" w:type="dxa"/>
            <w:vAlign w:val="center"/>
          </w:tcPr>
          <w:p>
            <w:pPr>
              <w:spacing w:before="0" w:after="0"/>
              <w:jc w:val="right"/>
            </w:pPr>
            <w:r>
              <w:rPr>
                <w:sz w:val="18"/>
                <w:szCs w:val="18"/>
              </w:rPr>
              <w:t xml:space="preserve">25,912</w:t>
            </w:r>
          </w:p>
        </w:tc>
        <w:tc>
          <w:tcPr>
            <w:tcW w:w="2500" w:type="dxa"/>
            <w:vAlign w:val="center"/>
          </w:tcPr>
          <w:p>
            <w:pPr>
              <w:spacing w:before="0" w:after="0"/>
              <w:jc w:val="right"/>
            </w:pPr>
            <w:r>
              <w:rPr>
                <w:sz w:val="18"/>
                <w:szCs w:val="18"/>
              </w:rPr>
              <w:t xml:space="preserve">28,654</w:t>
            </w:r>
          </w:p>
        </w:tc>
      </w:tr>
      <w:tr>
        <w:tc>
          <w:tcPr>
            <w:tcW w:w="4072" w:type="dxa"/>
            <w:vAlign w:val="center"/>
          </w:tcPr>
          <w:p>
            <w:pPr>
              <w:spacing w:before="0" w:after="0"/>
              <w:jc w:val="left"/>
            </w:pPr>
            <w:r>
              <w:rPr>
                <w:sz w:val="18"/>
                <w:szCs w:val="18"/>
              </w:rPr>
              <w:t xml:space="preserve">Operating lease liabilities, net of current portion</w:t>
            </w:r>
          </w:p>
        </w:tc>
        <w:tc>
          <w:tcPr>
            <w:tcW w:w="2500" w:type="dxa"/>
            <w:vAlign w:val="center"/>
          </w:tcPr>
          <w:p>
            <w:pPr>
              <w:spacing w:before="0" w:after="0"/>
              <w:jc w:val="right"/>
            </w:pPr>
            <w:r>
              <w:rPr>
                <w:sz w:val="18"/>
                <w:szCs w:val="18"/>
              </w:rPr>
              <w:t xml:space="preserve">28,034</w:t>
            </w:r>
          </w:p>
        </w:tc>
        <w:tc>
          <w:tcPr>
            <w:tcW w:w="2500" w:type="dxa"/>
            <w:vAlign w:val="center"/>
          </w:tcPr>
          <w:p>
            <w:pPr>
              <w:spacing w:before="0" w:after="0"/>
              <w:jc w:val="right"/>
            </w:pPr>
            <w:r>
              <w:rPr>
                <w:sz w:val="18"/>
                <w:szCs w:val="18"/>
              </w:rPr>
              <w:t xml:space="preserve">33,161</w:t>
            </w:r>
          </w:p>
        </w:tc>
      </w:tr>
    </w:tbl>
    <w:p>
      <w:pPr/>
    </w:p>
    <w:p>
      <w:pPr>
        <w:keepNext/>
      </w:pPr>
      <w:r>
        <w:rPr>
          <w:b/>
        </w:rPr>
        <w:t xml:space="preserve">2. Revenue recognition</w:t>
      </w:r>
    </w:p>
    <w:p>
      <w:pPr>
        <w:ind w:left="0" w:firstLine="360"/>
      </w:pPr>
      <w:r>
        <w:t xml:space="preserve">Net cash used in investing activities was $25,001 thousand, primarily for purchases of property and equipment. The roastery produced 468 thousand pounds of roasted coffee during the fiscal year, of which 44.2% was sold through company-operated stores. The price of green coffee is volatile, and a sustained increase could reduce gross margin if the Group is unable to pass the cost on to customers through menu prices. Merchandise sales, consisting of mugs, brewing equipment and seasonal gift sets, are highest in the fourth quarter of each year. Baristas complete a four-week training course before working on the floor, and store managers complete a further course at the Northfield training center.</w:t>
      </w:r>
    </w:p>
    <w:p>
      <w:pPr>
        <w:ind w:left="0" w:firstLine="360"/>
      </w:pPr>
      <w:r>
        <w:t xml:space="preserve">The price of green coffee is volatile, and a sustained increase could reduce gross margin if the Group is unable to pass the cost on to customers through menu prices. Total assets at the end of the fiscal year were $146,353 thousand, an increase of $22,755 thousand from the end of the prior fiscal year. These forward-looking statements are based on information available as of the date of this statement, and actual results may differ materially because of many factors. Nimbus Coffee depends on a small number of dairy and bakery suppliers in each region, and an interruption in their deliveries could affect sales at the stores they serve. Energy use per store decreased 13.1% compared with the prior year, as older espresso machines and refrigerators were replaced with more efficient models.</w:t>
      </w:r>
    </w:p>
    <w:p>
      <w:pPr>
        <w:keepNext/>
      </w:pPr>
      <w:r>
        <w:rPr>
          <w:b/>
        </w:rPr>
        <w:t xml:space="preserve">3. Leases</w:t>
      </w:r>
    </w:p>
    <w:p>
      <w:pPr>
        <w:ind w:left="0" w:firstLine="360"/>
      </w:pPr>
      <w:r>
        <w:t xml:space="preserve">The roastery produced 478 thousand pounds of roasted coffee during the fiscal year, of which 46.6% was sold through company-operated stores. Total assets at the end of the fiscal year were $102,376 thousand, an increase of $17,372 thousand from the end of the prior fiscal year. The Group intends to pay dividends out of retained earnings while keeping sufficient funds to finance the opening of new stores. The price of green coffee is volatile, and a sustained increase could reduce gross margin if the Group is unable to pass the cost on to customers through menu prices. Comparable store sales increased 6.8%, driven by a 4.7% increase in average ticket and a 2.1% increase in transactions. The Company buys 45.0% of its green coffee by volume from farms certified under recognized sustainability standards.</w:t>
      </w:r>
    </w:p>
    <w:p>
      <w:pPr>
        <w:ind w:left="0" w:firstLine="360"/>
      </w:pPr>
      <w:r>
        <w:t xml:space="preserve">New stores generally reach the sales level of a mature store within eighteen to twenty-four months of opening. The Company holds no derivatives other than coffee futures contracts used to fix the price of part of its future green coffee purchases. Total revenue for the fiscal year was $104,593 thousand, an increase of 11.0% over the prior year, and operating income was $1,097 thousand, an increase of 9.0%. Baristas complete a four-week training course before working on the floor, and store managers complete a further course at the Northfield training center. Nimbus Coffee leases all of its store premises under operating leases with initial terms of ten years, most of which include options to renew. Total revenue for the fiscal year was $111,574 thousand, an increase of 3.0% over the prior year, and operating income was $6,833 thousand, an increase of 9.8%.</w:t>
      </w:r>
    </w:p>
    <w:tbl>
      <w:tblPr>
        <w:tblW w:w="907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72" w:type="dxa"/>
          <w:right w:w="72" w:type="dxa"/>
        </w:tblCellMar>
      </w:tblPr>
      <w:tblGrid>
        <w:gridCol w:w="4072"/>
        <w:gridCol w:w="2500"/>
        <w:gridCol w:w="2500"/>
      </w:tblGrid>
      <w:tr>
        <w:trPr>
          <w:tblHeader/>
        </w:trPr>
        <w:tc>
          <w:tcPr>
            <w:tcW w:w="4072" w:type="dxa"/>
            <w:shd w:val="clear" w:color="auto" w:fill="DDEBF7"/>
            <w:vAlign w:val="center"/>
          </w:tcPr>
          <w:p>
            <w:pPr>
              <w:spacing w:before="0" w:after="0"/>
              <w:jc w:val="center"/>
            </w:pPr>
            <w:r>
              <w:rPr>
                <w:b/>
                <w:sz w:val="18"/>
                <w:szCs w:val="18"/>
              </w:rPr>
              <w:t xml:space="preserve">Item</w:t>
            </w:r>
          </w:p>
        </w:tc>
        <w:tc>
          <w:tcPr>
            <w:tcW w:w="2500" w:type="dxa"/>
            <w:shd w:val="clear" w:color="auto" w:fill="DDEBF7"/>
            <w:vAlign w:val="center"/>
          </w:tcPr>
          <w:p>
            <w:pPr>
              <w:spacing w:before="0" w:after="0"/>
              <w:jc w:val="center"/>
            </w:pPr>
            <w:r>
              <w:rPr>
                <w:b/>
                <w:sz w:val="18"/>
                <w:szCs w:val="18"/>
              </w:rPr>
              <w:t xml:space="preserve">H1 2025</w:t>
            </w:r>
          </w:p>
        </w:tc>
        <w:tc>
          <w:tcPr>
            <w:tcW w:w="2500" w:type="dxa"/>
            <w:shd w:val="clear" w:color="auto" w:fill="DDEBF7"/>
            <w:vAlign w:val="center"/>
          </w:tcPr>
          <w:p>
            <w:pPr>
              <w:spacing w:before="0" w:after="0"/>
              <w:jc w:val="center"/>
            </w:pPr>
            <w:r>
              <w:rPr>
                <w:b/>
                <w:sz w:val="18"/>
                <w:szCs w:val="18"/>
              </w:rPr>
              <w:t xml:space="preserve">H1 2026</w:t>
            </w:r>
          </w:p>
        </w:tc>
      </w:tr>
      <w:tr>
        <w:tc>
          <w:tcPr>
            <w:tcW w:w="4072" w:type="dxa"/>
            <w:vAlign w:val="center"/>
          </w:tcPr>
          <w:p>
            <w:pPr>
              <w:spacing w:before="0" w:after="0"/>
              <w:jc w:val="left"/>
            </w:pPr>
            <w:r>
              <w:rPr>
                <w:sz w:val="18"/>
                <w:szCs w:val="18"/>
              </w:rPr>
              <w:t xml:space="preserve">Other long-term assets</w:t>
            </w:r>
          </w:p>
        </w:tc>
        <w:tc>
          <w:tcPr>
            <w:tcW w:w="2500" w:type="dxa"/>
            <w:vAlign w:val="center"/>
          </w:tcPr>
          <w:p>
            <w:pPr>
              <w:spacing w:before="0" w:after="0"/>
              <w:jc w:val="right"/>
            </w:pPr>
            <w:r>
              <w:rPr>
                <w:sz w:val="18"/>
                <w:szCs w:val="18"/>
              </w:rPr>
              <w:t xml:space="preserve">25,396</w:t>
            </w:r>
          </w:p>
        </w:tc>
        <w:tc>
          <w:tcPr>
            <w:tcW w:w="2500" w:type="dxa"/>
            <w:vAlign w:val="center"/>
          </w:tcPr>
          <w:p>
            <w:pPr>
              <w:spacing w:before="0" w:after="0"/>
              <w:jc w:val="right"/>
            </w:pPr>
            <w:r>
              <w:rPr>
                <w:sz w:val="18"/>
                <w:szCs w:val="18"/>
              </w:rPr>
              <w:t xml:space="preserve">28,152</w:t>
            </w:r>
          </w:p>
        </w:tc>
      </w:tr>
      <w:tr>
        <w:tc>
          <w:tcPr>
            <w:tcW w:w="4072" w:type="dxa"/>
            <w:vAlign w:val="center"/>
          </w:tcPr>
          <w:p>
            <w:pPr>
              <w:spacing w:before="0" w:after="0"/>
              <w:jc w:val="left"/>
            </w:pPr>
            <w:r>
              <w:rPr>
                <w:sz w:val="18"/>
                <w:szCs w:val="18"/>
              </w:rPr>
              <w:t xml:space="preserve">Other long-term assets</w:t>
            </w:r>
          </w:p>
        </w:tc>
        <w:tc>
          <w:tcPr>
            <w:tcW w:w="2500" w:type="dxa"/>
            <w:vAlign w:val="center"/>
          </w:tcPr>
          <w:p>
            <w:pPr>
              <w:spacing w:before="0" w:after="0"/>
              <w:jc w:val="right"/>
            </w:pPr>
            <w:r>
              <w:rPr>
                <w:sz w:val="18"/>
                <w:szCs w:val="18"/>
              </w:rPr>
              <w:t xml:space="preserve">17,519</w:t>
            </w:r>
          </w:p>
        </w:tc>
        <w:tc>
          <w:tcPr>
            <w:tcW w:w="2500" w:type="dxa"/>
            <w:vAlign w:val="center"/>
          </w:tcPr>
          <w:p>
            <w:pPr>
              <w:spacing w:before="0" w:after="0"/>
              <w:jc w:val="right"/>
            </w:pPr>
            <w:r>
              <w:rPr>
                <w:sz w:val="18"/>
                <w:szCs w:val="18"/>
              </w:rPr>
              <w:t xml:space="preserve">20,241</w:t>
            </w:r>
          </w:p>
        </w:tc>
      </w:tr>
      <w:tr>
        <w:tc>
          <w:tcPr>
            <w:tcW w:w="4072" w:type="dxa"/>
            <w:vAlign w:val="center"/>
          </w:tcPr>
          <w:p>
            <w:pPr>
              <w:spacing w:before="0" w:after="0"/>
              <w:jc w:val="left"/>
            </w:pPr>
            <w:r>
              <w:rPr>
                <w:sz w:val="18"/>
                <w:szCs w:val="18"/>
              </w:rPr>
              <w:t xml:space="preserve">Current portion of long-term debt</w:t>
            </w:r>
          </w:p>
        </w:tc>
        <w:tc>
          <w:tcPr>
            <w:tcW w:w="2500" w:type="dxa"/>
            <w:vAlign w:val="center"/>
          </w:tcPr>
          <w:p>
            <w:pPr>
              <w:spacing w:before="0" w:after="0"/>
              <w:jc w:val="right"/>
            </w:pPr>
            <w:r>
              <w:rPr>
                <w:sz w:val="18"/>
                <w:szCs w:val="18"/>
              </w:rPr>
              <w:t xml:space="preserve">26,350</w:t>
            </w:r>
          </w:p>
        </w:tc>
        <w:tc>
          <w:tcPr>
            <w:tcW w:w="2500" w:type="dxa"/>
            <w:vAlign w:val="center"/>
          </w:tcPr>
          <w:p>
            <w:pPr>
              <w:spacing w:before="0" w:after="0"/>
              <w:jc w:val="right"/>
            </w:pPr>
            <w:r>
              <w:rPr>
                <w:sz w:val="18"/>
                <w:szCs w:val="18"/>
              </w:rPr>
              <w:t xml:space="preserve">31,188</w:t>
            </w:r>
          </w:p>
        </w:tc>
      </w:tr>
      <w:tr>
        <w:tc>
          <w:tcPr>
            <w:tcW w:w="4072" w:type="dxa"/>
            <w:vAlign w:val="center"/>
          </w:tcPr>
          <w:p>
            <w:pPr>
              <w:spacing w:before="0" w:after="0"/>
              <w:jc w:val="left"/>
            </w:pPr>
            <w:r>
              <w:rPr>
                <w:sz w:val="18"/>
                <w:szCs w:val="18"/>
              </w:rPr>
              <w:t xml:space="preserve">Property and equipment, net</w:t>
            </w:r>
          </w:p>
        </w:tc>
        <w:tc>
          <w:tcPr>
            <w:tcW w:w="2500" w:type="dxa"/>
            <w:vAlign w:val="center"/>
          </w:tcPr>
          <w:p>
            <w:pPr>
              <w:spacing w:before="0" w:after="0"/>
              <w:jc w:val="right"/>
            </w:pPr>
            <w:r>
              <w:rPr>
                <w:sz w:val="18"/>
                <w:szCs w:val="18"/>
              </w:rPr>
              <w:t xml:space="preserve">28,355</w:t>
            </w:r>
          </w:p>
        </w:tc>
        <w:tc>
          <w:tcPr>
            <w:tcW w:w="2500" w:type="dxa"/>
            <w:vAlign w:val="center"/>
          </w:tcPr>
          <w:p>
            <w:pPr>
              <w:spacing w:before="0" w:after="0"/>
              <w:jc w:val="right"/>
            </w:pPr>
            <w:r>
              <w:rPr>
                <w:sz w:val="18"/>
                <w:szCs w:val="18"/>
              </w:rPr>
              <w:t xml:space="preserve">32,825</w:t>
            </w:r>
          </w:p>
        </w:tc>
      </w:tr>
      <w:tr>
        <w:tc>
          <w:tcPr>
            <w:tcW w:w="4072" w:type="dxa"/>
            <w:vAlign w:val="center"/>
          </w:tcPr>
          <w:p>
            <w:pPr>
              <w:spacing w:before="0" w:after="0"/>
              <w:jc w:val="left"/>
            </w:pPr>
            <w:r>
              <w:rPr>
                <w:sz w:val="18"/>
                <w:szCs w:val="18"/>
              </w:rPr>
              <w:t xml:space="preserve">Prepaid expenses and other current assets</w:t>
            </w:r>
          </w:p>
        </w:tc>
        <w:tc>
          <w:tcPr>
            <w:tcW w:w="2500" w:type="dxa"/>
            <w:vAlign w:val="center"/>
          </w:tcPr>
          <w:p>
            <w:pPr>
              <w:spacing w:before="0" w:after="0"/>
              <w:jc w:val="right"/>
            </w:pPr>
            <w:r>
              <w:rPr>
                <w:sz w:val="18"/>
                <w:szCs w:val="18"/>
              </w:rPr>
              <w:t xml:space="preserve">12,550</w:t>
            </w:r>
          </w:p>
        </w:tc>
        <w:tc>
          <w:tcPr>
            <w:tcW w:w="2500" w:type="dxa"/>
            <w:vAlign w:val="center"/>
          </w:tcPr>
          <w:p>
            <w:pPr>
              <w:spacing w:before="0" w:after="0"/>
              <w:jc w:val="right"/>
            </w:pPr>
            <w:r>
              <w:rPr>
                <w:sz w:val="18"/>
                <w:szCs w:val="18"/>
              </w:rPr>
              <w:t xml:space="preserve">13,139</w:t>
            </w:r>
          </w:p>
        </w:tc>
      </w:tr>
      <w:tr>
        <w:tc>
          <w:tcPr>
            <w:tcW w:w="4072" w:type="dxa"/>
            <w:vAlign w:val="center"/>
          </w:tcPr>
          <w:p>
            <w:pPr>
              <w:spacing w:before="0" w:after="0"/>
              <w:jc w:val="left"/>
            </w:pPr>
            <w:r>
              <w:rPr>
                <w:sz w:val="18"/>
                <w:szCs w:val="18"/>
              </w:rPr>
              <w:t xml:space="preserve">Current portion of long-term debt</w:t>
            </w:r>
          </w:p>
        </w:tc>
        <w:tc>
          <w:tcPr>
            <w:tcW w:w="2500" w:type="dxa"/>
            <w:vAlign w:val="center"/>
          </w:tcPr>
          <w:p>
            <w:pPr>
              <w:spacing w:before="0" w:after="0"/>
              <w:jc w:val="right"/>
            </w:pPr>
            <w:r>
              <w:rPr>
                <w:sz w:val="18"/>
                <w:szCs w:val="18"/>
              </w:rPr>
              <w:t xml:space="preserve">7,502</w:t>
            </w:r>
          </w:p>
        </w:tc>
        <w:tc>
          <w:tcPr>
            <w:tcW w:w="2500" w:type="dxa"/>
            <w:vAlign w:val="center"/>
          </w:tcPr>
          <w:p>
            <w:pPr>
              <w:spacing w:before="0" w:after="0"/>
              <w:jc w:val="right"/>
            </w:pPr>
            <w:r>
              <w:rPr>
                <w:sz w:val="18"/>
                <w:szCs w:val="18"/>
              </w:rPr>
              <w:t xml:space="preserve">8,349</w:t>
            </w:r>
          </w:p>
        </w:tc>
      </w:tr>
    </w:tbl>
    <w:p>
      <w:pPr/>
    </w:p>
    <w:p>
      <w:pPr>
        <w:keepNext/>
      </w:pPr>
      <w:r>
        <w:rPr>
          <w:b/>
        </w:rPr>
        <w:t xml:space="preserve">4. Fair value measurements</w:t>
      </w:r>
    </w:p>
    <w:p>
      <w:pPr>
        <w:ind w:left="0" w:firstLine="360"/>
      </w:pPr>
      <w:r>
        <w:t xml:space="preserve">The Group intends to pay dividends out of retained earnings while keeping sufficient funds to finance the opening of new stores. Net cash used in investing activities was $2,005 thousand, primarily for purchases of property and equipment. Net cash used in investing activities was $10,019 thousand, primarily for purchases of property and equipment.</w:t>
      </w:r>
    </w:p>
    <w:p>
      <w:pPr>
        <w:ind w:left="0" w:firstLine="360"/>
      </w:pPr>
      <w:r>
        <w:t xml:space="preserve">The price of green coffee is volatile, and a sustained increase could reduce gross margin if the Company is unable to pass the cost on to customers through menu prices. Total revenue for the fiscal year was $136,371 thousand, an increase of 17.9% over the prior year, and operating income was $24,088 thousand, an increase of 23.9%. Revenue from stores in the Harborview region was $43,530 thousand, or 6.9% of total revenue.</w:t>
      </w:r>
    </w:p>
    <w:p>
      <w:pPr>
        <w:keepNext/>
      </w:pPr>
      <w:r>
        <w:rPr>
          <w:b/>
        </w:rPr>
        <w:t xml:space="preserve">5. Inventories</w:t>
      </w:r>
    </w:p>
    <w:p>
      <w:pPr>
        <w:ind w:left="0" w:firstLine="360"/>
      </w:pPr>
      <w:r>
        <w:t xml:space="preserve">Merchandise sales, consisting of mugs, brewing equipment and seasonal gift sets, are highest in the fourth quarter of each year. Occupancy costs increased to $23,564 thousand, reflecting rent for new stores and scheduled rent increases at existing locations. Labor costs are affected by minimum wage laws in the regions where the stores are located, and further increases could reduce store margins. Store operating expenses, which consist mainly of wages, benefits and supplies, were 29.5% of revenue, compared with 32.6% in the prior year. Wholesale revenue comes from sales of roasted beans to restaurants, hotels and grocery stores in the regions where Nimbus Coffee operates. Orders placed through the online store, including orders for pickup in store and home delivery of whole beans, accounted for 36.0% of revenue in the Beverages and Beans categories.</w:t>
      </w:r>
    </w:p>
    <w:p>
      <w:pPr>
        <w:ind w:left="0" w:firstLine="360"/>
      </w:pPr>
      <w:r>
        <w:t xml:space="preserve">Store operating expenses, which consist mainly of wages, benefits and supplies, were 28.2% of revenue, compared with 34.2% in the prior year. Wholesale revenue comes from sales of roasted beans to restaurants, hotels and grocery stores in the regions where Nimbus Coffee operates. Revenue from stores in the Northfield region increased 1.2% compared with the prior year, while its share of total revenue was little changed. Food safety incidents, whether or not they occur at our stores, could harm the reputation of the Nimbus Coffee brand and reduce customer traffic. Food safety incidents, whether or not they occur at our stores, could harm the reputation of the Nimbus Coffee brand and reduce customer traffic. Green coffee is purchased from exporters and cooperatives in Central America, South America and East Africa under fixed-price contracts that generally cover the next nine to twelve months of expected needs.</w:t>
      </w:r>
    </w:p>
    <w:p>
      <w:pPr>
        <w:ind w:left="0" w:firstLine="360"/>
      </w:pPr>
      <w:r>
        <w:t xml:space="preserve">Comparable store sales increased 3.3%, driven by a 1.2% increase in average ticket and a 3.4% increase in transactions. Net cash used in investing activities was $14,775 thousand, primarily for purchases of property and equipment. Wholesale revenue comes from sales of roasted beans to restaurants, hotels and grocery stores in the regions where Nimbus Coffee operates. Revenue from company-operated stores increased 13.8% compared with the prior year, while its share of total revenue was little changed.</w:t>
      </w:r>
    </w:p>
    <w:tbl>
      <w:tblPr>
        <w:tblW w:w="907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72" w:type="dxa"/>
          <w:right w:w="72" w:type="dxa"/>
        </w:tblCellMar>
      </w:tblPr>
      <w:tblGrid>
        <w:gridCol w:w="4072"/>
        <w:gridCol w:w="2500"/>
        <w:gridCol w:w="2500"/>
      </w:tblGrid>
      <w:tr>
        <w:trPr>
          <w:tblHeader/>
        </w:trPr>
        <w:tc>
          <w:tcPr>
            <w:tcW w:w="4072" w:type="dxa"/>
            <w:shd w:val="clear" w:color="auto" w:fill="DDEBF7"/>
            <w:vAlign w:val="center"/>
          </w:tcPr>
          <w:p>
            <w:pPr>
              <w:spacing w:before="0" w:after="0"/>
              <w:jc w:val="center"/>
            </w:pPr>
            <w:r>
              <w:rPr>
                <w:b/>
                <w:sz w:val="18"/>
                <w:szCs w:val="18"/>
              </w:rPr>
              <w:t xml:space="preserve">Item</w:t>
            </w:r>
          </w:p>
        </w:tc>
        <w:tc>
          <w:tcPr>
            <w:tcW w:w="2500" w:type="dxa"/>
            <w:shd w:val="clear" w:color="auto" w:fill="DDEBF7"/>
            <w:vAlign w:val="center"/>
          </w:tcPr>
          <w:p>
            <w:pPr>
              <w:spacing w:before="0" w:after="0"/>
              <w:jc w:val="center"/>
            </w:pPr>
            <w:r>
              <w:rPr>
                <w:b/>
                <w:sz w:val="18"/>
                <w:szCs w:val="18"/>
              </w:rPr>
              <w:t xml:space="preserve">H1 2025</w:t>
            </w:r>
          </w:p>
        </w:tc>
        <w:tc>
          <w:tcPr>
            <w:tcW w:w="2500" w:type="dxa"/>
            <w:shd w:val="clear" w:color="auto" w:fill="DDEBF7"/>
            <w:vAlign w:val="center"/>
          </w:tcPr>
          <w:p>
            <w:pPr>
              <w:spacing w:before="0" w:after="0"/>
              <w:jc w:val="center"/>
            </w:pPr>
            <w:r>
              <w:rPr>
                <w:b/>
                <w:sz w:val="18"/>
                <w:szCs w:val="18"/>
              </w:rPr>
              <w:t xml:space="preserve">H1 2026</w:t>
            </w:r>
          </w:p>
        </w:tc>
      </w:tr>
      <w:tr>
        <w:tc>
          <w:tcPr>
            <w:tcW w:w="4072" w:type="dxa"/>
            <w:vAlign w:val="center"/>
          </w:tcPr>
          <w:p>
            <w:pPr>
              <w:spacing w:before="0" w:after="0"/>
              <w:jc w:val="left"/>
            </w:pPr>
            <w:r>
              <w:rPr>
                <w:sz w:val="18"/>
                <w:szCs w:val="18"/>
              </w:rPr>
              <w:t xml:space="preserve">Operating lease right-of-use assets</w:t>
            </w:r>
          </w:p>
        </w:tc>
        <w:tc>
          <w:tcPr>
            <w:tcW w:w="2500" w:type="dxa"/>
            <w:vAlign w:val="center"/>
          </w:tcPr>
          <w:p>
            <w:pPr>
              <w:spacing w:before="0" w:after="0"/>
              <w:jc w:val="right"/>
            </w:pPr>
            <w:r>
              <w:rPr>
                <w:sz w:val="18"/>
                <w:szCs w:val="18"/>
              </w:rPr>
              <w:t xml:space="preserve">31,145</w:t>
            </w:r>
          </w:p>
        </w:tc>
        <w:tc>
          <w:tcPr>
            <w:tcW w:w="2500" w:type="dxa"/>
            <w:vAlign w:val="center"/>
          </w:tcPr>
          <w:p>
            <w:pPr>
              <w:spacing w:before="0" w:after="0"/>
              <w:jc w:val="right"/>
            </w:pPr>
            <w:r>
              <w:rPr>
                <w:sz w:val="18"/>
                <w:szCs w:val="18"/>
              </w:rPr>
              <w:t xml:space="preserve">36,247</w:t>
            </w:r>
          </w:p>
        </w:tc>
      </w:tr>
      <w:tr>
        <w:tc>
          <w:tcPr>
            <w:tcW w:w="4072" w:type="dxa"/>
            <w:vAlign w:val="center"/>
          </w:tcPr>
          <w:p>
            <w:pPr>
              <w:spacing w:before="0" w:after="0"/>
              <w:jc w:val="left"/>
            </w:pPr>
            <w:r>
              <w:rPr>
                <w:sz w:val="18"/>
                <w:szCs w:val="18"/>
              </w:rPr>
              <w:t xml:space="preserve">Prepaid expenses and other current assets</w:t>
            </w:r>
          </w:p>
        </w:tc>
        <w:tc>
          <w:tcPr>
            <w:tcW w:w="2500" w:type="dxa"/>
            <w:vAlign w:val="center"/>
          </w:tcPr>
          <w:p>
            <w:pPr>
              <w:spacing w:before="0" w:after="0"/>
              <w:jc w:val="right"/>
            </w:pPr>
            <w:r>
              <w:rPr>
                <w:sz w:val="18"/>
                <w:szCs w:val="18"/>
              </w:rPr>
              <w:t xml:space="preserve">13,865</w:t>
            </w:r>
          </w:p>
        </w:tc>
        <w:tc>
          <w:tcPr>
            <w:tcW w:w="2500" w:type="dxa"/>
            <w:vAlign w:val="center"/>
          </w:tcPr>
          <w:p>
            <w:pPr>
              <w:spacing w:before="0" w:after="0"/>
              <w:jc w:val="right"/>
            </w:pPr>
            <w:r>
              <w:rPr>
                <w:sz w:val="18"/>
                <w:szCs w:val="18"/>
              </w:rPr>
              <w:t xml:space="preserve">14,761</w:t>
            </w:r>
          </w:p>
        </w:tc>
      </w:tr>
      <w:tr>
        <w:tc>
          <w:tcPr>
            <w:tcW w:w="4072" w:type="dxa"/>
            <w:vAlign w:val="center"/>
          </w:tcPr>
          <w:p>
            <w:pPr>
              <w:spacing w:before="0" w:after="0"/>
              <w:jc w:val="left"/>
            </w:pPr>
            <w:r>
              <w:rPr>
                <w:sz w:val="18"/>
                <w:szCs w:val="18"/>
              </w:rPr>
              <w:t xml:space="preserve">Operating lease liabilities, net of current portion</w:t>
            </w:r>
          </w:p>
        </w:tc>
        <w:tc>
          <w:tcPr>
            <w:tcW w:w="2500" w:type="dxa"/>
            <w:vAlign w:val="center"/>
          </w:tcPr>
          <w:p>
            <w:pPr>
              <w:spacing w:before="0" w:after="0"/>
              <w:jc w:val="right"/>
            </w:pPr>
            <w:r>
              <w:rPr>
                <w:sz w:val="18"/>
                <w:szCs w:val="18"/>
              </w:rPr>
              <w:t xml:space="preserve">21,016</w:t>
            </w:r>
          </w:p>
        </w:tc>
        <w:tc>
          <w:tcPr>
            <w:tcW w:w="2500" w:type="dxa"/>
            <w:vAlign w:val="center"/>
          </w:tcPr>
          <w:p>
            <w:pPr>
              <w:spacing w:before="0" w:after="0"/>
              <w:jc w:val="right"/>
            </w:pPr>
            <w:r>
              <w:rPr>
                <w:sz w:val="18"/>
                <w:szCs w:val="18"/>
              </w:rPr>
              <w:t xml:space="preserve">24,445</w:t>
            </w:r>
          </w:p>
        </w:tc>
      </w:tr>
      <w:tr>
        <w:tc>
          <w:tcPr>
            <w:tcW w:w="4072" w:type="dxa"/>
            <w:vAlign w:val="center"/>
          </w:tcPr>
          <w:p>
            <w:pPr>
              <w:spacing w:before="0" w:after="0"/>
              <w:jc w:val="left"/>
            </w:pPr>
            <w:r>
              <w:rPr>
                <w:sz w:val="18"/>
                <w:szCs w:val="18"/>
              </w:rPr>
              <w:t xml:space="preserve">Other long-term liabilities</w:t>
            </w:r>
          </w:p>
        </w:tc>
        <w:tc>
          <w:tcPr>
            <w:tcW w:w="2500" w:type="dxa"/>
            <w:vAlign w:val="center"/>
          </w:tcPr>
          <w:p>
            <w:pPr>
              <w:spacing w:before="0" w:after="0"/>
              <w:jc w:val="right"/>
            </w:pPr>
            <w:r>
              <w:rPr>
                <w:sz w:val="18"/>
                <w:szCs w:val="18"/>
              </w:rPr>
              <w:t xml:space="preserve">25,109</w:t>
            </w:r>
          </w:p>
        </w:tc>
        <w:tc>
          <w:tcPr>
            <w:tcW w:w="2500" w:type="dxa"/>
            <w:vAlign w:val="center"/>
          </w:tcPr>
          <w:p>
            <w:pPr>
              <w:spacing w:before="0" w:after="0"/>
              <w:jc w:val="right"/>
            </w:pPr>
            <w:r>
              <w:rPr>
                <w:sz w:val="18"/>
                <w:szCs w:val="18"/>
              </w:rPr>
              <w:t xml:space="preserve">27,803</w:t>
            </w:r>
          </w:p>
        </w:tc>
      </w:tr>
      <w:tr>
        <w:tc>
          <w:tcPr>
            <w:tcW w:w="4072" w:type="dxa"/>
            <w:vAlign w:val="center"/>
          </w:tcPr>
          <w:p>
            <w:pPr>
              <w:spacing w:before="0" w:after="0"/>
              <w:jc w:val="left"/>
            </w:pPr>
            <w:r>
              <w:rPr>
                <w:sz w:val="18"/>
                <w:szCs w:val="18"/>
              </w:rPr>
              <w:t xml:space="preserve">Inventories</w:t>
            </w:r>
          </w:p>
        </w:tc>
        <w:tc>
          <w:tcPr>
            <w:tcW w:w="2500" w:type="dxa"/>
            <w:vAlign w:val="center"/>
          </w:tcPr>
          <w:p>
            <w:pPr>
              <w:spacing w:before="0" w:after="0"/>
              <w:jc w:val="right"/>
            </w:pPr>
            <w:r>
              <w:rPr>
                <w:sz w:val="18"/>
                <w:szCs w:val="18"/>
              </w:rPr>
              <w:t xml:space="preserve">18,190</w:t>
            </w:r>
          </w:p>
        </w:tc>
        <w:tc>
          <w:tcPr>
            <w:tcW w:w="2500" w:type="dxa"/>
            <w:vAlign w:val="center"/>
          </w:tcPr>
          <w:p>
            <w:pPr>
              <w:spacing w:before="0" w:after="0"/>
              <w:jc w:val="right"/>
            </w:pPr>
            <w:r>
              <w:rPr>
                <w:sz w:val="18"/>
                <w:szCs w:val="18"/>
              </w:rPr>
              <w:t xml:space="preserve">19,017</w:t>
            </w:r>
          </w:p>
        </w:tc>
      </w:tr>
      <w:tr>
        <w:tc>
          <w:tcPr>
            <w:tcW w:w="4072" w:type="dxa"/>
            <w:vAlign w:val="center"/>
          </w:tcPr>
          <w:p>
            <w:pPr>
              <w:spacing w:before="0" w:after="0"/>
              <w:jc w:val="left"/>
            </w:pPr>
            <w:r>
              <w:rPr>
                <w:sz w:val="18"/>
                <w:szCs w:val="18"/>
              </w:rPr>
              <w:t xml:space="preserve">Security deposits</w:t>
            </w:r>
          </w:p>
        </w:tc>
        <w:tc>
          <w:tcPr>
            <w:tcW w:w="2500" w:type="dxa"/>
            <w:vAlign w:val="center"/>
          </w:tcPr>
          <w:p>
            <w:pPr>
              <w:spacing w:before="0" w:after="0"/>
              <w:jc w:val="right"/>
            </w:pPr>
            <w:r>
              <w:rPr>
                <w:sz w:val="18"/>
                <w:szCs w:val="18"/>
              </w:rPr>
              <w:t xml:space="preserve">20,735</w:t>
            </w:r>
          </w:p>
        </w:tc>
        <w:tc>
          <w:tcPr>
            <w:tcW w:w="2500" w:type="dxa"/>
            <w:vAlign w:val="center"/>
          </w:tcPr>
          <w:p>
            <w:pPr>
              <w:spacing w:before="0" w:after="0"/>
              <w:jc w:val="right"/>
            </w:pPr>
            <w:r>
              <w:rPr>
                <w:sz w:val="18"/>
                <w:szCs w:val="18"/>
              </w:rPr>
              <w:t xml:space="preserve">22,538</w:t>
            </w:r>
          </w:p>
        </w:tc>
      </w:tr>
    </w:tbl>
    <w:p>
      <w:pPr/>
    </w:p>
    <w:p>
      <w:pPr>
        <w:keepNext/>
      </w:pPr>
      <w:r>
        <w:rPr>
          <w:b/>
        </w:rPr>
        <w:t xml:space="preserve">6. Property and equipment</w:t>
      </w:r>
    </w:p>
    <w:p>
      <w:pPr>
        <w:ind w:left="0" w:firstLine="360"/>
      </w:pPr>
      <w:r>
        <w:t xml:space="preserve">Net cash provided by operating activities was $87,552 thousand, mainly reflecting net income and depreciation and amortization. Weather affects customer traffic: cold drinks sell best in summer, while hot beverages and whole beans sell best from October through February. Baristas complete a four-week training course before working on the floor, and store managers complete a further course at the Northfield training center. Store operating expenses, which consist mainly of wages, benefits and supplies, were 31.0% of revenue, compared with 31.9% in the prior year. Nimbus Coffee buys 49.7% of its green coffee by volume from farms certified under recognized sustainability standards. Net cash used in investing activities was $2,112 thousand, primarily for purchases of property and equipment.</w:t>
      </w:r>
    </w:p>
    <w:p>
      <w:pPr>
        <w:ind w:left="0" w:firstLine="360"/>
      </w:pPr>
      <w:r>
        <w:t xml:space="preserve">The Group leases all of its store premises under operating leases with initial terms of ten years, most of which include options to renew. Inventories consist of green coffee, roasted coffee, packaging, food and merchandise, and are stated at the lower of cost and net realizable value. New stores generally reach the sales level of a mature store within eighteen to twenty-four months of opening. Capital expenditures totaled $18,563 thousand and consisted mainly of the build-out of new stores, the remodeling of existing stores and a second roasting line at the Northfield roastery.</w:t>
      </w:r>
    </w:p>
    <w:p>
      <w:pPr>
        <w:keepNext/>
      </w:pPr>
      <w:r>
        <w:rPr>
          <w:b/>
        </w:rPr>
        <w:t xml:space="preserve">7. Goodwill and other intangible assets</w:t>
      </w:r>
    </w:p>
    <w:p>
      <w:pPr>
        <w:ind w:left="0" w:firstLine="360"/>
      </w:pPr>
      <w:r>
        <w:t xml:space="preserve">Orders placed through the online store, including orders for pickup in store and home delivery of whole beans, accounted for 55.6% of revenue in the Beverages and Beans categories. The Company depends on a small number of dairy and bakery suppliers in each region, and an interruption in their deliveries could affect sales at the stores they serve. The ability of the Company to open new stores depends on finding suitable sites on acceptable lease terms and on hiring and training store managers. Merchandise sales, consisting of mugs, brewing equipment and seasonal gift sets, are highest in the fourth quarter of each year. Merchandise sales, consisting of mugs, brewing equipment and seasonal gift sets, are highest in the fourth quarter of each year.</w:t>
      </w:r>
    </w:p>
    <w:p>
      <w:pPr>
        <w:ind w:left="0" w:firstLine="360"/>
      </w:pPr>
      <w:r>
        <w:t xml:space="preserve">Capital expenditures totaled $7,220 thousand and consisted mainly of the build-out of new stores, the remodeling of existing stores and a second roasting line at the Northfield roastery. Revenue from stores in the Eastbay region increased 2.4% compared with the prior year, while its share of total revenue was little changed. Net cash used in financing activities was $6,528 thousand, reflecting repayments of the term loan and dividends paid. Revenue from the Beverages category increased 16.4% compared with the prior year, while its share of total revenue was little changed.</w:t>
      </w:r>
    </w:p>
    <w:tbl>
      <w:tblPr>
        <w:tblW w:w="907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72" w:type="dxa"/>
          <w:right w:w="72" w:type="dxa"/>
        </w:tblCellMar>
      </w:tblPr>
      <w:tblGrid>
        <w:gridCol w:w="4072"/>
        <w:gridCol w:w="2500"/>
        <w:gridCol w:w="2500"/>
      </w:tblGrid>
      <w:tr>
        <w:trPr>
          <w:tblHeader/>
        </w:trPr>
        <w:tc>
          <w:tcPr>
            <w:tcW w:w="4072" w:type="dxa"/>
            <w:shd w:val="clear" w:color="auto" w:fill="DDEBF7"/>
            <w:vAlign w:val="center"/>
          </w:tcPr>
          <w:p>
            <w:pPr>
              <w:spacing w:before="0" w:after="0"/>
              <w:jc w:val="center"/>
            </w:pPr>
            <w:r>
              <w:rPr>
                <w:b/>
                <w:sz w:val="18"/>
                <w:szCs w:val="18"/>
              </w:rPr>
              <w:t xml:space="preserve">Item</w:t>
            </w:r>
          </w:p>
        </w:tc>
        <w:tc>
          <w:tcPr>
            <w:tcW w:w="2500" w:type="dxa"/>
            <w:shd w:val="clear" w:color="auto" w:fill="DDEBF7"/>
            <w:vAlign w:val="center"/>
          </w:tcPr>
          <w:p>
            <w:pPr>
              <w:spacing w:before="0" w:after="0"/>
              <w:jc w:val="center"/>
            </w:pPr>
            <w:r>
              <w:rPr>
                <w:b/>
                <w:sz w:val="18"/>
                <w:szCs w:val="18"/>
              </w:rPr>
              <w:t xml:space="preserve">H1 2025</w:t>
            </w:r>
          </w:p>
        </w:tc>
        <w:tc>
          <w:tcPr>
            <w:tcW w:w="2500" w:type="dxa"/>
            <w:shd w:val="clear" w:color="auto" w:fill="DDEBF7"/>
            <w:vAlign w:val="center"/>
          </w:tcPr>
          <w:p>
            <w:pPr>
              <w:spacing w:before="0" w:after="0"/>
              <w:jc w:val="center"/>
            </w:pPr>
            <w:r>
              <w:rPr>
                <w:b/>
                <w:sz w:val="18"/>
                <w:szCs w:val="18"/>
              </w:rPr>
              <w:t xml:space="preserve">H1 2026</w:t>
            </w:r>
          </w:p>
        </w:tc>
      </w:tr>
      <w:tr>
        <w:tc>
          <w:tcPr>
            <w:tcW w:w="4072" w:type="dxa"/>
            <w:vAlign w:val="center"/>
          </w:tcPr>
          <w:p>
            <w:pPr>
              <w:spacing w:before="0" w:after="0"/>
              <w:jc w:val="left"/>
            </w:pPr>
            <w:r>
              <w:rPr>
                <w:sz w:val="18"/>
                <w:szCs w:val="18"/>
              </w:rPr>
              <w:t xml:space="preserve">Inventories</w:t>
            </w:r>
          </w:p>
        </w:tc>
        <w:tc>
          <w:tcPr>
            <w:tcW w:w="2500" w:type="dxa"/>
            <w:vAlign w:val="center"/>
          </w:tcPr>
          <w:p>
            <w:pPr>
              <w:spacing w:before="0" w:after="0"/>
              <w:jc w:val="right"/>
            </w:pPr>
            <w:r>
              <w:rPr>
                <w:sz w:val="18"/>
                <w:szCs w:val="18"/>
              </w:rPr>
              <w:t xml:space="preserve">7,373</w:t>
            </w:r>
          </w:p>
        </w:tc>
        <w:tc>
          <w:tcPr>
            <w:tcW w:w="2500" w:type="dxa"/>
            <w:vAlign w:val="center"/>
          </w:tcPr>
          <w:p>
            <w:pPr>
              <w:spacing w:before="0" w:after="0"/>
              <w:jc w:val="right"/>
            </w:pPr>
            <w:r>
              <w:rPr>
                <w:sz w:val="18"/>
                <w:szCs w:val="18"/>
              </w:rPr>
              <w:t xml:space="preserve">7,467</w:t>
            </w:r>
          </w:p>
        </w:tc>
      </w:tr>
      <w:tr>
        <w:tc>
          <w:tcPr>
            <w:tcW w:w="4072" w:type="dxa"/>
            <w:vAlign w:val="center"/>
          </w:tcPr>
          <w:p>
            <w:pPr>
              <w:spacing w:before="0" w:after="0"/>
              <w:jc w:val="left"/>
            </w:pPr>
            <w:r>
              <w:rPr>
                <w:sz w:val="18"/>
                <w:szCs w:val="18"/>
              </w:rPr>
              <w:t xml:space="preserve">Income taxes payable</w:t>
            </w:r>
          </w:p>
        </w:tc>
        <w:tc>
          <w:tcPr>
            <w:tcW w:w="2500" w:type="dxa"/>
            <w:vAlign w:val="center"/>
          </w:tcPr>
          <w:p>
            <w:pPr>
              <w:spacing w:before="0" w:after="0"/>
              <w:jc w:val="right"/>
            </w:pPr>
            <w:r>
              <w:rPr>
                <w:sz w:val="18"/>
                <w:szCs w:val="18"/>
              </w:rPr>
              <w:t xml:space="preserve">10,621</w:t>
            </w:r>
          </w:p>
        </w:tc>
        <w:tc>
          <w:tcPr>
            <w:tcW w:w="2500" w:type="dxa"/>
            <w:vAlign w:val="center"/>
          </w:tcPr>
          <w:p>
            <w:pPr>
              <w:spacing w:before="0" w:after="0"/>
              <w:jc w:val="right"/>
            </w:pPr>
            <w:r>
              <w:rPr>
                <w:sz w:val="18"/>
                <w:szCs w:val="18"/>
              </w:rPr>
              <w:t xml:space="preserve">11,783</w:t>
            </w:r>
          </w:p>
        </w:tc>
      </w:tr>
      <w:tr>
        <w:tc>
          <w:tcPr>
            <w:tcW w:w="4072" w:type="dxa"/>
            <w:vAlign w:val="center"/>
          </w:tcPr>
          <w:p>
            <w:pPr>
              <w:spacing w:before="0" w:after="0"/>
              <w:jc w:val="left"/>
            </w:pPr>
            <w:r>
              <w:rPr>
                <w:sz w:val="18"/>
                <w:szCs w:val="18"/>
              </w:rPr>
              <w:t xml:space="preserve">Other long-term assets</w:t>
            </w:r>
          </w:p>
        </w:tc>
        <w:tc>
          <w:tcPr>
            <w:tcW w:w="2500" w:type="dxa"/>
            <w:vAlign w:val="center"/>
          </w:tcPr>
          <w:p>
            <w:pPr>
              <w:spacing w:before="0" w:after="0"/>
              <w:jc w:val="right"/>
            </w:pPr>
            <w:r>
              <w:rPr>
                <w:sz w:val="18"/>
                <w:szCs w:val="18"/>
              </w:rPr>
              <w:t xml:space="preserve">31,268</w:t>
            </w:r>
          </w:p>
        </w:tc>
        <w:tc>
          <w:tcPr>
            <w:tcW w:w="2500" w:type="dxa"/>
            <w:vAlign w:val="center"/>
          </w:tcPr>
          <w:p>
            <w:pPr>
              <w:spacing w:before="0" w:after="0"/>
              <w:jc w:val="right"/>
            </w:pPr>
            <w:r>
              <w:rPr>
                <w:sz w:val="18"/>
                <w:szCs w:val="18"/>
              </w:rPr>
              <w:t xml:space="preserve">36,691</w:t>
            </w:r>
          </w:p>
        </w:tc>
      </w:tr>
      <w:tr>
        <w:tc>
          <w:tcPr>
            <w:tcW w:w="4072" w:type="dxa"/>
            <w:vAlign w:val="center"/>
          </w:tcPr>
          <w:p>
            <w:pPr>
              <w:spacing w:before="0" w:after="0"/>
              <w:jc w:val="left"/>
            </w:pPr>
            <w:r>
              <w:rPr>
                <w:sz w:val="18"/>
                <w:szCs w:val="18"/>
              </w:rPr>
              <w:t xml:space="preserve">Deferred income taxes</w:t>
            </w:r>
          </w:p>
        </w:tc>
        <w:tc>
          <w:tcPr>
            <w:tcW w:w="2500" w:type="dxa"/>
            <w:vAlign w:val="center"/>
          </w:tcPr>
          <w:p>
            <w:pPr>
              <w:spacing w:before="0" w:after="0"/>
              <w:jc w:val="right"/>
            </w:pPr>
            <w:r>
              <w:rPr>
                <w:sz w:val="18"/>
                <w:szCs w:val="18"/>
              </w:rPr>
              <w:t xml:space="preserve">8,915</w:t>
            </w:r>
          </w:p>
        </w:tc>
        <w:tc>
          <w:tcPr>
            <w:tcW w:w="2500" w:type="dxa"/>
            <w:vAlign w:val="center"/>
          </w:tcPr>
          <w:p>
            <w:pPr>
              <w:spacing w:before="0" w:after="0"/>
              <w:jc w:val="right"/>
            </w:pPr>
            <w:r>
              <w:rPr>
                <w:sz w:val="18"/>
                <w:szCs w:val="18"/>
              </w:rPr>
              <w:t xml:space="preserve">9,309</w:t>
            </w:r>
          </w:p>
        </w:tc>
      </w:tr>
      <w:tr>
        <w:tc>
          <w:tcPr>
            <w:tcW w:w="4072" w:type="dxa"/>
            <w:vAlign w:val="center"/>
          </w:tcPr>
          <w:p>
            <w:pPr>
              <w:spacing w:before="0" w:after="0"/>
              <w:jc w:val="left"/>
            </w:pPr>
            <w:r>
              <w:rPr>
                <w:sz w:val="18"/>
                <w:szCs w:val="18"/>
              </w:rPr>
              <w:t xml:space="preserve">Operating lease right-of-use assets</w:t>
            </w:r>
          </w:p>
        </w:tc>
        <w:tc>
          <w:tcPr>
            <w:tcW w:w="2500" w:type="dxa"/>
            <w:vAlign w:val="center"/>
          </w:tcPr>
          <w:p>
            <w:pPr>
              <w:spacing w:before="0" w:after="0"/>
              <w:jc w:val="right"/>
            </w:pPr>
            <w:r>
              <w:rPr>
                <w:sz w:val="18"/>
                <w:szCs w:val="18"/>
              </w:rPr>
              <w:t xml:space="preserve">11,323</w:t>
            </w:r>
          </w:p>
        </w:tc>
        <w:tc>
          <w:tcPr>
            <w:tcW w:w="2500" w:type="dxa"/>
            <w:vAlign w:val="center"/>
          </w:tcPr>
          <w:p>
            <w:pPr>
              <w:spacing w:before="0" w:after="0"/>
              <w:jc w:val="right"/>
            </w:pPr>
            <w:r>
              <w:rPr>
                <w:sz w:val="18"/>
                <w:szCs w:val="18"/>
              </w:rPr>
              <w:t xml:space="preserve">13,406</w:t>
            </w:r>
          </w:p>
        </w:tc>
      </w:tr>
      <w:tr>
        <w:tc>
          <w:tcPr>
            <w:tcW w:w="4072" w:type="dxa"/>
            <w:vAlign w:val="center"/>
          </w:tcPr>
          <w:p>
            <w:pPr>
              <w:spacing w:before="0" w:after="0"/>
              <w:jc w:val="left"/>
            </w:pPr>
            <w:r>
              <w:rPr>
                <w:sz w:val="18"/>
                <w:szCs w:val="18"/>
              </w:rPr>
              <w:t xml:space="preserve">Accounts receivable, net</w:t>
            </w:r>
          </w:p>
        </w:tc>
        <w:tc>
          <w:tcPr>
            <w:tcW w:w="2500" w:type="dxa"/>
            <w:vAlign w:val="center"/>
          </w:tcPr>
          <w:p>
            <w:pPr>
              <w:spacing w:before="0" w:after="0"/>
              <w:jc w:val="right"/>
            </w:pPr>
            <w:r>
              <w:rPr>
                <w:sz w:val="18"/>
                <w:szCs w:val="18"/>
              </w:rPr>
              <w:t xml:space="preserve">18,595</w:t>
            </w:r>
          </w:p>
        </w:tc>
        <w:tc>
          <w:tcPr>
            <w:tcW w:w="2500" w:type="dxa"/>
            <w:vAlign w:val="center"/>
          </w:tcPr>
          <w:p>
            <w:pPr>
              <w:spacing w:before="0" w:after="0"/>
              <w:jc w:val="right"/>
            </w:pPr>
            <w:r>
              <w:rPr>
                <w:sz w:val="18"/>
                <w:szCs w:val="18"/>
              </w:rPr>
              <w:t xml:space="preserve">19,093</w:t>
            </w:r>
          </w:p>
        </w:tc>
      </w:tr>
    </w:tbl>
    <w:p>
      <w:pPr/>
    </w:p>
    <w:p>
      <w:pPr>
        <w:keepNext/>
      </w:pPr>
      <w:r>
        <w:rPr>
          <w:b/>
        </w:rPr>
        <w:t xml:space="preserve">8. Debt</w:t>
      </w:r>
    </w:p>
    <w:p>
      <w:pPr>
        <w:ind w:left="0" w:firstLine="360"/>
      </w:pPr>
      <w:r>
        <w:t xml:space="preserve">Energy use per store decreased 4.1% compared with the prior year, as older espresso machines and refrigerators were replaced with more efficient models. The ability of the Company to open new stores depends on finding suitable sites on acceptable lease terms and on hiring and training store managers. The ability of the Company to open new stores depends on finding suitable sites on acceptable lease terms and on hiring and training store managers. Comparable store sales increased 6.4%, driven by a 3.7% increase in average ticket and a 2.3% increase in transactions.</w:t>
      </w:r>
    </w:p>
    <w:p>
      <w:pPr>
        <w:ind w:left="0" w:firstLine="360"/>
      </w:pPr>
      <w:r>
        <w:t xml:space="preserve">Wholesale revenue comes from sales of roasted beans to restaurants, hotels and grocery stores in the regions where Nimbus Coffee operates. Net cash used in investing activities was $7,735 thousand, primarily for purchases of property and equipment. Comparable store sales increased 4.3%, driven by a 1.8% increase in average ticket and a 4.0% increase in transactions. Revenue from loyalty rewards is deferred until the reward is redeemed or expires. The loyalty program had 140 thousand active members at the end of the fiscal year, and purchases by members accounted for 30.6% of store revenue. The Company depends on a small number of dairy and bakery suppliers in each region, and an interruption in their deliveries could affect sales at the stores they serve.</w:t>
      </w:r>
    </w:p>
    <w:p>
      <w:pPr>
        <w:keepNext/>
      </w:pPr>
      <w:r>
        <w:rPr>
          <w:b/>
        </w:rPr>
        <w:t xml:space="preserve">9. Stock-based compensation</w:t>
      </w:r>
    </w:p>
    <w:p>
      <w:pPr>
        <w:ind w:left="0" w:firstLine="360"/>
      </w:pPr>
      <w:r>
        <w:t xml:space="preserve">The roastery produced 183 thousand pounds of roasted coffee during the fiscal year, of which 56.8% was sold through company-operated stores. The Group leases all of its store premises under operating leases with initial terms of ten years, most of which include options to renew. Total assets at the end of the fiscal year were $134,445 thousand, an increase of $9,428 thousand from the end of the prior fiscal year.</w:t>
      </w:r>
    </w:p>
    <w:p>
      <w:pPr>
        <w:ind w:left="0" w:firstLine="360"/>
      </w:pPr>
      <w:r>
        <w:t xml:space="preserve">The Group operates specialty coffee shops under the Nimbus Coffee name and roasts all of the coffee it serves at its own roastery in Northfield. At the end of the fiscal year, the Group operated 184 company-operated stores in eight regions: Northfield, Eastbay, Southport, Westridge, Lakeside, Hillcrest, Riverside and Harborview. Baristas complete a four-week training course before working on the floor, and store managers complete a further course at the Northfield training center. Food safety incidents, whether or not they occur at our stores, could harm the reputation of the Nimbus Coffee brand and reduce customer traffic. The Group intends to pay dividends out of retained earnings while keeping sufficient funds to finance the opening of new stores.</w:t>
      </w:r>
    </w:p>
    <w:p>
      <w:pPr>
        <w:ind w:left="0" w:firstLine="360"/>
      </w:pPr>
      <w:r>
        <w:t xml:space="preserve">Weather affects customer traffic: cold drinks sell best in summer, while hot beverages and whole beans sell best from October through February. Labor costs are affected by minimum wage laws in the regions where the stores are located, and further increases could reduce store margins. Net cash used in investing activities was $19,270 thousand, primarily for purchases of property and equipment. Nimbus Coffee intends to pay dividends out of retained earnings while keeping sufficient funds to finance the opening of new stores. Capital expenditures totaled $15,769 thousand and consisted mainly of the build-out of new stores, the remodeling of existing stores and a second roasting line at the Northfield roastery. The Company intends to pay dividends out of retained earnings while keeping sufficient funds to finance the opening of new stores.</w:t>
      </w:r>
    </w:p>
    <w:tbl>
      <w:tblPr>
        <w:tblW w:w="907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72" w:type="dxa"/>
          <w:right w:w="72" w:type="dxa"/>
        </w:tblCellMar>
      </w:tblPr>
      <w:tblGrid>
        <w:gridCol w:w="4072"/>
        <w:gridCol w:w="2500"/>
        <w:gridCol w:w="2500"/>
      </w:tblGrid>
      <w:tr>
        <w:trPr>
          <w:tblHeader/>
        </w:trPr>
        <w:tc>
          <w:tcPr>
            <w:tcW w:w="4072" w:type="dxa"/>
            <w:shd w:val="clear" w:color="auto" w:fill="DDEBF7"/>
            <w:vAlign w:val="center"/>
          </w:tcPr>
          <w:p>
            <w:pPr>
              <w:spacing w:before="0" w:after="0"/>
              <w:jc w:val="center"/>
            </w:pPr>
            <w:r>
              <w:rPr>
                <w:b/>
                <w:sz w:val="18"/>
                <w:szCs w:val="18"/>
              </w:rPr>
              <w:t xml:space="preserve">Item</w:t>
            </w:r>
          </w:p>
        </w:tc>
        <w:tc>
          <w:tcPr>
            <w:tcW w:w="2500" w:type="dxa"/>
            <w:shd w:val="clear" w:color="auto" w:fill="DDEBF7"/>
            <w:vAlign w:val="center"/>
          </w:tcPr>
          <w:p>
            <w:pPr>
              <w:spacing w:before="0" w:after="0"/>
              <w:jc w:val="center"/>
            </w:pPr>
            <w:r>
              <w:rPr>
                <w:b/>
                <w:sz w:val="18"/>
                <w:szCs w:val="18"/>
              </w:rPr>
              <w:t xml:space="preserve">H1 2025</w:t>
            </w:r>
          </w:p>
        </w:tc>
        <w:tc>
          <w:tcPr>
            <w:tcW w:w="2500" w:type="dxa"/>
            <w:shd w:val="clear" w:color="auto" w:fill="DDEBF7"/>
            <w:vAlign w:val="center"/>
          </w:tcPr>
          <w:p>
            <w:pPr>
              <w:spacing w:before="0" w:after="0"/>
              <w:jc w:val="center"/>
            </w:pPr>
            <w:r>
              <w:rPr>
                <w:b/>
                <w:sz w:val="18"/>
                <w:szCs w:val="18"/>
              </w:rPr>
              <w:t xml:space="preserve">H1 2026</w:t>
            </w:r>
          </w:p>
        </w:tc>
      </w:tr>
      <w:tr>
        <w:tc>
          <w:tcPr>
            <w:tcW w:w="4072" w:type="dxa"/>
            <w:vAlign w:val="center"/>
          </w:tcPr>
          <w:p>
            <w:pPr>
              <w:spacing w:before="0" w:after="0"/>
              <w:jc w:val="left"/>
            </w:pPr>
            <w:r>
              <w:rPr>
                <w:sz w:val="18"/>
                <w:szCs w:val="18"/>
              </w:rPr>
              <w:t xml:space="preserve">Inventories</w:t>
            </w:r>
          </w:p>
        </w:tc>
        <w:tc>
          <w:tcPr>
            <w:tcW w:w="2500" w:type="dxa"/>
            <w:vAlign w:val="center"/>
          </w:tcPr>
          <w:p>
            <w:pPr>
              <w:spacing w:before="0" w:after="0"/>
              <w:jc w:val="right"/>
            </w:pPr>
            <w:r>
              <w:rPr>
                <w:sz w:val="18"/>
                <w:szCs w:val="18"/>
              </w:rPr>
              <w:t xml:space="preserve">18,317</w:t>
            </w:r>
          </w:p>
        </w:tc>
        <w:tc>
          <w:tcPr>
            <w:tcW w:w="2500" w:type="dxa"/>
            <w:vAlign w:val="center"/>
          </w:tcPr>
          <w:p>
            <w:pPr>
              <w:spacing w:before="0" w:after="0"/>
              <w:jc w:val="right"/>
            </w:pPr>
            <w:r>
              <w:rPr>
                <w:sz w:val="18"/>
                <w:szCs w:val="18"/>
              </w:rPr>
              <w:t xml:space="preserve">20,759</w:t>
            </w:r>
          </w:p>
        </w:tc>
      </w:tr>
      <w:tr>
        <w:tc>
          <w:tcPr>
            <w:tcW w:w="4072" w:type="dxa"/>
            <w:vAlign w:val="center"/>
          </w:tcPr>
          <w:p>
            <w:pPr>
              <w:spacing w:before="0" w:after="0"/>
              <w:jc w:val="left"/>
            </w:pPr>
            <w:r>
              <w:rPr>
                <w:sz w:val="18"/>
                <w:szCs w:val="18"/>
              </w:rPr>
              <w:t xml:space="preserve">Operating lease liabilities, net of current portion</w:t>
            </w:r>
          </w:p>
        </w:tc>
        <w:tc>
          <w:tcPr>
            <w:tcW w:w="2500" w:type="dxa"/>
            <w:vAlign w:val="center"/>
          </w:tcPr>
          <w:p>
            <w:pPr>
              <w:spacing w:before="0" w:after="0"/>
              <w:jc w:val="right"/>
            </w:pPr>
            <w:r>
              <w:rPr>
                <w:sz w:val="18"/>
                <w:szCs w:val="18"/>
              </w:rPr>
              <w:t xml:space="preserve">24,267</w:t>
            </w:r>
          </w:p>
        </w:tc>
        <w:tc>
          <w:tcPr>
            <w:tcW w:w="2500" w:type="dxa"/>
            <w:vAlign w:val="center"/>
          </w:tcPr>
          <w:p>
            <w:pPr>
              <w:spacing w:before="0" w:after="0"/>
              <w:jc w:val="right"/>
            </w:pPr>
            <w:r>
              <w:rPr>
                <w:sz w:val="18"/>
                <w:szCs w:val="18"/>
              </w:rPr>
              <w:t xml:space="preserve">27,170</w:t>
            </w:r>
          </w:p>
        </w:tc>
      </w:tr>
      <w:tr>
        <w:tc>
          <w:tcPr>
            <w:tcW w:w="4072" w:type="dxa"/>
            <w:vAlign w:val="center"/>
          </w:tcPr>
          <w:p>
            <w:pPr>
              <w:spacing w:before="0" w:after="0"/>
              <w:jc w:val="left"/>
            </w:pPr>
            <w:r>
              <w:rPr>
                <w:sz w:val="18"/>
                <w:szCs w:val="18"/>
              </w:rPr>
              <w:t xml:space="preserve">Other intangible assets, net</w:t>
            </w:r>
          </w:p>
        </w:tc>
        <w:tc>
          <w:tcPr>
            <w:tcW w:w="2500" w:type="dxa"/>
            <w:vAlign w:val="center"/>
          </w:tcPr>
          <w:p>
            <w:pPr>
              <w:spacing w:before="0" w:after="0"/>
              <w:jc w:val="right"/>
            </w:pPr>
            <w:r>
              <w:rPr>
                <w:sz w:val="18"/>
                <w:szCs w:val="18"/>
              </w:rPr>
              <w:t xml:space="preserve">5,169</w:t>
            </w:r>
          </w:p>
        </w:tc>
        <w:tc>
          <w:tcPr>
            <w:tcW w:w="2500" w:type="dxa"/>
            <w:vAlign w:val="center"/>
          </w:tcPr>
          <w:p>
            <w:pPr>
              <w:spacing w:before="0" w:after="0"/>
              <w:jc w:val="right"/>
            </w:pPr>
            <w:r>
              <w:rPr>
                <w:sz w:val="18"/>
                <w:szCs w:val="18"/>
              </w:rPr>
              <w:t xml:space="preserve">5,645</w:t>
            </w:r>
          </w:p>
        </w:tc>
      </w:tr>
      <w:tr>
        <w:tc>
          <w:tcPr>
            <w:tcW w:w="4072" w:type="dxa"/>
            <w:vAlign w:val="center"/>
          </w:tcPr>
          <w:p>
            <w:pPr>
              <w:spacing w:before="0" w:after="0"/>
              <w:jc w:val="left"/>
            </w:pPr>
            <w:r>
              <w:rPr>
                <w:sz w:val="18"/>
                <w:szCs w:val="18"/>
              </w:rPr>
              <w:t xml:space="preserve">Security deposits</w:t>
            </w:r>
          </w:p>
        </w:tc>
        <w:tc>
          <w:tcPr>
            <w:tcW w:w="2500" w:type="dxa"/>
            <w:vAlign w:val="center"/>
          </w:tcPr>
          <w:p>
            <w:pPr>
              <w:spacing w:before="0" w:after="0"/>
              <w:jc w:val="right"/>
            </w:pPr>
            <w:r>
              <w:rPr>
                <w:sz w:val="18"/>
                <w:szCs w:val="18"/>
              </w:rPr>
              <w:t xml:space="preserve">14,785</w:t>
            </w:r>
          </w:p>
        </w:tc>
        <w:tc>
          <w:tcPr>
            <w:tcW w:w="2500" w:type="dxa"/>
            <w:vAlign w:val="center"/>
          </w:tcPr>
          <w:p>
            <w:pPr>
              <w:spacing w:before="0" w:after="0"/>
              <w:jc w:val="right"/>
            </w:pPr>
            <w:r>
              <w:rPr>
                <w:sz w:val="18"/>
                <w:szCs w:val="18"/>
              </w:rPr>
              <w:t xml:space="preserve">15,395</w:t>
            </w:r>
          </w:p>
        </w:tc>
      </w:tr>
      <w:tr>
        <w:tc>
          <w:tcPr>
            <w:tcW w:w="4072" w:type="dxa"/>
            <w:vAlign w:val="center"/>
          </w:tcPr>
          <w:p>
            <w:pPr>
              <w:spacing w:before="0" w:after="0"/>
              <w:jc w:val="left"/>
            </w:pPr>
            <w:r>
              <w:rPr>
                <w:sz w:val="18"/>
                <w:szCs w:val="18"/>
              </w:rPr>
              <w:t xml:space="preserve">Inventories</w:t>
            </w:r>
          </w:p>
        </w:tc>
        <w:tc>
          <w:tcPr>
            <w:tcW w:w="2500" w:type="dxa"/>
            <w:vAlign w:val="center"/>
          </w:tcPr>
          <w:p>
            <w:pPr>
              <w:spacing w:before="0" w:after="0"/>
              <w:jc w:val="right"/>
            </w:pPr>
            <w:r>
              <w:rPr>
                <w:sz w:val="18"/>
                <w:szCs w:val="18"/>
              </w:rPr>
              <w:t xml:space="preserve">33,851</w:t>
            </w:r>
          </w:p>
        </w:tc>
        <w:tc>
          <w:tcPr>
            <w:tcW w:w="2500" w:type="dxa"/>
            <w:vAlign w:val="center"/>
          </w:tcPr>
          <w:p>
            <w:pPr>
              <w:spacing w:before="0" w:after="0"/>
              <w:jc w:val="right"/>
            </w:pPr>
            <w:r>
              <w:rPr>
                <w:sz w:val="18"/>
                <w:szCs w:val="18"/>
              </w:rPr>
              <w:t xml:space="preserve">35,439</w:t>
            </w:r>
          </w:p>
        </w:tc>
      </w:tr>
      <w:tr>
        <w:tc>
          <w:tcPr>
            <w:tcW w:w="4072" w:type="dxa"/>
            <w:vAlign w:val="center"/>
          </w:tcPr>
          <w:p>
            <w:pPr>
              <w:spacing w:before="0" w:after="0"/>
              <w:jc w:val="left"/>
            </w:pPr>
            <w:r>
              <w:rPr>
                <w:sz w:val="18"/>
                <w:szCs w:val="18"/>
              </w:rPr>
              <w:t xml:space="preserve">Prepaid expenses and other current assets</w:t>
            </w:r>
          </w:p>
        </w:tc>
        <w:tc>
          <w:tcPr>
            <w:tcW w:w="2500" w:type="dxa"/>
            <w:vAlign w:val="center"/>
          </w:tcPr>
          <w:p>
            <w:pPr>
              <w:spacing w:before="0" w:after="0"/>
              <w:jc w:val="right"/>
            </w:pPr>
            <w:r>
              <w:rPr>
                <w:sz w:val="18"/>
                <w:szCs w:val="18"/>
              </w:rPr>
              <w:t xml:space="preserve">20,456</w:t>
            </w:r>
          </w:p>
        </w:tc>
        <w:tc>
          <w:tcPr>
            <w:tcW w:w="2500" w:type="dxa"/>
            <w:vAlign w:val="center"/>
          </w:tcPr>
          <w:p>
            <w:pPr>
              <w:spacing w:before="0" w:after="0"/>
              <w:jc w:val="right"/>
            </w:pPr>
            <w:r>
              <w:rPr>
                <w:sz w:val="18"/>
                <w:szCs w:val="18"/>
              </w:rPr>
              <w:t xml:space="preserve">21,541</w:t>
            </w:r>
          </w:p>
        </w:tc>
      </w:tr>
    </w:tbl>
    <w:p>
      <w:pPr/>
    </w:p>
    <w:p>
      <w:pPr>
        <w:keepNext/>
      </w:pPr>
      <w:r>
        <w:rPr>
          <w:b/>
        </w:rPr>
        <w:t xml:space="preserve">10. Income taxes</w:t>
      </w:r>
    </w:p>
    <w:p>
      <w:pPr>
        <w:ind w:left="0" w:firstLine="360"/>
      </w:pPr>
      <w:r>
        <w:t xml:space="preserve">Food safety incidents, whether or not they occur at our stores, could harm the reputation of the Nimbus Coffee brand and reduce customer traffic. Net cash used in investing activities was $13,687 thousand, primarily for purchases of property and equipment. The Group holds no derivatives other than coffee futures contracts used to fix the price of part of its future green coffee purchases. Nimbus Coffee holds no derivatives other than coffee futures contracts used to fix the price of part of its future green coffee purchases.</w:t>
      </w:r>
    </w:p>
    <w:p>
      <w:pPr>
        <w:ind w:left="0" w:firstLine="360"/>
      </w:pPr>
      <w:r>
        <w:t xml:space="preserve">Orders placed through the online store, including orders for pickup in store and home delivery of whole beans, accounted for 57.3% of revenue in the Beverages and Beans categories. The roastery produced 758 thousand pounds of roasted coffee during the fiscal year, of which 37.4% was sold through company-operated stores. Revenue from stores in the Westridge region was $39,819 thousand, or 50.7% of total revenue. These forward-looking statements are based on information available as of the date of this statement, and actual results may differ materially because of many factors. Store operating expenses, which consist mainly of wages, benefits and supplies, were 31.2% of revenue, compared with 28.0% in the prior year.</w:t>
      </w:r>
    </w:p>
    <w:p>
      <w:pPr>
        <w:keepNext/>
      </w:pPr>
      <w:r>
        <w:rPr>
          <w:b/>
        </w:rPr>
        <w:t xml:space="preserve">11. Segment reporting</w:t>
      </w:r>
    </w:p>
    <w:p>
      <w:pPr>
        <w:ind w:left="0" w:firstLine="360"/>
      </w:pPr>
      <w:r>
        <w:t xml:space="preserve">The roastery produced 995 thousand pounds of roasted coffee during the fiscal year, of which 10.7% was sold through company-operated stores. Total revenue for the fiscal year was $202,830 thousand, an increase of 1.5% over the prior year, and operating income was $18,575 thousand, an increase of 8.8%. The Company operates specialty coffee shops under the Nimbus Coffee name and roasts all of the coffee it serves at its own roastery in Northfield. The roastery produced 1,438 thousand pounds of roasted coffee during the fiscal year, of which 41.2% was sold through company-operated stores.</w:t>
      </w:r>
    </w:p>
    <w:p>
      <w:pPr>
        <w:ind w:left="0" w:firstLine="360"/>
      </w:pPr>
      <w:r>
        <w:t xml:space="preserve">The Company operates specialty coffee shops under the Nimbus Coffee name and roasts all of the coffee it serves at its own roastery in Northfield. At the end of the fiscal year, Nimbus Coffee operated 183 company-operated stores in eight regions: Northfield, Eastbay, Southport, Westridge, Lakeside, Hillcrest, Riverside and Harborview. Wholesale revenue comes from sales of roasted beans to restaurants, hotels and grocery stores in the regions where the Group operates.</w:t>
      </w:r>
    </w:p>
    <w:tbl>
      <w:tblPr>
        <w:tblW w:w="907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72" w:type="dxa"/>
          <w:right w:w="72" w:type="dxa"/>
        </w:tblCellMar>
      </w:tblPr>
      <w:tblGrid>
        <w:gridCol w:w="4072"/>
        <w:gridCol w:w="2500"/>
        <w:gridCol w:w="2500"/>
      </w:tblGrid>
      <w:tr>
        <w:trPr>
          <w:tblHeader/>
        </w:trPr>
        <w:tc>
          <w:tcPr>
            <w:tcW w:w="4072" w:type="dxa"/>
            <w:shd w:val="clear" w:color="auto" w:fill="DDEBF7"/>
            <w:vAlign w:val="center"/>
          </w:tcPr>
          <w:p>
            <w:pPr>
              <w:spacing w:before="0" w:after="0"/>
              <w:jc w:val="center"/>
            </w:pPr>
            <w:r>
              <w:rPr>
                <w:b/>
                <w:sz w:val="18"/>
                <w:szCs w:val="18"/>
              </w:rPr>
              <w:t xml:space="preserve">Item</w:t>
            </w:r>
          </w:p>
        </w:tc>
        <w:tc>
          <w:tcPr>
            <w:tcW w:w="2500" w:type="dxa"/>
            <w:shd w:val="clear" w:color="auto" w:fill="DDEBF7"/>
            <w:vAlign w:val="center"/>
          </w:tcPr>
          <w:p>
            <w:pPr>
              <w:spacing w:before="0" w:after="0"/>
              <w:jc w:val="center"/>
            </w:pPr>
            <w:r>
              <w:rPr>
                <w:b/>
                <w:sz w:val="18"/>
                <w:szCs w:val="18"/>
              </w:rPr>
              <w:t xml:space="preserve">H1 2025</w:t>
            </w:r>
          </w:p>
        </w:tc>
        <w:tc>
          <w:tcPr>
            <w:tcW w:w="2500" w:type="dxa"/>
            <w:shd w:val="clear" w:color="auto" w:fill="DDEBF7"/>
            <w:vAlign w:val="center"/>
          </w:tcPr>
          <w:p>
            <w:pPr>
              <w:spacing w:before="0" w:after="0"/>
              <w:jc w:val="center"/>
            </w:pPr>
            <w:r>
              <w:rPr>
                <w:b/>
                <w:sz w:val="18"/>
                <w:szCs w:val="18"/>
              </w:rPr>
              <w:t xml:space="preserve">H1 2026</w:t>
            </w:r>
          </w:p>
        </w:tc>
      </w:tr>
      <w:tr>
        <w:tc>
          <w:tcPr>
            <w:tcW w:w="4072" w:type="dxa"/>
            <w:vAlign w:val="center"/>
          </w:tcPr>
          <w:p>
            <w:pPr>
              <w:spacing w:before="0" w:after="0"/>
              <w:jc w:val="left"/>
            </w:pPr>
            <w:r>
              <w:rPr>
                <w:sz w:val="18"/>
                <w:szCs w:val="18"/>
              </w:rPr>
              <w:t xml:space="preserve">Security deposits</w:t>
            </w:r>
          </w:p>
        </w:tc>
        <w:tc>
          <w:tcPr>
            <w:tcW w:w="2500" w:type="dxa"/>
            <w:vAlign w:val="center"/>
          </w:tcPr>
          <w:p>
            <w:pPr>
              <w:spacing w:before="0" w:after="0"/>
              <w:jc w:val="right"/>
            </w:pPr>
            <w:r>
              <w:rPr>
                <w:sz w:val="18"/>
                <w:szCs w:val="18"/>
              </w:rPr>
              <w:t xml:space="preserve">6,133</w:t>
            </w:r>
          </w:p>
        </w:tc>
        <w:tc>
          <w:tcPr>
            <w:tcW w:w="2500" w:type="dxa"/>
            <w:vAlign w:val="center"/>
          </w:tcPr>
          <w:p>
            <w:pPr>
              <w:spacing w:before="0" w:after="0"/>
              <w:jc w:val="right"/>
            </w:pPr>
            <w:r>
              <w:rPr>
                <w:sz w:val="18"/>
                <w:szCs w:val="18"/>
              </w:rPr>
              <w:t xml:space="preserve">6,797</w:t>
            </w:r>
          </w:p>
        </w:tc>
      </w:tr>
      <w:tr>
        <w:tc>
          <w:tcPr>
            <w:tcW w:w="4072" w:type="dxa"/>
            <w:vAlign w:val="center"/>
          </w:tcPr>
          <w:p>
            <w:pPr>
              <w:spacing w:before="0" w:after="0"/>
              <w:jc w:val="left"/>
            </w:pPr>
            <w:r>
              <w:rPr>
                <w:sz w:val="18"/>
                <w:szCs w:val="18"/>
              </w:rPr>
              <w:t xml:space="preserve">Current portion of operating lease liabilities</w:t>
            </w:r>
          </w:p>
        </w:tc>
        <w:tc>
          <w:tcPr>
            <w:tcW w:w="2500" w:type="dxa"/>
            <w:vAlign w:val="center"/>
          </w:tcPr>
          <w:p>
            <w:pPr>
              <w:spacing w:before="0" w:after="0"/>
              <w:jc w:val="right"/>
            </w:pPr>
            <w:r>
              <w:rPr>
                <w:sz w:val="18"/>
                <w:szCs w:val="18"/>
              </w:rPr>
              <w:t xml:space="preserve">16,737</w:t>
            </w:r>
          </w:p>
        </w:tc>
        <w:tc>
          <w:tcPr>
            <w:tcW w:w="2500" w:type="dxa"/>
            <w:vAlign w:val="center"/>
          </w:tcPr>
          <w:p>
            <w:pPr>
              <w:spacing w:before="0" w:after="0"/>
              <w:jc w:val="right"/>
            </w:pPr>
            <w:r>
              <w:rPr>
                <w:sz w:val="18"/>
                <w:szCs w:val="18"/>
              </w:rPr>
              <w:t xml:space="preserve">18,952</w:t>
            </w:r>
          </w:p>
        </w:tc>
      </w:tr>
      <w:tr>
        <w:tc>
          <w:tcPr>
            <w:tcW w:w="4072" w:type="dxa"/>
            <w:vAlign w:val="center"/>
          </w:tcPr>
          <w:p>
            <w:pPr>
              <w:spacing w:before="0" w:after="0"/>
              <w:jc w:val="left"/>
            </w:pPr>
            <w:r>
              <w:rPr>
                <w:sz w:val="18"/>
                <w:szCs w:val="18"/>
              </w:rPr>
              <w:t xml:space="preserve">Current portion of operating lease liabilities</w:t>
            </w:r>
          </w:p>
        </w:tc>
        <w:tc>
          <w:tcPr>
            <w:tcW w:w="2500" w:type="dxa"/>
            <w:vAlign w:val="center"/>
          </w:tcPr>
          <w:p>
            <w:pPr>
              <w:spacing w:before="0" w:after="0"/>
              <w:jc w:val="right"/>
            </w:pPr>
            <w:r>
              <w:rPr>
                <w:sz w:val="18"/>
                <w:szCs w:val="18"/>
              </w:rPr>
              <w:t xml:space="preserve">35,828</w:t>
            </w:r>
          </w:p>
        </w:tc>
        <w:tc>
          <w:tcPr>
            <w:tcW w:w="2500" w:type="dxa"/>
            <w:vAlign w:val="center"/>
          </w:tcPr>
          <w:p>
            <w:pPr>
              <w:spacing w:before="0" w:after="0"/>
              <w:jc w:val="right"/>
            </w:pPr>
            <w:r>
              <w:rPr>
                <w:sz w:val="18"/>
                <w:szCs w:val="18"/>
              </w:rPr>
              <w:t xml:space="preserve">36,375</w:t>
            </w:r>
          </w:p>
        </w:tc>
      </w:tr>
      <w:tr>
        <w:tc>
          <w:tcPr>
            <w:tcW w:w="4072" w:type="dxa"/>
            <w:vAlign w:val="center"/>
          </w:tcPr>
          <w:p>
            <w:pPr>
              <w:spacing w:before="0" w:after="0"/>
              <w:jc w:val="left"/>
            </w:pPr>
            <w:r>
              <w:rPr>
                <w:sz w:val="18"/>
                <w:szCs w:val="18"/>
              </w:rPr>
              <w:t xml:space="preserve">Security deposits</w:t>
            </w:r>
          </w:p>
        </w:tc>
        <w:tc>
          <w:tcPr>
            <w:tcW w:w="2500" w:type="dxa"/>
            <w:vAlign w:val="center"/>
          </w:tcPr>
          <w:p>
            <w:pPr>
              <w:spacing w:before="0" w:after="0"/>
              <w:jc w:val="right"/>
            </w:pPr>
            <w:r>
              <w:rPr>
                <w:sz w:val="18"/>
                <w:szCs w:val="18"/>
              </w:rPr>
              <w:t xml:space="preserve">4,279</w:t>
            </w:r>
          </w:p>
        </w:tc>
        <w:tc>
          <w:tcPr>
            <w:tcW w:w="2500" w:type="dxa"/>
            <w:vAlign w:val="center"/>
          </w:tcPr>
          <w:p>
            <w:pPr>
              <w:spacing w:before="0" w:after="0"/>
              <w:jc w:val="right"/>
            </w:pPr>
            <w:r>
              <w:rPr>
                <w:sz w:val="18"/>
                <w:szCs w:val="18"/>
              </w:rPr>
              <w:t xml:space="preserve">4,604</w:t>
            </w:r>
          </w:p>
        </w:tc>
      </w:tr>
      <w:tr>
        <w:tc>
          <w:tcPr>
            <w:tcW w:w="4072" w:type="dxa"/>
            <w:vAlign w:val="center"/>
          </w:tcPr>
          <w:p>
            <w:pPr>
              <w:spacing w:before="0" w:after="0"/>
              <w:jc w:val="left"/>
            </w:pPr>
            <w:r>
              <w:rPr>
                <w:sz w:val="18"/>
                <w:szCs w:val="18"/>
              </w:rPr>
              <w:t xml:space="preserve">Accounts receivable, net</w:t>
            </w:r>
          </w:p>
        </w:tc>
        <w:tc>
          <w:tcPr>
            <w:tcW w:w="2500" w:type="dxa"/>
            <w:vAlign w:val="center"/>
          </w:tcPr>
          <w:p>
            <w:pPr>
              <w:spacing w:before="0" w:after="0"/>
              <w:jc w:val="right"/>
            </w:pPr>
            <w:r>
              <w:rPr>
                <w:sz w:val="18"/>
                <w:szCs w:val="18"/>
              </w:rPr>
              <w:t xml:space="preserve">20,322</w:t>
            </w:r>
          </w:p>
        </w:tc>
        <w:tc>
          <w:tcPr>
            <w:tcW w:w="2500" w:type="dxa"/>
            <w:vAlign w:val="center"/>
          </w:tcPr>
          <w:p>
            <w:pPr>
              <w:spacing w:before="0" w:after="0"/>
              <w:jc w:val="right"/>
            </w:pPr>
            <w:r>
              <w:rPr>
                <w:sz w:val="18"/>
                <w:szCs w:val="18"/>
              </w:rPr>
              <w:t xml:space="preserve">22,064</w:t>
            </w:r>
          </w:p>
        </w:tc>
      </w:tr>
      <w:tr>
        <w:tc>
          <w:tcPr>
            <w:tcW w:w="4072" w:type="dxa"/>
            <w:vAlign w:val="center"/>
          </w:tcPr>
          <w:p>
            <w:pPr>
              <w:spacing w:before="0" w:after="0"/>
              <w:jc w:val="left"/>
            </w:pPr>
            <w:r>
              <w:rPr>
                <w:sz w:val="18"/>
                <w:szCs w:val="18"/>
              </w:rPr>
              <w:t xml:space="preserve">Short-term investments</w:t>
            </w:r>
          </w:p>
        </w:tc>
        <w:tc>
          <w:tcPr>
            <w:tcW w:w="2500" w:type="dxa"/>
            <w:vAlign w:val="center"/>
          </w:tcPr>
          <w:p>
            <w:pPr>
              <w:spacing w:before="0" w:after="0"/>
              <w:jc w:val="right"/>
            </w:pPr>
            <w:r>
              <w:rPr>
                <w:sz w:val="18"/>
                <w:szCs w:val="18"/>
              </w:rPr>
              <w:t xml:space="preserve">16,390</w:t>
            </w:r>
          </w:p>
        </w:tc>
        <w:tc>
          <w:tcPr>
            <w:tcW w:w="2500" w:type="dxa"/>
            <w:vAlign w:val="center"/>
          </w:tcPr>
          <w:p>
            <w:pPr>
              <w:spacing w:before="0" w:after="0"/>
              <w:jc w:val="right"/>
            </w:pPr>
            <w:r>
              <w:rPr>
                <w:sz w:val="18"/>
                <w:szCs w:val="18"/>
              </w:rPr>
              <w:t xml:space="preserve">17,941</w:t>
            </w:r>
          </w:p>
        </w:tc>
      </w:tr>
    </w:tbl>
    <w:p>
      <w:pPr/>
    </w:p>
    <w:p>
      <w:pPr>
        <w:keepNext/>
      </w:pPr>
      <w:r>
        <w:rPr>
          <w:b/>
        </w:rPr>
        <w:t xml:space="preserve">12. Related-party transactions</w:t>
      </w:r>
    </w:p>
    <w:p>
      <w:pPr>
        <w:ind w:left="0" w:firstLine="360"/>
      </w:pPr>
      <w:r>
        <w:t xml:space="preserve">Net cash used in financing activities was $3,592 thousand, reflecting repayments of the term loan and dividends paid. Total assets at the end of the fiscal year were $227,104 thousand, an increase of $3,747 thousand from the end of the prior fiscal year. Weather affects customer traffic: cold drinks sell best in summer, while hot beverages and whole beans sell best from October through February. The Group leases all of its store premises under operating leases with initial terms of ten years, most of which include options to renew. Food safety incidents, whether or not they occur at our stores, could harm the reputation of the Nimbus Coffee brand and reduce customer traffic.</w:t>
      </w:r>
    </w:p>
    <w:p>
      <w:pPr>
        <w:ind w:left="0" w:firstLine="360"/>
      </w:pPr>
      <w:r>
        <w:t xml:space="preserve">Energy use per store decreased 17.0% compared with the prior year, as older espresso machines and refrigerators were replaced with more efficient models. Comparable store sales increased 2.2%, driven by a 1.6% increase in average ticket and a 1.1% increase in transactions. At the end of the fiscal year, the Company operated 181 company-operated stores in eight regions: Northfield, Eastbay, Southport, Westridge, Lakeside, Hillcrest, Riverside and Harborview. The Group buys 41.6% of its green coffee by volume from farms certified under recognized sustainability standards. Occupancy costs increased to $1,215 thousand, reflecting rent for new stores and scheduled rent increases at existing locations.</w:t>
      </w:r>
    </w:p>
    <w:p>
      <w:pPr>
        <w:keepNext/>
      </w:pPr>
      <w:r>
        <w:rPr>
          <w:b/>
        </w:rPr>
        <w:t xml:space="preserve">13. Earnings per share</w:t>
      </w:r>
    </w:p>
    <w:p>
      <w:pPr>
        <w:ind w:left="0" w:firstLine="360"/>
      </w:pPr>
      <w:r>
        <w:t xml:space="preserve">Comparable store sales increased 5.6%, driven by a 4.9% increase in average ticket and a 3.6% increase in transactions. Store operating expenses, which consist mainly of wages, benefits and supplies, were 31.2% of revenue, compared with 32.8% in the prior year. Wholesale revenue comes from sales of roasted beans to restaurants, hotels and grocery stores in the regions where the Company operates. New stores generally reach the sales level of a mature store within eighteen to twenty-four months of opening. Store operating expenses, which consist mainly of wages, benefits and supplies, were 34.7% of revenue, compared with 31.4% in the prior year.</w:t>
      </w:r>
    </w:p>
    <w:p>
      <w:pPr>
        <w:ind w:left="0" w:firstLine="360"/>
      </w:pPr>
      <w:r>
        <w:t xml:space="preserve">Net cash used in investing activities was $11,474 thousand, primarily for purchases of property and equipment. Food safety incidents, whether or not they occur at our stores, could harm the reputation of the Nimbus Coffee brand and reduce customer traffic. The Group buys 21.4% of its green coffee by volume from farms certified under recognized sustainability standards. Occupancy costs increased to $9,943 thousand, reflecting rent for new stores and scheduled rent increases at existing locations.</w:t>
      </w:r>
    </w:p>
    <w:p>
      <w:pPr>
        <w:ind w:left="0" w:firstLine="360"/>
      </w:pPr>
      <w:r>
        <w:t xml:space="preserve">Wholesale revenue comes from sales of roasted beans to restaurants, hotels and grocery stores in the regions where the Group operates. New stores generally reach the sales level of a mature store within eighteen to twenty-four months of opening. The loyalty program had 611 thousand active members at the end of the fiscal year, and purchases by members accounted for 32.8% of store revenue. Capital expenditures totaled $16,914 thousand and consisted mainly of the build-out of new stores, the remodeling of existing stores and a second roasting line at the Northfield roastery. Weather affects customer traffic: cold drinks sell best in summer, while hot beverages and whole beans sell best from October through February. Food safety incidents, whether or not they occur at our stores, could harm the reputation of the Nimbus Coffee brand and reduce customer traffic.</w:t>
      </w:r>
    </w:p>
    <w:tbl>
      <w:tblPr>
        <w:tblW w:w="907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72" w:type="dxa"/>
          <w:right w:w="72" w:type="dxa"/>
        </w:tblCellMar>
      </w:tblPr>
      <w:tblGrid>
        <w:gridCol w:w="4072"/>
        <w:gridCol w:w="2500"/>
        <w:gridCol w:w="2500"/>
      </w:tblGrid>
      <w:tr>
        <w:trPr>
          <w:tblHeader/>
        </w:trPr>
        <w:tc>
          <w:tcPr>
            <w:tcW w:w="4072" w:type="dxa"/>
            <w:shd w:val="clear" w:color="auto" w:fill="DDEBF7"/>
            <w:vAlign w:val="center"/>
          </w:tcPr>
          <w:p>
            <w:pPr>
              <w:spacing w:before="0" w:after="0"/>
              <w:jc w:val="center"/>
            </w:pPr>
            <w:r>
              <w:rPr>
                <w:b/>
                <w:sz w:val="18"/>
                <w:szCs w:val="18"/>
              </w:rPr>
              <w:t xml:space="preserve">Item</w:t>
            </w:r>
          </w:p>
        </w:tc>
        <w:tc>
          <w:tcPr>
            <w:tcW w:w="2500" w:type="dxa"/>
            <w:shd w:val="clear" w:color="auto" w:fill="DDEBF7"/>
            <w:vAlign w:val="center"/>
          </w:tcPr>
          <w:p>
            <w:pPr>
              <w:spacing w:before="0" w:after="0"/>
              <w:jc w:val="center"/>
            </w:pPr>
            <w:r>
              <w:rPr>
                <w:b/>
                <w:sz w:val="18"/>
                <w:szCs w:val="18"/>
              </w:rPr>
              <w:t xml:space="preserve">H1 2025</w:t>
            </w:r>
          </w:p>
        </w:tc>
        <w:tc>
          <w:tcPr>
            <w:tcW w:w="2500" w:type="dxa"/>
            <w:shd w:val="clear" w:color="auto" w:fill="DDEBF7"/>
            <w:vAlign w:val="center"/>
          </w:tcPr>
          <w:p>
            <w:pPr>
              <w:spacing w:before="0" w:after="0"/>
              <w:jc w:val="center"/>
            </w:pPr>
            <w:r>
              <w:rPr>
                <w:b/>
                <w:sz w:val="18"/>
                <w:szCs w:val="18"/>
              </w:rPr>
              <w:t xml:space="preserve">H1 2026</w:t>
            </w:r>
          </w:p>
        </w:tc>
      </w:tr>
      <w:tr>
        <w:tc>
          <w:tcPr>
            <w:tcW w:w="4072" w:type="dxa"/>
            <w:vAlign w:val="center"/>
          </w:tcPr>
          <w:p>
            <w:pPr>
              <w:spacing w:before="0" w:after="0"/>
              <w:jc w:val="left"/>
            </w:pPr>
            <w:r>
              <w:rPr>
                <w:sz w:val="18"/>
                <w:szCs w:val="18"/>
              </w:rPr>
              <w:t xml:space="preserve">Accounts receivable, net</w:t>
            </w:r>
          </w:p>
        </w:tc>
        <w:tc>
          <w:tcPr>
            <w:tcW w:w="2500" w:type="dxa"/>
            <w:vAlign w:val="center"/>
          </w:tcPr>
          <w:p>
            <w:pPr>
              <w:spacing w:before="0" w:after="0"/>
              <w:jc w:val="right"/>
            </w:pPr>
            <w:r>
              <w:rPr>
                <w:sz w:val="18"/>
                <w:szCs w:val="18"/>
              </w:rPr>
              <w:t xml:space="preserve">4,951</w:t>
            </w:r>
          </w:p>
        </w:tc>
        <w:tc>
          <w:tcPr>
            <w:tcW w:w="2500" w:type="dxa"/>
            <w:vAlign w:val="center"/>
          </w:tcPr>
          <w:p>
            <w:pPr>
              <w:spacing w:before="0" w:after="0"/>
              <w:jc w:val="right"/>
            </w:pPr>
            <w:r>
              <w:rPr>
                <w:sz w:val="18"/>
                <w:szCs w:val="18"/>
              </w:rPr>
              <w:t xml:space="preserve">5,656</w:t>
            </w:r>
          </w:p>
        </w:tc>
      </w:tr>
      <w:tr>
        <w:tc>
          <w:tcPr>
            <w:tcW w:w="4072" w:type="dxa"/>
            <w:vAlign w:val="center"/>
          </w:tcPr>
          <w:p>
            <w:pPr>
              <w:spacing w:before="0" w:after="0"/>
              <w:jc w:val="left"/>
            </w:pPr>
            <w:r>
              <w:rPr>
                <w:sz w:val="18"/>
                <w:szCs w:val="18"/>
              </w:rPr>
              <w:t xml:space="preserve">Deferred revenue (gift cards and loyalty)</w:t>
            </w:r>
          </w:p>
        </w:tc>
        <w:tc>
          <w:tcPr>
            <w:tcW w:w="2500" w:type="dxa"/>
            <w:vAlign w:val="center"/>
          </w:tcPr>
          <w:p>
            <w:pPr>
              <w:spacing w:before="0" w:after="0"/>
              <w:jc w:val="right"/>
            </w:pPr>
            <w:r>
              <w:rPr>
                <w:sz w:val="18"/>
                <w:szCs w:val="18"/>
              </w:rPr>
              <w:t xml:space="preserve">18,008</w:t>
            </w:r>
          </w:p>
        </w:tc>
        <w:tc>
          <w:tcPr>
            <w:tcW w:w="2500" w:type="dxa"/>
            <w:vAlign w:val="center"/>
          </w:tcPr>
          <w:p>
            <w:pPr>
              <w:spacing w:before="0" w:after="0"/>
              <w:jc w:val="right"/>
            </w:pPr>
            <w:r>
              <w:rPr>
                <w:sz w:val="18"/>
                <w:szCs w:val="18"/>
              </w:rPr>
              <w:t xml:space="preserve">18,829</w:t>
            </w:r>
          </w:p>
        </w:tc>
      </w:tr>
      <w:tr>
        <w:tc>
          <w:tcPr>
            <w:tcW w:w="4072" w:type="dxa"/>
            <w:vAlign w:val="center"/>
          </w:tcPr>
          <w:p>
            <w:pPr>
              <w:spacing w:before="0" w:after="0"/>
              <w:jc w:val="left"/>
            </w:pPr>
            <w:r>
              <w:rPr>
                <w:sz w:val="18"/>
                <w:szCs w:val="18"/>
              </w:rPr>
              <w:t xml:space="preserve">Other accrued liabilities</w:t>
            </w:r>
          </w:p>
        </w:tc>
        <w:tc>
          <w:tcPr>
            <w:tcW w:w="2500" w:type="dxa"/>
            <w:vAlign w:val="center"/>
          </w:tcPr>
          <w:p>
            <w:pPr>
              <w:spacing w:before="0" w:after="0"/>
              <w:jc w:val="right"/>
            </w:pPr>
            <w:r>
              <w:rPr>
                <w:sz w:val="18"/>
                <w:szCs w:val="18"/>
              </w:rPr>
              <w:t xml:space="preserve">16,647</w:t>
            </w:r>
          </w:p>
        </w:tc>
        <w:tc>
          <w:tcPr>
            <w:tcW w:w="2500" w:type="dxa"/>
            <w:vAlign w:val="center"/>
          </w:tcPr>
          <w:p>
            <w:pPr>
              <w:spacing w:before="0" w:after="0"/>
              <w:jc w:val="right"/>
            </w:pPr>
            <w:r>
              <w:rPr>
                <w:sz w:val="18"/>
                <w:szCs w:val="18"/>
              </w:rPr>
              <w:t xml:space="preserve">19,378</w:t>
            </w:r>
          </w:p>
        </w:tc>
      </w:tr>
      <w:tr>
        <w:tc>
          <w:tcPr>
            <w:tcW w:w="4072" w:type="dxa"/>
            <w:vAlign w:val="center"/>
          </w:tcPr>
          <w:p>
            <w:pPr>
              <w:spacing w:before="0" w:after="0"/>
              <w:jc w:val="left"/>
            </w:pPr>
            <w:r>
              <w:rPr>
                <w:sz w:val="18"/>
                <w:szCs w:val="18"/>
              </w:rPr>
              <w:t xml:space="preserve">Operating lease right-of-use assets</w:t>
            </w:r>
          </w:p>
        </w:tc>
        <w:tc>
          <w:tcPr>
            <w:tcW w:w="2500" w:type="dxa"/>
            <w:vAlign w:val="center"/>
          </w:tcPr>
          <w:p>
            <w:pPr>
              <w:spacing w:before="0" w:after="0"/>
              <w:jc w:val="right"/>
            </w:pPr>
            <w:r>
              <w:rPr>
                <w:sz w:val="18"/>
                <w:szCs w:val="18"/>
              </w:rPr>
              <w:t xml:space="preserve">11,740</w:t>
            </w:r>
          </w:p>
        </w:tc>
        <w:tc>
          <w:tcPr>
            <w:tcW w:w="2500" w:type="dxa"/>
            <w:vAlign w:val="center"/>
          </w:tcPr>
          <w:p>
            <w:pPr>
              <w:spacing w:before="0" w:after="0"/>
              <w:jc w:val="right"/>
            </w:pPr>
            <w:r>
              <w:rPr>
                <w:sz w:val="18"/>
                <w:szCs w:val="18"/>
              </w:rPr>
              <w:t xml:space="preserve">13,323</w:t>
            </w:r>
          </w:p>
        </w:tc>
      </w:tr>
      <w:tr>
        <w:tc>
          <w:tcPr>
            <w:tcW w:w="4072" w:type="dxa"/>
            <w:vAlign w:val="center"/>
          </w:tcPr>
          <w:p>
            <w:pPr>
              <w:spacing w:before="0" w:after="0"/>
              <w:jc w:val="left"/>
            </w:pPr>
            <w:r>
              <w:rPr>
                <w:sz w:val="18"/>
                <w:szCs w:val="18"/>
              </w:rPr>
              <w:t xml:space="preserve">Short-term investments</w:t>
            </w:r>
          </w:p>
        </w:tc>
        <w:tc>
          <w:tcPr>
            <w:tcW w:w="2500" w:type="dxa"/>
            <w:vAlign w:val="center"/>
          </w:tcPr>
          <w:p>
            <w:pPr>
              <w:spacing w:before="0" w:after="0"/>
              <w:jc w:val="right"/>
            </w:pPr>
            <w:r>
              <w:rPr>
                <w:sz w:val="18"/>
                <w:szCs w:val="18"/>
              </w:rPr>
              <w:t xml:space="preserve">25,555</w:t>
            </w:r>
          </w:p>
        </w:tc>
        <w:tc>
          <w:tcPr>
            <w:tcW w:w="2500" w:type="dxa"/>
            <w:vAlign w:val="center"/>
          </w:tcPr>
          <w:p>
            <w:pPr>
              <w:spacing w:before="0" w:after="0"/>
              <w:jc w:val="right"/>
            </w:pPr>
            <w:r>
              <w:rPr>
                <w:sz w:val="18"/>
                <w:szCs w:val="18"/>
              </w:rPr>
              <w:t xml:space="preserve">26,601</w:t>
            </w:r>
          </w:p>
        </w:tc>
      </w:tr>
      <w:tr>
        <w:tc>
          <w:tcPr>
            <w:tcW w:w="4072" w:type="dxa"/>
            <w:vAlign w:val="center"/>
          </w:tcPr>
          <w:p>
            <w:pPr>
              <w:spacing w:before="0" w:after="0"/>
              <w:jc w:val="left"/>
            </w:pPr>
            <w:r>
              <w:rPr>
                <w:sz w:val="18"/>
                <w:szCs w:val="18"/>
              </w:rPr>
              <w:t xml:space="preserve">Deferred rent and asset retirement obligations</w:t>
            </w:r>
          </w:p>
        </w:tc>
        <w:tc>
          <w:tcPr>
            <w:tcW w:w="2500" w:type="dxa"/>
            <w:vAlign w:val="center"/>
          </w:tcPr>
          <w:p>
            <w:pPr>
              <w:spacing w:before="0" w:after="0"/>
              <w:jc w:val="right"/>
            </w:pPr>
            <w:r>
              <w:rPr>
                <w:sz w:val="18"/>
                <w:szCs w:val="18"/>
              </w:rPr>
              <w:t xml:space="preserve">3,310</w:t>
            </w:r>
          </w:p>
        </w:tc>
        <w:tc>
          <w:tcPr>
            <w:tcW w:w="2500" w:type="dxa"/>
            <w:vAlign w:val="center"/>
          </w:tcPr>
          <w:p>
            <w:pPr>
              <w:spacing w:before="0" w:after="0"/>
              <w:jc w:val="right"/>
            </w:pPr>
            <w:r>
              <w:rPr>
                <w:sz w:val="18"/>
                <w:szCs w:val="18"/>
              </w:rPr>
              <w:t xml:space="preserve">3,661</w:t>
            </w:r>
          </w:p>
        </w:tc>
      </w:tr>
    </w:tbl>
    <w:p>
      <w:pPr/>
    </w:p>
    <w:p>
      <w:pPr>
        <w:keepNext/>
      </w:pPr>
      <w:r>
        <w:rPr>
          <w:b/>
        </w:rPr>
        <w:t xml:space="preserve">14. Commitments and contingencies</w:t>
      </w:r>
    </w:p>
    <w:p>
      <w:pPr>
        <w:ind w:left="0" w:firstLine="360"/>
      </w:pPr>
      <w:r>
        <w:t xml:space="preserve">Labor costs are affected by minimum wage laws in the regions where the stores are located, and further increases could reduce store margins. Food safety incidents, whether or not they occur at our stores, could harm the reputation of the Nimbus Coffee brand and reduce customer traffic. These forward-looking statements are based on information available as of the date of this statement, and actual results may differ materially because of many factors.</w:t>
      </w:r>
    </w:p>
    <w:p>
      <w:pPr>
        <w:ind w:left="0" w:firstLine="360"/>
      </w:pPr>
      <w:r>
        <w:t xml:space="preserve">Weather affects customer traffic: cold drinks sell best in summer, while hot beverages and whole beans sell best from October through February. The Company holds no derivatives other than coffee futures contracts used to fix the price of part of its future green coffee purchases. New stores generally reach the sales level of a mature store within eighteen to twenty-four months of opening. Orders placed through the online store, including orders for pickup in store and home delivery of whole beans, accounted for 30.8% of revenue in the Beverages and Beans categories. The price of green coffee is volatile, and a sustained increase could reduce gross margin if the Group is unable to pass the cost on to customers through menu prices.</w:t>
      </w:r>
    </w:p>
    <w:p>
      <w:pPr>
        <w:keepNext/>
      </w:pPr>
      <w:r>
        <w:rPr>
          <w:b/>
        </w:rPr>
        <w:t xml:space="preserve">15. Gift cards and the loyalty program</w:t>
      </w:r>
    </w:p>
    <w:p>
      <w:pPr>
        <w:ind w:left="0" w:firstLine="360"/>
      </w:pPr>
      <w:r>
        <w:t xml:space="preserve">Energy use per store decreased 13.6% compared with the prior year, as older espresso machines and refrigerators were replaced with more efficient models. Each store is managed by a store manager who reports to a district manager, and district managers report to the director for their region. The Group operates specialty coffee shops under the Nimbus Coffee name and roasts all of the coffee it serves at its own roastery in Northfield. The Group holds no derivatives other than coffee futures contracts used to fix the price of part of its future green coffee purchases.</w:t>
      </w:r>
    </w:p>
    <w:p>
      <w:pPr>
        <w:ind w:left="0" w:firstLine="360"/>
      </w:pPr>
      <w:r>
        <w:t xml:space="preserve">Wholesale revenue comes from sales of roasted beans to restaurants, hotels and grocery stores in the regions where Nimbus Coffee operates. During the fiscal year, Nimbus Coffee opened 13 new stores and closed 1 stores whose leases expired. Weather affects customer traffic: cold drinks sell best in summer, while hot beverages and whole beans sell best from October through February. Total assets at the end of the fiscal year were $192,498 thousand, an increase of $35,435 thousand from the end of the prior fiscal year. Revenue from loyalty rewards is deferred until the reward is redeemed or expires. Labor costs are affected by minimum wage laws in the regions where the stores are located, and further increases could reduce store margins.</w:t>
      </w:r>
    </w:p>
    <w:tbl>
      <w:tblPr>
        <w:tblW w:w="907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72" w:type="dxa"/>
          <w:right w:w="72" w:type="dxa"/>
        </w:tblCellMar>
      </w:tblPr>
      <w:tblGrid>
        <w:gridCol w:w="4072"/>
        <w:gridCol w:w="2500"/>
        <w:gridCol w:w="2500"/>
      </w:tblGrid>
      <w:tr>
        <w:trPr>
          <w:tblHeader/>
        </w:trPr>
        <w:tc>
          <w:tcPr>
            <w:tcW w:w="4072" w:type="dxa"/>
            <w:shd w:val="clear" w:color="auto" w:fill="DDEBF7"/>
            <w:vAlign w:val="center"/>
          </w:tcPr>
          <w:p>
            <w:pPr>
              <w:spacing w:before="0" w:after="0"/>
              <w:jc w:val="center"/>
            </w:pPr>
            <w:r>
              <w:rPr>
                <w:b/>
                <w:sz w:val="18"/>
                <w:szCs w:val="18"/>
              </w:rPr>
              <w:t xml:space="preserve">Item</w:t>
            </w:r>
          </w:p>
        </w:tc>
        <w:tc>
          <w:tcPr>
            <w:tcW w:w="2500" w:type="dxa"/>
            <w:shd w:val="clear" w:color="auto" w:fill="DDEBF7"/>
            <w:vAlign w:val="center"/>
          </w:tcPr>
          <w:p>
            <w:pPr>
              <w:spacing w:before="0" w:after="0"/>
              <w:jc w:val="center"/>
            </w:pPr>
            <w:r>
              <w:rPr>
                <w:b/>
                <w:sz w:val="18"/>
                <w:szCs w:val="18"/>
              </w:rPr>
              <w:t xml:space="preserve">H1 2025</w:t>
            </w:r>
          </w:p>
        </w:tc>
        <w:tc>
          <w:tcPr>
            <w:tcW w:w="2500" w:type="dxa"/>
            <w:shd w:val="clear" w:color="auto" w:fill="DDEBF7"/>
            <w:vAlign w:val="center"/>
          </w:tcPr>
          <w:p>
            <w:pPr>
              <w:spacing w:before="0" w:after="0"/>
              <w:jc w:val="center"/>
            </w:pPr>
            <w:r>
              <w:rPr>
                <w:b/>
                <w:sz w:val="18"/>
                <w:szCs w:val="18"/>
              </w:rPr>
              <w:t xml:space="preserve">H1 2026</w:t>
            </w:r>
          </w:p>
        </w:tc>
      </w:tr>
      <w:tr>
        <w:tc>
          <w:tcPr>
            <w:tcW w:w="4072" w:type="dxa"/>
            <w:vAlign w:val="center"/>
          </w:tcPr>
          <w:p>
            <w:pPr>
              <w:spacing w:before="0" w:after="0"/>
              <w:jc w:val="left"/>
            </w:pPr>
            <w:r>
              <w:rPr>
                <w:sz w:val="18"/>
                <w:szCs w:val="18"/>
              </w:rPr>
              <w:t xml:space="preserve">Income taxes payable</w:t>
            </w:r>
          </w:p>
        </w:tc>
        <w:tc>
          <w:tcPr>
            <w:tcW w:w="2500" w:type="dxa"/>
            <w:vAlign w:val="center"/>
          </w:tcPr>
          <w:p>
            <w:pPr>
              <w:spacing w:before="0" w:after="0"/>
              <w:jc w:val="right"/>
            </w:pPr>
            <w:r>
              <w:rPr>
                <w:sz w:val="18"/>
                <w:szCs w:val="18"/>
              </w:rPr>
              <w:t xml:space="preserve">17,642</w:t>
            </w:r>
          </w:p>
        </w:tc>
        <w:tc>
          <w:tcPr>
            <w:tcW w:w="2500" w:type="dxa"/>
            <w:vAlign w:val="center"/>
          </w:tcPr>
          <w:p>
            <w:pPr>
              <w:spacing w:before="0" w:after="0"/>
              <w:jc w:val="right"/>
            </w:pPr>
            <w:r>
              <w:rPr>
                <w:sz w:val="18"/>
                <w:szCs w:val="18"/>
              </w:rPr>
              <w:t xml:space="preserve">19,211</w:t>
            </w:r>
          </w:p>
        </w:tc>
      </w:tr>
      <w:tr>
        <w:tc>
          <w:tcPr>
            <w:tcW w:w="4072" w:type="dxa"/>
            <w:vAlign w:val="center"/>
          </w:tcPr>
          <w:p>
            <w:pPr>
              <w:spacing w:before="0" w:after="0"/>
              <w:jc w:val="left"/>
            </w:pPr>
            <w:r>
              <w:rPr>
                <w:sz w:val="18"/>
                <w:szCs w:val="18"/>
              </w:rPr>
              <w:t xml:space="preserve">Other long-term assets</w:t>
            </w:r>
          </w:p>
        </w:tc>
        <w:tc>
          <w:tcPr>
            <w:tcW w:w="2500" w:type="dxa"/>
            <w:vAlign w:val="center"/>
          </w:tcPr>
          <w:p>
            <w:pPr>
              <w:spacing w:before="0" w:after="0"/>
              <w:jc w:val="right"/>
            </w:pPr>
            <w:r>
              <w:rPr>
                <w:sz w:val="18"/>
                <w:szCs w:val="18"/>
              </w:rPr>
              <w:t xml:space="preserve">18,705</w:t>
            </w:r>
          </w:p>
        </w:tc>
        <w:tc>
          <w:tcPr>
            <w:tcW w:w="2500" w:type="dxa"/>
            <w:vAlign w:val="center"/>
          </w:tcPr>
          <w:p>
            <w:pPr>
              <w:spacing w:before="0" w:after="0"/>
              <w:jc w:val="right"/>
            </w:pPr>
            <w:r>
              <w:rPr>
                <w:sz w:val="18"/>
                <w:szCs w:val="18"/>
              </w:rPr>
              <w:t xml:space="preserve">21,329</w:t>
            </w:r>
          </w:p>
        </w:tc>
      </w:tr>
      <w:tr>
        <w:tc>
          <w:tcPr>
            <w:tcW w:w="4072" w:type="dxa"/>
            <w:vAlign w:val="center"/>
          </w:tcPr>
          <w:p>
            <w:pPr>
              <w:spacing w:before="0" w:after="0"/>
              <w:jc w:val="left"/>
            </w:pPr>
            <w:r>
              <w:rPr>
                <w:sz w:val="18"/>
                <w:szCs w:val="18"/>
              </w:rPr>
              <w:t xml:space="preserve">Other long-term liabilities</w:t>
            </w:r>
          </w:p>
        </w:tc>
        <w:tc>
          <w:tcPr>
            <w:tcW w:w="2500" w:type="dxa"/>
            <w:vAlign w:val="center"/>
          </w:tcPr>
          <w:p>
            <w:pPr>
              <w:spacing w:before="0" w:after="0"/>
              <w:jc w:val="right"/>
            </w:pPr>
            <w:r>
              <w:rPr>
                <w:sz w:val="18"/>
                <w:szCs w:val="18"/>
              </w:rPr>
              <w:t xml:space="preserve">4,044</w:t>
            </w:r>
          </w:p>
        </w:tc>
        <w:tc>
          <w:tcPr>
            <w:tcW w:w="2500" w:type="dxa"/>
            <w:vAlign w:val="center"/>
          </w:tcPr>
          <w:p>
            <w:pPr>
              <w:spacing w:before="0" w:after="0"/>
              <w:jc w:val="right"/>
            </w:pPr>
            <w:r>
              <w:rPr>
                <w:sz w:val="18"/>
                <w:szCs w:val="18"/>
              </w:rPr>
              <w:t xml:space="preserve">4,799</w:t>
            </w:r>
          </w:p>
        </w:tc>
      </w:tr>
      <w:tr>
        <w:tc>
          <w:tcPr>
            <w:tcW w:w="4072" w:type="dxa"/>
            <w:vAlign w:val="center"/>
          </w:tcPr>
          <w:p>
            <w:pPr>
              <w:spacing w:before="0" w:after="0"/>
              <w:jc w:val="left"/>
            </w:pPr>
            <w:r>
              <w:rPr>
                <w:sz w:val="18"/>
                <w:szCs w:val="18"/>
              </w:rPr>
              <w:t xml:space="preserve">Prepaid expenses and other current assets</w:t>
            </w:r>
          </w:p>
        </w:tc>
        <w:tc>
          <w:tcPr>
            <w:tcW w:w="2500" w:type="dxa"/>
            <w:vAlign w:val="center"/>
          </w:tcPr>
          <w:p>
            <w:pPr>
              <w:spacing w:before="0" w:after="0"/>
              <w:jc w:val="right"/>
            </w:pPr>
            <w:r>
              <w:rPr>
                <w:sz w:val="18"/>
                <w:szCs w:val="18"/>
              </w:rPr>
              <w:t xml:space="preserve">6,034</w:t>
            </w:r>
          </w:p>
        </w:tc>
        <w:tc>
          <w:tcPr>
            <w:tcW w:w="2500" w:type="dxa"/>
            <w:vAlign w:val="center"/>
          </w:tcPr>
          <w:p>
            <w:pPr>
              <w:spacing w:before="0" w:after="0"/>
              <w:jc w:val="right"/>
            </w:pPr>
            <w:r>
              <w:rPr>
                <w:sz w:val="18"/>
                <w:szCs w:val="18"/>
              </w:rPr>
              <w:t xml:space="preserve">6,769</w:t>
            </w:r>
          </w:p>
        </w:tc>
      </w:tr>
      <w:tr>
        <w:tc>
          <w:tcPr>
            <w:tcW w:w="4072" w:type="dxa"/>
            <w:vAlign w:val="center"/>
          </w:tcPr>
          <w:p>
            <w:pPr>
              <w:spacing w:before="0" w:after="0"/>
              <w:jc w:val="left"/>
            </w:pPr>
            <w:r>
              <w:rPr>
                <w:sz w:val="18"/>
                <w:szCs w:val="18"/>
              </w:rPr>
              <w:t xml:space="preserve">Accounts payable</w:t>
            </w:r>
          </w:p>
        </w:tc>
        <w:tc>
          <w:tcPr>
            <w:tcW w:w="2500" w:type="dxa"/>
            <w:vAlign w:val="center"/>
          </w:tcPr>
          <w:p>
            <w:pPr>
              <w:spacing w:before="0" w:after="0"/>
              <w:jc w:val="right"/>
            </w:pPr>
            <w:r>
              <w:rPr>
                <w:sz w:val="18"/>
                <w:szCs w:val="18"/>
              </w:rPr>
              <w:t xml:space="preserve">12,234</w:t>
            </w:r>
          </w:p>
        </w:tc>
        <w:tc>
          <w:tcPr>
            <w:tcW w:w="2500" w:type="dxa"/>
            <w:vAlign w:val="center"/>
          </w:tcPr>
          <w:p>
            <w:pPr>
              <w:spacing w:before="0" w:after="0"/>
              <w:jc w:val="right"/>
            </w:pPr>
            <w:r>
              <w:rPr>
                <w:sz w:val="18"/>
                <w:szCs w:val="18"/>
              </w:rPr>
              <w:t xml:space="preserve">13,001</w:t>
            </w:r>
          </w:p>
        </w:tc>
      </w:tr>
      <w:tr>
        <w:tc>
          <w:tcPr>
            <w:tcW w:w="4072" w:type="dxa"/>
            <w:vAlign w:val="center"/>
          </w:tcPr>
          <w:p>
            <w:pPr>
              <w:spacing w:before="0" w:after="0"/>
              <w:jc w:val="left"/>
            </w:pPr>
            <w:r>
              <w:rPr>
                <w:sz w:val="18"/>
                <w:szCs w:val="18"/>
              </w:rPr>
              <w:t xml:space="preserve">Other accrued liabilities</w:t>
            </w:r>
          </w:p>
        </w:tc>
        <w:tc>
          <w:tcPr>
            <w:tcW w:w="2500" w:type="dxa"/>
            <w:vAlign w:val="center"/>
          </w:tcPr>
          <w:p>
            <w:pPr>
              <w:spacing w:before="0" w:after="0"/>
              <w:jc w:val="right"/>
            </w:pPr>
            <w:r>
              <w:rPr>
                <w:sz w:val="18"/>
                <w:szCs w:val="18"/>
              </w:rPr>
              <w:t xml:space="preserve">18,130</w:t>
            </w:r>
          </w:p>
        </w:tc>
        <w:tc>
          <w:tcPr>
            <w:tcW w:w="2500" w:type="dxa"/>
            <w:vAlign w:val="center"/>
          </w:tcPr>
          <w:p>
            <w:pPr>
              <w:spacing w:before="0" w:after="0"/>
              <w:jc w:val="right"/>
            </w:pPr>
            <w:r>
              <w:rPr>
                <w:sz w:val="18"/>
                <w:szCs w:val="18"/>
              </w:rPr>
              <w:t xml:space="preserve">18,443</w:t>
            </w:r>
          </w:p>
        </w:tc>
      </w:tr>
    </w:tbl>
    <w:p>
      <w:pPr/>
    </w:p>
    <w:p>
      <w:pPr>
        <w:keepNext/>
      </w:pPr>
      <w:r>
        <w:rPr>
          <w:b/>
        </w:rPr>
        <w:t xml:space="preserve">16. Subsequent events</w:t>
      </w:r>
    </w:p>
    <w:p>
      <w:pPr>
        <w:ind w:left="0" w:firstLine="360"/>
      </w:pPr>
      <w:r>
        <w:t xml:space="preserve">The loyalty program had 1,020 thousand active members at the end of the fiscal year, and purchases by members accounted for 59.4% of store revenue. The ability of Nimbus Coffee to open new stores depends on finding suitable sites on acceptable lease terms and on hiring and training store managers. Net cash used in financing activities was $9,825 thousand, reflecting repayments of the term loan and dividends paid.</w:t>
      </w:r>
    </w:p>
    <w:p>
      <w:pPr>
        <w:ind w:left="0" w:firstLine="360"/>
      </w:pPr>
      <w:r>
        <w:t xml:space="preserve">Comparable store sales increased 5.4%, driven by a 4.7% increase in average ticket and a 3.6% increase in transactions. Net cash used in investing activities was $8,236 thousand, primarily for purchases of property and equipment. Revenue from loyalty rewards is deferred until the reward is redeemed or expires.</w:t>
      </w:r>
    </w:p>
    <w:p>
      <w:r>
        <w:br w:type="page"/>
      </w:r>
    </w:p>
    <w:p>
      <w:pPr>
        <w:pStyle w:val="Heading3"/>
        <w:keepNext/>
      </w:pPr>
      <w:r>
        <w:t xml:space="preserve">1. Financial Statements (Three months ended June 30, 2026)</w:t>
      </w:r>
    </w:p>
    <w:p>
      <w:pPr>
        <w:ind w:left="0" w:firstLine="360"/>
      </w:pPr>
      <w:r>
        <w:t xml:space="preserve">During the fiscal year, Nimbus Coffee opened 16 new stores and closed 1 stores whose leases expired. The Company intends to pay dividends out of retained earnings while keeping sufficient funds to finance the opening of new stores. Revenue from loyalty rewards is deferred until the reward is redeemed or expires. Revenue from loyalty rewards is deferred until the reward is redeemed or expires. The Company operates specialty coffee shops under the Nimbus Coffee name and roasts all of the coffee it serves at its own roastery in Northfield.</w:t>
      </w:r>
    </w:p>
    <w:p>
      <w:pPr>
        <w:ind w:left="0" w:firstLine="360"/>
      </w:pPr>
      <w:r>
        <w:t xml:space="preserve">Comparable store sales increased 6.5%, driven by a 3.4% increase in average ticket and a 0.6% increase in transactions. Store operating expenses, which consist mainly of wages, benefits and supplies, were 28.6% of revenue, compared with 29.5% in the prior year. During the fiscal year, the Company opened 10 new stores and closed 4 stores whose leases expired. The Company operates specialty coffee shops under the Nimbus Coffee name and roasts all of the coffee it serves at its own roastery in Northfield. Net cash provided by operating activities was $246,650 thousand, mainly reflecting net income and depreciation and amortization. Revenue from wholesale customers was $4,578 thousand, or 10.9% of total revenue.</w:t>
      </w:r>
    </w:p>
    <w:p>
      <w:r>
        <w:br w:type="page"/>
      </w:r>
    </w:p>
    <w:p>
      <w:pPr>
        <w:pStyle w:val="Heading3"/>
        <w:keepNext/>
      </w:pPr>
      <w:r>
        <w:t xml:space="preserve">Balance Sheets (Assets)</w:t>
      </w:r>
    </w:p>
    <w:p>
      <w:pPr>
        <w:jc w:val="right"/>
      </w:pPr>
      <w:r>
        <w:rPr>
          <w:sz w:val="18"/>
          <w:szCs w:val="18"/>
        </w:rPr>
        <w:t xml:space="preserve">(In thousands of U.S. dollars)</w:t>
      </w:r>
    </w:p>
    <w:tbl>
      <w:tblPr>
        <w:tblW w:w="907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72" w:type="dxa"/>
          <w:right w:w="72" w:type="dxa"/>
        </w:tblCellMar>
      </w:tblPr>
      <w:tblGrid>
        <w:gridCol w:w="4872"/>
        <w:gridCol w:w="800"/>
        <w:gridCol w:w="1700"/>
        <w:gridCol w:w="1700"/>
      </w:tblGrid>
      <w:tr>
        <w:trPr>
          <w:tblHeader/>
        </w:trPr>
        <w:tc>
          <w:tcPr>
            <w:tcW w:w="4872" w:type="dxa"/>
            <w:shd w:val="clear" w:color="auto" w:fill="DDEBF7"/>
            <w:vAlign w:val="center"/>
          </w:tcPr>
          <w:p>
            <w:pPr>
              <w:spacing w:before="0" w:after="0"/>
              <w:jc w:val="center"/>
            </w:pPr>
            <w:r>
              <w:rPr>
                <w:b/>
                <w:sz w:val="18"/>
                <w:szCs w:val="18"/>
              </w:rPr>
              <w:t xml:space="preserve"/>
            </w:r>
          </w:p>
        </w:tc>
        <w:tc>
          <w:tcPr>
            <w:tcW w:w="800" w:type="dxa"/>
            <w:shd w:val="clear" w:color="auto" w:fill="DDEBF7"/>
            <w:vAlign w:val="center"/>
          </w:tcPr>
          <w:p>
            <w:pPr>
              <w:spacing w:before="0" w:after="0"/>
              <w:jc w:val="center"/>
            </w:pPr>
            <w:r>
              <w:rPr>
                <w:b/>
                <w:sz w:val="18"/>
                <w:szCs w:val="18"/>
              </w:rPr>
              <w:t xml:space="preserve">Note</w:t>
            </w:r>
          </w:p>
        </w:tc>
        <w:tc>
          <w:tcPr>
            <w:tcW w:w="1700" w:type="dxa"/>
            <w:shd w:val="clear" w:color="auto" w:fill="DDEBF7"/>
            <w:vAlign w:val="center"/>
          </w:tcPr>
          <w:p>
            <w:pPr>
              <w:spacing w:before="0" w:after="0"/>
              <w:jc w:val="center"/>
            </w:pPr>
            <w:r>
              <w:rPr>
                <w:b/>
                <w:sz w:val="18"/>
                <w:szCs w:val="18"/>
              </w:rPr>
              <w:t xml:space="preserve">Q2 2025</w:t>
            </w:r>
          </w:p>
        </w:tc>
        <w:tc>
          <w:tcPr>
            <w:tcW w:w="1700" w:type="dxa"/>
            <w:shd w:val="clear" w:color="auto" w:fill="DDEBF7"/>
            <w:vAlign w:val="center"/>
          </w:tcPr>
          <w:p>
            <w:pPr>
              <w:spacing w:before="0" w:after="0"/>
              <w:jc w:val="center"/>
            </w:pPr>
            <w:r>
              <w:rPr>
                <w:b/>
                <w:sz w:val="18"/>
                <w:szCs w:val="18"/>
              </w:rPr>
              <w:t xml:space="preserve">Q2 2026</w:t>
            </w:r>
          </w:p>
        </w:tc>
      </w:tr>
      <w:tr>
        <w:tc>
          <w:tcPr>
            <w:tcW w:w="4872" w:type="dxa"/>
            <w:vAlign w:val="center"/>
          </w:tcPr>
          <w:p>
            <w:pPr>
              <w:spacing w:before="0" w:after="0"/>
              <w:jc w:val="left"/>
            </w:pPr>
            <w:r>
              <w:rPr>
                <w:b/>
                <w:sz w:val="18"/>
                <w:szCs w:val="18"/>
              </w:rPr>
              <w:t xml:space="preserve">Current assets</w:t>
            </w:r>
          </w:p>
        </w:tc>
        <w:tc>
          <w:tcPr>
            <w:tcW w:w="800" w:type="dxa"/>
            <w:vAlign w:val="center"/>
          </w:tcPr>
          <w:p>
            <w:pPr>
              <w:spacing w:before="0" w:after="0"/>
              <w:jc w:val="left"/>
            </w:pPr>
            <w:r>
              <w:rPr>
                <w:b/>
                <w:sz w:val="18"/>
                <w:szCs w:val="18"/>
              </w:rPr>
              <w:t xml:space="preserve"/>
            </w:r>
          </w:p>
        </w:tc>
        <w:tc>
          <w:tcPr>
            <w:tcW w:w="1700" w:type="dxa"/>
            <w:vAlign w:val="center"/>
          </w:tcPr>
          <w:p>
            <w:pPr>
              <w:spacing w:before="0" w:after="0"/>
              <w:jc w:val="right"/>
            </w:pPr>
            <w:r>
              <w:rPr>
                <w:b/>
                <w:sz w:val="18"/>
                <w:szCs w:val="18"/>
              </w:rPr>
              <w:t xml:space="preserve"/>
            </w:r>
          </w:p>
        </w:tc>
        <w:tc>
          <w:tcPr>
            <w:tcW w:w="1700" w:type="dxa"/>
            <w:vAlign w:val="center"/>
          </w:tcPr>
          <w:p>
            <w:pPr>
              <w:spacing w:before="0" w:after="0"/>
              <w:jc w:val="right"/>
            </w:pPr>
            <w:r>
              <w:rPr>
                <w:b/>
                <w:sz w:val="18"/>
                <w:szCs w:val="18"/>
              </w:rPr>
              <w:t xml:space="preserve"/>
            </w:r>
          </w:p>
        </w:tc>
      </w:tr>
      <w:tr>
        <w:tc>
          <w:tcPr>
            <w:tcW w:w="4872" w:type="dxa"/>
            <w:vAlign w:val="center"/>
          </w:tcPr>
          <w:p>
            <w:pPr>
              <w:spacing w:before="0" w:after="0"/>
              <w:jc w:val="left"/>
            </w:pPr>
            <w:r>
              <w:rPr>
                <w:sz w:val="18"/>
                <w:szCs w:val="18"/>
              </w:rPr>
              <w:t xml:space="preserve">Cash and cash equivalents</w:t>
            </w:r>
          </w:p>
        </w:tc>
        <w:tc>
          <w:tcPr>
            <w:tcW w:w="800" w:type="dxa"/>
            <w:vAlign w:val="center"/>
          </w:tcPr>
          <w:p>
            <w:pPr>
              <w:spacing w:before="0" w:after="0"/>
              <w:jc w:val="left"/>
            </w:pPr>
            <w:r>
              <w:rPr>
                <w:sz w:val="18"/>
                <w:szCs w:val="18"/>
              </w:rPr>
              <w:t xml:space="preserve">2</w:t>
            </w:r>
          </w:p>
        </w:tc>
        <w:tc>
          <w:tcPr>
            <w:tcW w:w="1700" w:type="dxa"/>
            <w:vAlign w:val="center"/>
          </w:tcPr>
          <w:p>
            <w:pPr>
              <w:spacing w:before="0" w:after="0"/>
              <w:jc w:val="right"/>
            </w:pPr>
            <w:r>
              <w:rPr>
                <w:sz w:val="18"/>
                <w:szCs w:val="18"/>
              </w:rPr>
              <w:t xml:space="preserve">57,619</w:t>
            </w:r>
          </w:p>
        </w:tc>
        <w:tc>
          <w:tcPr>
            <w:tcW w:w="1700" w:type="dxa"/>
            <w:vAlign w:val="center"/>
          </w:tcPr>
          <w:p>
            <w:pPr>
              <w:spacing w:before="0" w:after="0"/>
              <w:jc w:val="right"/>
            </w:pPr>
            <w:r>
              <w:rPr>
                <w:sz w:val="18"/>
                <w:szCs w:val="18"/>
              </w:rPr>
              <w:t xml:space="preserve">56,612</w:t>
            </w:r>
          </w:p>
        </w:tc>
      </w:tr>
      <w:tr>
        <w:tc>
          <w:tcPr>
            <w:tcW w:w="4872" w:type="dxa"/>
            <w:vAlign w:val="center"/>
          </w:tcPr>
          <w:p>
            <w:pPr>
              <w:spacing w:before="0" w:after="0"/>
              <w:jc w:val="left"/>
            </w:pPr>
            <w:r>
              <w:rPr>
                <w:sz w:val="18"/>
                <w:szCs w:val="18"/>
              </w:rPr>
              <w:t xml:space="preserve">Short-term investments</w:t>
            </w:r>
          </w:p>
        </w:tc>
        <w:tc>
          <w:tcPr>
            <w:tcW w:w="800" w:type="dxa"/>
            <w:vAlign w:val="center"/>
          </w:tcPr>
          <w:p>
            <w:pPr>
              <w:spacing w:before="0" w:after="0"/>
              <w:jc w:val="left"/>
            </w:pPr>
            <w:r>
              <w:rPr>
                <w:sz w:val="18"/>
                <w:szCs w:val="18"/>
              </w:rPr>
              <w:t xml:space="preserve"/>
            </w:r>
          </w:p>
        </w:tc>
        <w:tc>
          <w:tcPr>
            <w:tcW w:w="1700" w:type="dxa"/>
            <w:vAlign w:val="center"/>
          </w:tcPr>
          <w:p>
            <w:pPr>
              <w:spacing w:before="0" w:after="0"/>
              <w:jc w:val="right"/>
            </w:pPr>
            <w:r>
              <w:rPr>
                <w:sz w:val="18"/>
                <w:szCs w:val="18"/>
              </w:rPr>
              <w:t xml:space="preserve">11,774</w:t>
            </w:r>
          </w:p>
        </w:tc>
        <w:tc>
          <w:tcPr>
            <w:tcW w:w="1700" w:type="dxa"/>
            <w:vAlign w:val="center"/>
          </w:tcPr>
          <w:p>
            <w:pPr>
              <w:spacing w:before="0" w:after="0"/>
              <w:jc w:val="right"/>
            </w:pPr>
            <w:r>
              <w:rPr>
                <w:sz w:val="18"/>
                <w:szCs w:val="18"/>
              </w:rPr>
              <w:t xml:space="preserve">13,722</w:t>
            </w:r>
          </w:p>
        </w:tc>
      </w:tr>
      <w:tr>
        <w:tc>
          <w:tcPr>
            <w:tcW w:w="4872" w:type="dxa"/>
            <w:vAlign w:val="center"/>
          </w:tcPr>
          <w:p>
            <w:pPr>
              <w:spacing w:before="0" w:after="0"/>
              <w:jc w:val="left"/>
            </w:pPr>
            <w:r>
              <w:rPr>
                <w:sz w:val="18"/>
                <w:szCs w:val="18"/>
              </w:rPr>
              <w:t xml:space="preserve">Accounts receivable, net</w:t>
            </w:r>
          </w:p>
        </w:tc>
        <w:tc>
          <w:tcPr>
            <w:tcW w:w="800" w:type="dxa"/>
            <w:vAlign w:val="center"/>
          </w:tcPr>
          <w:p>
            <w:pPr>
              <w:spacing w:before="0" w:after="0"/>
              <w:jc w:val="left"/>
            </w:pPr>
            <w:r>
              <w:rPr>
                <w:sz w:val="18"/>
                <w:szCs w:val="18"/>
              </w:rPr>
              <w:t xml:space="preserve"/>
            </w:r>
          </w:p>
        </w:tc>
        <w:tc>
          <w:tcPr>
            <w:tcW w:w="1700" w:type="dxa"/>
            <w:vAlign w:val="center"/>
          </w:tcPr>
          <w:p>
            <w:pPr>
              <w:spacing w:before="0" w:after="0"/>
              <w:jc w:val="right"/>
            </w:pPr>
            <w:r>
              <w:rPr>
                <w:sz w:val="18"/>
                <w:szCs w:val="18"/>
              </w:rPr>
              <w:t xml:space="preserve">9,846</w:t>
            </w:r>
          </w:p>
        </w:tc>
        <w:tc>
          <w:tcPr>
            <w:tcW w:w="1700" w:type="dxa"/>
            <w:vAlign w:val="center"/>
          </w:tcPr>
          <w:p>
            <w:pPr>
              <w:spacing w:before="0" w:after="0"/>
              <w:jc w:val="right"/>
            </w:pPr>
            <w:r>
              <w:rPr>
                <w:sz w:val="18"/>
                <w:szCs w:val="18"/>
              </w:rPr>
              <w:t xml:space="preserve">10,839</w:t>
            </w:r>
          </w:p>
        </w:tc>
      </w:tr>
      <w:tr>
        <w:tc>
          <w:tcPr>
            <w:tcW w:w="4872" w:type="dxa"/>
            <w:vAlign w:val="center"/>
          </w:tcPr>
          <w:p>
            <w:pPr>
              <w:spacing w:before="0" w:after="0"/>
              <w:jc w:val="left"/>
            </w:pPr>
            <w:r>
              <w:rPr>
                <w:sz w:val="18"/>
                <w:szCs w:val="18"/>
              </w:rPr>
              <w:t xml:space="preserve">Inventories</w:t>
            </w:r>
          </w:p>
        </w:tc>
        <w:tc>
          <w:tcPr>
            <w:tcW w:w="800" w:type="dxa"/>
            <w:vAlign w:val="center"/>
          </w:tcPr>
          <w:p>
            <w:pPr>
              <w:spacing w:before="0" w:after="0"/>
              <w:jc w:val="left"/>
            </w:pPr>
            <w:r>
              <w:rPr>
                <w:sz w:val="18"/>
                <w:szCs w:val="18"/>
              </w:rPr>
              <w:t xml:space="preserve">1</w:t>
            </w:r>
          </w:p>
        </w:tc>
        <w:tc>
          <w:tcPr>
            <w:tcW w:w="1700" w:type="dxa"/>
            <w:vAlign w:val="center"/>
          </w:tcPr>
          <w:p>
            <w:pPr>
              <w:spacing w:before="0" w:after="0"/>
              <w:jc w:val="right"/>
            </w:pPr>
            <w:r>
              <w:rPr>
                <w:sz w:val="18"/>
                <w:szCs w:val="18"/>
              </w:rPr>
              <w:t xml:space="preserve">23,478</w:t>
            </w:r>
          </w:p>
        </w:tc>
        <w:tc>
          <w:tcPr>
            <w:tcW w:w="1700" w:type="dxa"/>
            <w:vAlign w:val="center"/>
          </w:tcPr>
          <w:p>
            <w:pPr>
              <w:spacing w:before="0" w:after="0"/>
              <w:jc w:val="right"/>
            </w:pPr>
            <w:r>
              <w:rPr>
                <w:sz w:val="18"/>
                <w:szCs w:val="18"/>
              </w:rPr>
              <w:t xml:space="preserve">24,522</w:t>
            </w:r>
          </w:p>
        </w:tc>
      </w:tr>
      <w:tr>
        <w:tc>
          <w:tcPr>
            <w:tcW w:w="4872" w:type="dxa"/>
            <w:vAlign w:val="center"/>
          </w:tcPr>
          <w:p>
            <w:pPr>
              <w:spacing w:before="0" w:after="0"/>
              <w:jc w:val="left"/>
            </w:pPr>
            <w:r>
              <w:rPr>
                <w:sz w:val="18"/>
                <w:szCs w:val="18"/>
              </w:rPr>
              <w:t xml:space="preserve">Prepaid expenses and other current assets</w:t>
            </w:r>
          </w:p>
        </w:tc>
        <w:tc>
          <w:tcPr>
            <w:tcW w:w="800" w:type="dxa"/>
            <w:vAlign w:val="center"/>
          </w:tcPr>
          <w:p>
            <w:pPr>
              <w:spacing w:before="0" w:after="0"/>
              <w:jc w:val="left"/>
            </w:pPr>
            <w:r>
              <w:rPr>
                <w:sz w:val="18"/>
                <w:szCs w:val="18"/>
              </w:rPr>
              <w:t xml:space="preserve"/>
            </w:r>
          </w:p>
        </w:tc>
        <w:tc>
          <w:tcPr>
            <w:tcW w:w="1700" w:type="dxa"/>
            <w:vAlign w:val="center"/>
          </w:tcPr>
          <w:p>
            <w:pPr>
              <w:spacing w:before="0" w:after="0"/>
              <w:jc w:val="right"/>
            </w:pPr>
            <w:r>
              <w:rPr>
                <w:sz w:val="18"/>
                <w:szCs w:val="18"/>
              </w:rPr>
              <w:t xml:space="preserve">7,718</w:t>
            </w:r>
          </w:p>
        </w:tc>
        <w:tc>
          <w:tcPr>
            <w:tcW w:w="1700" w:type="dxa"/>
            <w:vAlign w:val="center"/>
          </w:tcPr>
          <w:p>
            <w:pPr>
              <w:spacing w:before="0" w:after="0"/>
              <w:jc w:val="right"/>
            </w:pPr>
            <w:r>
              <w:rPr>
                <w:sz w:val="18"/>
                <w:szCs w:val="18"/>
              </w:rPr>
              <w:t xml:space="preserve">8,270</w:t>
            </w:r>
          </w:p>
        </w:tc>
      </w:tr>
      <w:tr>
        <w:tc>
          <w:tcPr>
            <w:tcW w:w="4872" w:type="dxa"/>
            <w:vAlign w:val="center"/>
          </w:tcPr>
          <w:p>
            <w:pPr>
              <w:spacing w:before="0" w:after="0"/>
              <w:jc w:val="left"/>
            </w:pPr>
            <w:r>
              <w:rPr>
                <w:b/>
                <w:sz w:val="18"/>
                <w:szCs w:val="18"/>
              </w:rPr>
              <w:t xml:space="preserve">Total current assets</w:t>
            </w:r>
          </w:p>
        </w:tc>
        <w:tc>
          <w:tcPr>
            <w:tcW w:w="800" w:type="dxa"/>
            <w:vAlign w:val="center"/>
          </w:tcPr>
          <w:p>
            <w:pPr>
              <w:spacing w:before="0" w:after="0"/>
              <w:jc w:val="left"/>
            </w:pPr>
            <w:r>
              <w:rPr>
                <w:b/>
                <w:sz w:val="18"/>
                <w:szCs w:val="18"/>
              </w:rPr>
              <w:t xml:space="preserve"/>
            </w:r>
          </w:p>
        </w:tc>
        <w:tc>
          <w:tcPr>
            <w:tcW w:w="1700" w:type="dxa"/>
            <w:vAlign w:val="center"/>
          </w:tcPr>
          <w:p>
            <w:pPr>
              <w:spacing w:before="0" w:after="0"/>
              <w:jc w:val="right"/>
            </w:pPr>
            <w:r>
              <w:rPr>
                <w:b/>
                <w:sz w:val="18"/>
                <w:szCs w:val="18"/>
              </w:rPr>
              <w:t xml:space="preserve">110,435</w:t>
            </w:r>
          </w:p>
        </w:tc>
        <w:tc>
          <w:tcPr>
            <w:tcW w:w="1700" w:type="dxa"/>
            <w:vAlign w:val="center"/>
          </w:tcPr>
          <w:p>
            <w:pPr>
              <w:spacing w:before="0" w:after="0"/>
              <w:jc w:val="right"/>
            </w:pPr>
            <w:r>
              <w:rPr>
                <w:b/>
                <w:sz w:val="18"/>
                <w:szCs w:val="18"/>
              </w:rPr>
              <w:t xml:space="preserve">113,965</w:t>
            </w:r>
          </w:p>
        </w:tc>
      </w:tr>
      <w:tr>
        <w:tc>
          <w:tcPr>
            <w:tcW w:w="4872" w:type="dxa"/>
            <w:vAlign w:val="center"/>
          </w:tcPr>
          <w:p>
            <w:pPr>
              <w:spacing w:before="0" w:after="0"/>
              <w:jc w:val="left"/>
            </w:pPr>
            <w:r>
              <w:rPr>
                <w:b/>
                <w:sz w:val="18"/>
                <w:szCs w:val="18"/>
              </w:rPr>
              <w:t xml:space="preserve">Non-current assets</w:t>
            </w:r>
          </w:p>
        </w:tc>
        <w:tc>
          <w:tcPr>
            <w:tcW w:w="800" w:type="dxa"/>
            <w:vAlign w:val="center"/>
          </w:tcPr>
          <w:p>
            <w:pPr>
              <w:spacing w:before="0" w:after="0"/>
              <w:jc w:val="left"/>
            </w:pPr>
            <w:r>
              <w:rPr>
                <w:b/>
                <w:sz w:val="18"/>
                <w:szCs w:val="18"/>
              </w:rPr>
              <w:t xml:space="preserve"/>
            </w:r>
          </w:p>
        </w:tc>
        <w:tc>
          <w:tcPr>
            <w:tcW w:w="1700" w:type="dxa"/>
            <w:vAlign w:val="center"/>
          </w:tcPr>
          <w:p>
            <w:pPr>
              <w:spacing w:before="0" w:after="0"/>
              <w:jc w:val="right"/>
            </w:pPr>
            <w:r>
              <w:rPr>
                <w:b/>
                <w:sz w:val="18"/>
                <w:szCs w:val="18"/>
              </w:rPr>
              <w:t xml:space="preserve"/>
            </w:r>
          </w:p>
        </w:tc>
        <w:tc>
          <w:tcPr>
            <w:tcW w:w="1700" w:type="dxa"/>
            <w:vAlign w:val="center"/>
          </w:tcPr>
          <w:p>
            <w:pPr>
              <w:spacing w:before="0" w:after="0"/>
              <w:jc w:val="right"/>
            </w:pPr>
            <w:r>
              <w:rPr>
                <w:b/>
                <w:sz w:val="18"/>
                <w:szCs w:val="18"/>
              </w:rPr>
              <w:t xml:space="preserve"/>
            </w:r>
          </w:p>
        </w:tc>
      </w:tr>
      <w:tr>
        <w:tc>
          <w:tcPr>
            <w:tcW w:w="4872" w:type="dxa"/>
            <w:vAlign w:val="center"/>
          </w:tcPr>
          <w:p>
            <w:pPr>
              <w:spacing w:before="0" w:after="0"/>
              <w:jc w:val="left"/>
            </w:pPr>
            <w:r>
              <w:rPr>
                <w:sz w:val="18"/>
                <w:szCs w:val="18"/>
              </w:rPr>
              <w:t xml:space="preserve">Property and equipment, net</w:t>
            </w:r>
          </w:p>
        </w:tc>
        <w:tc>
          <w:tcPr>
            <w:tcW w:w="800" w:type="dxa"/>
            <w:vAlign w:val="center"/>
          </w:tcPr>
          <w:p>
            <w:pPr>
              <w:spacing w:before="0" w:after="0"/>
              <w:jc w:val="left"/>
            </w:pPr>
            <w:r>
              <w:rPr>
                <w:sz w:val="18"/>
                <w:szCs w:val="18"/>
              </w:rPr>
              <w:t xml:space="preserve">3</w:t>
            </w:r>
          </w:p>
        </w:tc>
        <w:tc>
          <w:tcPr>
            <w:tcW w:w="1700" w:type="dxa"/>
            <w:vAlign w:val="center"/>
          </w:tcPr>
          <w:p>
            <w:pPr>
              <w:spacing w:before="0" w:after="0"/>
              <w:jc w:val="right"/>
            </w:pPr>
            <w:r>
              <w:rPr>
                <w:sz w:val="18"/>
                <w:szCs w:val="18"/>
              </w:rPr>
              <w:t xml:space="preserve">133,239</w:t>
            </w:r>
          </w:p>
        </w:tc>
        <w:tc>
          <w:tcPr>
            <w:tcW w:w="1700" w:type="dxa"/>
            <w:vAlign w:val="center"/>
          </w:tcPr>
          <w:p>
            <w:pPr>
              <w:spacing w:before="0" w:after="0"/>
              <w:jc w:val="right"/>
            </w:pPr>
            <w:r>
              <w:rPr>
                <w:sz w:val="18"/>
                <w:szCs w:val="18"/>
              </w:rPr>
              <w:t xml:space="preserve">154,304</w:t>
            </w:r>
          </w:p>
        </w:tc>
      </w:tr>
      <w:tr>
        <w:tc>
          <w:tcPr>
            <w:tcW w:w="4872" w:type="dxa"/>
            <w:vAlign w:val="center"/>
          </w:tcPr>
          <w:p>
            <w:pPr>
              <w:spacing w:before="0" w:after="0"/>
              <w:jc w:val="left"/>
            </w:pPr>
            <w:r>
              <w:rPr>
                <w:sz w:val="18"/>
                <w:szCs w:val="18"/>
              </w:rPr>
              <w:t xml:space="preserve">Operating lease right-of-use assets</w:t>
            </w:r>
          </w:p>
        </w:tc>
        <w:tc>
          <w:tcPr>
            <w:tcW w:w="800" w:type="dxa"/>
            <w:vAlign w:val="center"/>
          </w:tcPr>
          <w:p>
            <w:pPr>
              <w:spacing w:before="0" w:after="0"/>
              <w:jc w:val="left"/>
            </w:pPr>
            <w:r>
              <w:rPr>
                <w:sz w:val="18"/>
                <w:szCs w:val="18"/>
              </w:rPr>
              <w:t xml:space="preserve">11</w:t>
            </w:r>
          </w:p>
        </w:tc>
        <w:tc>
          <w:tcPr>
            <w:tcW w:w="1700" w:type="dxa"/>
            <w:vAlign w:val="center"/>
          </w:tcPr>
          <w:p>
            <w:pPr>
              <w:spacing w:before="0" w:after="0"/>
              <w:jc w:val="right"/>
            </w:pPr>
            <w:r>
              <w:rPr>
                <w:sz w:val="18"/>
                <w:szCs w:val="18"/>
              </w:rPr>
              <w:t xml:space="preserve">121,109</w:t>
            </w:r>
          </w:p>
        </w:tc>
        <w:tc>
          <w:tcPr>
            <w:tcW w:w="1700" w:type="dxa"/>
            <w:vAlign w:val="center"/>
          </w:tcPr>
          <w:p>
            <w:pPr>
              <w:spacing w:before="0" w:after="0"/>
              <w:jc w:val="right"/>
            </w:pPr>
            <w:r>
              <w:rPr>
                <w:sz w:val="18"/>
                <w:szCs w:val="18"/>
              </w:rPr>
              <w:t xml:space="preserve">130,185</w:t>
            </w:r>
          </w:p>
        </w:tc>
      </w:tr>
      <w:tr>
        <w:tc>
          <w:tcPr>
            <w:tcW w:w="4872" w:type="dxa"/>
            <w:vAlign w:val="center"/>
          </w:tcPr>
          <w:p>
            <w:pPr>
              <w:spacing w:before="0" w:after="0"/>
              <w:jc w:val="left"/>
            </w:pPr>
            <w:r>
              <w:rPr>
                <w:sz w:val="18"/>
                <w:szCs w:val="18"/>
              </w:rPr>
              <w:t xml:space="preserve">Deferred income taxes</w:t>
            </w:r>
          </w:p>
        </w:tc>
        <w:tc>
          <w:tcPr>
            <w:tcW w:w="800" w:type="dxa"/>
            <w:vAlign w:val="center"/>
          </w:tcPr>
          <w:p>
            <w:pPr>
              <w:spacing w:before="0" w:after="0"/>
              <w:jc w:val="left"/>
            </w:pPr>
            <w:r>
              <w:rPr>
                <w:sz w:val="18"/>
                <w:szCs w:val="18"/>
              </w:rPr>
              <w:t xml:space="preserve"/>
            </w:r>
          </w:p>
        </w:tc>
        <w:tc>
          <w:tcPr>
            <w:tcW w:w="1700" w:type="dxa"/>
            <w:vAlign w:val="center"/>
          </w:tcPr>
          <w:p>
            <w:pPr>
              <w:spacing w:before="0" w:after="0"/>
              <w:jc w:val="right"/>
            </w:pPr>
            <w:r>
              <w:rPr>
                <w:sz w:val="18"/>
                <w:szCs w:val="18"/>
              </w:rPr>
              <w:t xml:space="preserve">5,571</w:t>
            </w:r>
          </w:p>
        </w:tc>
        <w:tc>
          <w:tcPr>
            <w:tcW w:w="1700" w:type="dxa"/>
            <w:vAlign w:val="center"/>
          </w:tcPr>
          <w:p>
            <w:pPr>
              <w:spacing w:before="0" w:after="0"/>
              <w:jc w:val="right"/>
            </w:pPr>
            <w:r>
              <w:rPr>
                <w:sz w:val="18"/>
                <w:szCs w:val="18"/>
              </w:rPr>
              <w:t xml:space="preserve">6,177</w:t>
            </w:r>
          </w:p>
        </w:tc>
      </w:tr>
      <w:tr>
        <w:tc>
          <w:tcPr>
            <w:tcW w:w="4872" w:type="dxa"/>
            <w:vAlign w:val="center"/>
          </w:tcPr>
          <w:p>
            <w:pPr>
              <w:spacing w:before="0" w:after="0"/>
              <w:jc w:val="left"/>
            </w:pPr>
            <w:r>
              <w:rPr>
                <w:sz w:val="18"/>
                <w:szCs w:val="18"/>
              </w:rPr>
              <w:t xml:space="preserve">Goodwill</w:t>
            </w:r>
          </w:p>
        </w:tc>
        <w:tc>
          <w:tcPr>
            <w:tcW w:w="800" w:type="dxa"/>
            <w:vAlign w:val="center"/>
          </w:tcPr>
          <w:p>
            <w:pPr>
              <w:spacing w:before="0" w:after="0"/>
              <w:jc w:val="left"/>
            </w:pPr>
            <w:r>
              <w:rPr>
                <w:sz w:val="18"/>
                <w:szCs w:val="18"/>
              </w:rPr>
              <w:t xml:space="preserve"/>
            </w:r>
          </w:p>
        </w:tc>
        <w:tc>
          <w:tcPr>
            <w:tcW w:w="1700" w:type="dxa"/>
            <w:vAlign w:val="center"/>
          </w:tcPr>
          <w:p>
            <w:pPr>
              <w:spacing w:before="0" w:after="0"/>
              <w:jc w:val="right"/>
            </w:pPr>
            <w:r>
              <w:rPr>
                <w:sz w:val="18"/>
                <w:szCs w:val="18"/>
              </w:rPr>
              <w:t xml:space="preserve">8,361</w:t>
            </w:r>
          </w:p>
        </w:tc>
        <w:tc>
          <w:tcPr>
            <w:tcW w:w="1700" w:type="dxa"/>
            <w:vAlign w:val="center"/>
          </w:tcPr>
          <w:p>
            <w:pPr>
              <w:spacing w:before="0" w:after="0"/>
              <w:jc w:val="right"/>
            </w:pPr>
            <w:r>
              <w:rPr>
                <w:sz w:val="18"/>
                <w:szCs w:val="18"/>
              </w:rPr>
              <w:t xml:space="preserve">8,969</w:t>
            </w:r>
          </w:p>
        </w:tc>
      </w:tr>
      <w:tr>
        <w:tc>
          <w:tcPr>
            <w:tcW w:w="4872" w:type="dxa"/>
            <w:vAlign w:val="center"/>
          </w:tcPr>
          <w:p>
            <w:pPr>
              <w:spacing w:before="0" w:after="0"/>
              <w:jc w:val="left"/>
            </w:pPr>
            <w:r>
              <w:rPr>
                <w:sz w:val="18"/>
                <w:szCs w:val="18"/>
              </w:rPr>
              <w:t xml:space="preserve">Other intangible assets, net</w:t>
            </w:r>
          </w:p>
        </w:tc>
        <w:tc>
          <w:tcPr>
            <w:tcW w:w="800" w:type="dxa"/>
            <w:vAlign w:val="center"/>
          </w:tcPr>
          <w:p>
            <w:pPr>
              <w:spacing w:before="0" w:after="0"/>
              <w:jc w:val="left"/>
            </w:pPr>
            <w:r>
              <w:rPr>
                <w:sz w:val="18"/>
                <w:szCs w:val="18"/>
              </w:rPr>
              <w:t xml:space="preserve"/>
            </w:r>
          </w:p>
        </w:tc>
        <w:tc>
          <w:tcPr>
            <w:tcW w:w="1700" w:type="dxa"/>
            <w:vAlign w:val="center"/>
          </w:tcPr>
          <w:p>
            <w:pPr>
              <w:spacing w:before="0" w:after="0"/>
              <w:jc w:val="right"/>
            </w:pPr>
            <w:r>
              <w:rPr>
                <w:sz w:val="18"/>
                <w:szCs w:val="18"/>
              </w:rPr>
              <w:t xml:space="preserve">3,756</w:t>
            </w:r>
          </w:p>
        </w:tc>
        <w:tc>
          <w:tcPr>
            <w:tcW w:w="1700" w:type="dxa"/>
            <w:vAlign w:val="center"/>
          </w:tcPr>
          <w:p>
            <w:pPr>
              <w:spacing w:before="0" w:after="0"/>
              <w:jc w:val="right"/>
            </w:pPr>
            <w:r>
              <w:rPr>
                <w:sz w:val="18"/>
                <w:szCs w:val="18"/>
              </w:rPr>
              <w:t xml:space="preserve">4,332</w:t>
            </w:r>
          </w:p>
        </w:tc>
      </w:tr>
      <w:tr>
        <w:tc>
          <w:tcPr>
            <w:tcW w:w="4872" w:type="dxa"/>
            <w:vAlign w:val="center"/>
          </w:tcPr>
          <w:p>
            <w:pPr>
              <w:spacing w:before="0" w:after="0"/>
              <w:jc w:val="left"/>
            </w:pPr>
            <w:r>
              <w:rPr>
                <w:sz w:val="18"/>
                <w:szCs w:val="18"/>
              </w:rPr>
              <w:t xml:space="preserve">Security deposits</w:t>
            </w:r>
          </w:p>
        </w:tc>
        <w:tc>
          <w:tcPr>
            <w:tcW w:w="800" w:type="dxa"/>
            <w:vAlign w:val="center"/>
          </w:tcPr>
          <w:p>
            <w:pPr>
              <w:spacing w:before="0" w:after="0"/>
              <w:jc w:val="left"/>
            </w:pPr>
            <w:r>
              <w:rPr>
                <w:sz w:val="18"/>
                <w:szCs w:val="18"/>
              </w:rPr>
              <w:t xml:space="preserve">2</w:t>
            </w:r>
          </w:p>
        </w:tc>
        <w:tc>
          <w:tcPr>
            <w:tcW w:w="1700" w:type="dxa"/>
            <w:vAlign w:val="center"/>
          </w:tcPr>
          <w:p>
            <w:pPr>
              <w:spacing w:before="0" w:after="0"/>
              <w:jc w:val="right"/>
            </w:pPr>
            <w:r>
              <w:rPr>
                <w:sz w:val="18"/>
                <w:szCs w:val="18"/>
              </w:rPr>
              <w:t xml:space="preserve">8,580</w:t>
            </w:r>
          </w:p>
        </w:tc>
        <w:tc>
          <w:tcPr>
            <w:tcW w:w="1700" w:type="dxa"/>
            <w:vAlign w:val="center"/>
          </w:tcPr>
          <w:p>
            <w:pPr>
              <w:spacing w:before="0" w:after="0"/>
              <w:jc w:val="right"/>
            </w:pPr>
            <w:r>
              <w:rPr>
                <w:sz w:val="18"/>
                <w:szCs w:val="18"/>
              </w:rPr>
              <w:t xml:space="preserve">8,185</w:t>
            </w:r>
          </w:p>
        </w:tc>
      </w:tr>
      <w:tr>
        <w:tc>
          <w:tcPr>
            <w:tcW w:w="4872" w:type="dxa"/>
            <w:vAlign w:val="center"/>
          </w:tcPr>
          <w:p>
            <w:pPr>
              <w:spacing w:before="0" w:after="0"/>
              <w:jc w:val="left"/>
            </w:pPr>
            <w:r>
              <w:rPr>
                <w:sz w:val="18"/>
                <w:szCs w:val="18"/>
              </w:rPr>
              <w:t xml:space="preserve">Other long-term assets</w:t>
            </w:r>
          </w:p>
        </w:tc>
        <w:tc>
          <w:tcPr>
            <w:tcW w:w="800" w:type="dxa"/>
            <w:vAlign w:val="center"/>
          </w:tcPr>
          <w:p>
            <w:pPr>
              <w:spacing w:before="0" w:after="0"/>
              <w:jc w:val="left"/>
            </w:pPr>
            <w:r>
              <w:rPr>
                <w:sz w:val="18"/>
                <w:szCs w:val="18"/>
              </w:rPr>
              <w:t xml:space="preserve"/>
            </w:r>
          </w:p>
        </w:tc>
        <w:tc>
          <w:tcPr>
            <w:tcW w:w="1700" w:type="dxa"/>
            <w:vAlign w:val="center"/>
          </w:tcPr>
          <w:p>
            <w:pPr>
              <w:spacing w:before="0" w:after="0"/>
              <w:jc w:val="right"/>
            </w:pPr>
            <w:r>
              <w:rPr>
                <w:sz w:val="18"/>
                <w:szCs w:val="18"/>
              </w:rPr>
              <w:t xml:space="preserve">3,761</w:t>
            </w:r>
          </w:p>
        </w:tc>
        <w:tc>
          <w:tcPr>
            <w:tcW w:w="1700" w:type="dxa"/>
            <w:vAlign w:val="center"/>
          </w:tcPr>
          <w:p>
            <w:pPr>
              <w:spacing w:before="0" w:after="0"/>
              <w:jc w:val="right"/>
            </w:pPr>
            <w:r>
              <w:rPr>
                <w:sz w:val="18"/>
                <w:szCs w:val="18"/>
              </w:rPr>
              <w:t xml:space="preserve">4,456</w:t>
            </w:r>
          </w:p>
        </w:tc>
      </w:tr>
      <w:tr>
        <w:tc>
          <w:tcPr>
            <w:tcW w:w="4872" w:type="dxa"/>
            <w:vAlign w:val="center"/>
          </w:tcPr>
          <w:p>
            <w:pPr>
              <w:spacing w:before="0" w:after="0"/>
              <w:jc w:val="left"/>
            </w:pPr>
            <w:r>
              <w:rPr>
                <w:b/>
                <w:sz w:val="18"/>
                <w:szCs w:val="18"/>
              </w:rPr>
              <w:t xml:space="preserve">Total non-current assets</w:t>
            </w:r>
          </w:p>
        </w:tc>
        <w:tc>
          <w:tcPr>
            <w:tcW w:w="800" w:type="dxa"/>
            <w:vAlign w:val="center"/>
          </w:tcPr>
          <w:p>
            <w:pPr>
              <w:spacing w:before="0" w:after="0"/>
              <w:jc w:val="left"/>
            </w:pPr>
            <w:r>
              <w:rPr>
                <w:b/>
                <w:sz w:val="18"/>
                <w:szCs w:val="18"/>
              </w:rPr>
              <w:t xml:space="preserve"/>
            </w:r>
          </w:p>
        </w:tc>
        <w:tc>
          <w:tcPr>
            <w:tcW w:w="1700" w:type="dxa"/>
            <w:vAlign w:val="center"/>
          </w:tcPr>
          <w:p>
            <w:pPr>
              <w:spacing w:before="0" w:after="0"/>
              <w:jc w:val="right"/>
            </w:pPr>
            <w:r>
              <w:rPr>
                <w:b/>
                <w:sz w:val="18"/>
                <w:szCs w:val="18"/>
              </w:rPr>
              <w:t xml:space="preserve">284,377</w:t>
            </w:r>
          </w:p>
        </w:tc>
        <w:tc>
          <w:tcPr>
            <w:tcW w:w="1700" w:type="dxa"/>
            <w:vAlign w:val="center"/>
          </w:tcPr>
          <w:p>
            <w:pPr>
              <w:spacing w:before="0" w:after="0"/>
              <w:jc w:val="right"/>
            </w:pPr>
            <w:r>
              <w:rPr>
                <w:b/>
                <w:sz w:val="18"/>
                <w:szCs w:val="18"/>
              </w:rPr>
              <w:t xml:space="preserve">316,608</w:t>
            </w:r>
          </w:p>
        </w:tc>
      </w:tr>
      <w:tr>
        <w:tc>
          <w:tcPr>
            <w:tcW w:w="4872" w:type="dxa"/>
            <w:vAlign w:val="center"/>
          </w:tcPr>
          <w:p>
            <w:pPr>
              <w:spacing w:before="0" w:after="0"/>
              <w:jc w:val="left"/>
            </w:pPr>
            <w:r>
              <w:rPr>
                <w:b/>
                <w:sz w:val="18"/>
                <w:szCs w:val="18"/>
              </w:rPr>
              <w:t xml:space="preserve">Total assets</w:t>
            </w:r>
          </w:p>
        </w:tc>
        <w:tc>
          <w:tcPr>
            <w:tcW w:w="800" w:type="dxa"/>
            <w:vAlign w:val="center"/>
          </w:tcPr>
          <w:p>
            <w:pPr>
              <w:spacing w:before="0" w:after="0"/>
              <w:jc w:val="left"/>
            </w:pPr>
            <w:r>
              <w:rPr>
                <w:b/>
                <w:sz w:val="18"/>
                <w:szCs w:val="18"/>
              </w:rPr>
              <w:t xml:space="preserve"/>
            </w:r>
          </w:p>
        </w:tc>
        <w:tc>
          <w:tcPr>
            <w:tcW w:w="1700" w:type="dxa"/>
            <w:vAlign w:val="center"/>
          </w:tcPr>
          <w:p>
            <w:pPr>
              <w:spacing w:before="0" w:after="0"/>
              <w:jc w:val="right"/>
            </w:pPr>
            <w:r>
              <w:rPr>
                <w:b/>
                <w:sz w:val="18"/>
                <w:szCs w:val="18"/>
              </w:rPr>
              <w:t xml:space="preserve">394,812</w:t>
            </w:r>
          </w:p>
        </w:tc>
        <w:tc>
          <w:tcPr>
            <w:tcW w:w="1700" w:type="dxa"/>
            <w:vAlign w:val="center"/>
          </w:tcPr>
          <w:p>
            <w:pPr>
              <w:spacing w:before="0" w:after="0"/>
              <w:jc w:val="right"/>
            </w:pPr>
            <w:r>
              <w:rPr>
                <w:b/>
                <w:sz w:val="18"/>
                <w:szCs w:val="18"/>
              </w:rPr>
              <w:t xml:space="preserve">430,573</w:t>
            </w:r>
          </w:p>
        </w:tc>
      </w:tr>
    </w:tbl>
    <w:p>
      <w:pPr/>
    </w:p>
    <w:p>
      <w:r>
        <w:br w:type="page"/>
      </w:r>
    </w:p>
    <w:p>
      <w:pPr>
        <w:pStyle w:val="Heading3"/>
        <w:keepNext/>
      </w:pPr>
      <w:r>
        <w:t xml:space="preserve">Balance Sheets (Liabilities and Stockholders' Equity)</w:t>
      </w:r>
    </w:p>
    <w:p>
      <w:pPr>
        <w:jc w:val="right"/>
      </w:pPr>
      <w:r>
        <w:rPr>
          <w:sz w:val="18"/>
          <w:szCs w:val="18"/>
        </w:rPr>
        <w:t xml:space="preserve">(In thousands of U.S. dollars)</w:t>
      </w:r>
    </w:p>
    <w:tbl>
      <w:tblPr>
        <w:tblW w:w="907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72" w:type="dxa"/>
          <w:right w:w="72" w:type="dxa"/>
        </w:tblCellMar>
      </w:tblPr>
      <w:tblGrid>
        <w:gridCol w:w="4872"/>
        <w:gridCol w:w="800"/>
        <w:gridCol w:w="1700"/>
        <w:gridCol w:w="1700"/>
      </w:tblGrid>
      <w:tr>
        <w:trPr>
          <w:tblHeader/>
        </w:trPr>
        <w:tc>
          <w:tcPr>
            <w:tcW w:w="4872" w:type="dxa"/>
            <w:shd w:val="clear" w:color="auto" w:fill="DDEBF7"/>
            <w:vAlign w:val="center"/>
          </w:tcPr>
          <w:p>
            <w:pPr>
              <w:spacing w:before="0" w:after="0"/>
              <w:jc w:val="center"/>
            </w:pPr>
            <w:r>
              <w:rPr>
                <w:b/>
                <w:sz w:val="18"/>
                <w:szCs w:val="18"/>
              </w:rPr>
              <w:t xml:space="preserve"/>
            </w:r>
          </w:p>
        </w:tc>
        <w:tc>
          <w:tcPr>
            <w:tcW w:w="800" w:type="dxa"/>
            <w:shd w:val="clear" w:color="auto" w:fill="DDEBF7"/>
            <w:vAlign w:val="center"/>
          </w:tcPr>
          <w:p>
            <w:pPr>
              <w:spacing w:before="0" w:after="0"/>
              <w:jc w:val="center"/>
            </w:pPr>
            <w:r>
              <w:rPr>
                <w:b/>
                <w:sz w:val="18"/>
                <w:szCs w:val="18"/>
              </w:rPr>
              <w:t xml:space="preserve">Note</w:t>
            </w:r>
          </w:p>
        </w:tc>
        <w:tc>
          <w:tcPr>
            <w:tcW w:w="1700" w:type="dxa"/>
            <w:shd w:val="clear" w:color="auto" w:fill="DDEBF7"/>
            <w:vAlign w:val="center"/>
          </w:tcPr>
          <w:p>
            <w:pPr>
              <w:spacing w:before="0" w:after="0"/>
              <w:jc w:val="center"/>
            </w:pPr>
            <w:r>
              <w:rPr>
                <w:b/>
                <w:sz w:val="18"/>
                <w:szCs w:val="18"/>
              </w:rPr>
              <w:t xml:space="preserve">Q2 2025</w:t>
            </w:r>
          </w:p>
        </w:tc>
        <w:tc>
          <w:tcPr>
            <w:tcW w:w="1700" w:type="dxa"/>
            <w:shd w:val="clear" w:color="auto" w:fill="DDEBF7"/>
            <w:vAlign w:val="center"/>
          </w:tcPr>
          <w:p>
            <w:pPr>
              <w:spacing w:before="0" w:after="0"/>
              <w:jc w:val="center"/>
            </w:pPr>
            <w:r>
              <w:rPr>
                <w:b/>
                <w:sz w:val="18"/>
                <w:szCs w:val="18"/>
              </w:rPr>
              <w:t xml:space="preserve">Q2 2026</w:t>
            </w:r>
          </w:p>
        </w:tc>
      </w:tr>
      <w:tr>
        <w:tc>
          <w:tcPr>
            <w:tcW w:w="4872" w:type="dxa"/>
            <w:vAlign w:val="center"/>
          </w:tcPr>
          <w:p>
            <w:pPr>
              <w:spacing w:before="0" w:after="0"/>
              <w:jc w:val="left"/>
            </w:pPr>
            <w:r>
              <w:rPr>
                <w:b/>
                <w:sz w:val="18"/>
                <w:szCs w:val="18"/>
              </w:rPr>
              <w:t xml:space="preserve">Current liabilities</w:t>
            </w:r>
          </w:p>
        </w:tc>
        <w:tc>
          <w:tcPr>
            <w:tcW w:w="800" w:type="dxa"/>
            <w:vAlign w:val="center"/>
          </w:tcPr>
          <w:p>
            <w:pPr>
              <w:spacing w:before="0" w:after="0"/>
              <w:jc w:val="left"/>
            </w:pPr>
            <w:r>
              <w:rPr>
                <w:b/>
                <w:sz w:val="18"/>
                <w:szCs w:val="18"/>
              </w:rPr>
              <w:t xml:space="preserve"/>
            </w:r>
          </w:p>
        </w:tc>
        <w:tc>
          <w:tcPr>
            <w:tcW w:w="1700" w:type="dxa"/>
            <w:vAlign w:val="center"/>
          </w:tcPr>
          <w:p>
            <w:pPr>
              <w:spacing w:before="0" w:after="0"/>
              <w:jc w:val="right"/>
            </w:pPr>
            <w:r>
              <w:rPr>
                <w:b/>
                <w:sz w:val="18"/>
                <w:szCs w:val="18"/>
              </w:rPr>
              <w:t xml:space="preserve"/>
            </w:r>
          </w:p>
        </w:tc>
        <w:tc>
          <w:tcPr>
            <w:tcW w:w="1700" w:type="dxa"/>
            <w:vAlign w:val="center"/>
          </w:tcPr>
          <w:p>
            <w:pPr>
              <w:spacing w:before="0" w:after="0"/>
              <w:jc w:val="right"/>
            </w:pPr>
            <w:r>
              <w:rPr>
                <w:b/>
                <w:sz w:val="18"/>
                <w:szCs w:val="18"/>
              </w:rPr>
              <w:t xml:space="preserve"/>
            </w:r>
          </w:p>
        </w:tc>
      </w:tr>
      <w:tr>
        <w:tc>
          <w:tcPr>
            <w:tcW w:w="4872" w:type="dxa"/>
            <w:vAlign w:val="center"/>
          </w:tcPr>
          <w:p>
            <w:pPr>
              <w:spacing w:before="0" w:after="0"/>
              <w:jc w:val="left"/>
            </w:pPr>
            <w:r>
              <w:rPr>
                <w:sz w:val="18"/>
                <w:szCs w:val="18"/>
              </w:rPr>
              <w:t xml:space="preserve">Accounts payable</w:t>
            </w:r>
          </w:p>
        </w:tc>
        <w:tc>
          <w:tcPr>
            <w:tcW w:w="800" w:type="dxa"/>
            <w:vAlign w:val="center"/>
          </w:tcPr>
          <w:p>
            <w:pPr>
              <w:spacing w:before="0" w:after="0"/>
              <w:jc w:val="left"/>
            </w:pPr>
            <w:r>
              <w:rPr>
                <w:sz w:val="18"/>
                <w:szCs w:val="18"/>
              </w:rPr>
              <w:t xml:space="preserve"/>
            </w:r>
          </w:p>
        </w:tc>
        <w:tc>
          <w:tcPr>
            <w:tcW w:w="1700" w:type="dxa"/>
            <w:vAlign w:val="center"/>
          </w:tcPr>
          <w:p>
            <w:pPr>
              <w:spacing w:before="0" w:after="0"/>
              <w:jc w:val="right"/>
            </w:pPr>
            <w:r>
              <w:rPr>
                <w:sz w:val="18"/>
                <w:szCs w:val="18"/>
              </w:rPr>
              <w:t xml:space="preserve">16,171</w:t>
            </w:r>
          </w:p>
        </w:tc>
        <w:tc>
          <w:tcPr>
            <w:tcW w:w="1700" w:type="dxa"/>
            <w:vAlign w:val="center"/>
          </w:tcPr>
          <w:p>
            <w:pPr>
              <w:spacing w:before="0" w:after="0"/>
              <w:jc w:val="right"/>
            </w:pPr>
            <w:r>
              <w:rPr>
                <w:sz w:val="18"/>
                <w:szCs w:val="18"/>
              </w:rPr>
              <w:t xml:space="preserve">18,114</w:t>
            </w:r>
          </w:p>
        </w:tc>
      </w:tr>
      <w:tr>
        <w:tc>
          <w:tcPr>
            <w:tcW w:w="4872" w:type="dxa"/>
            <w:vAlign w:val="center"/>
          </w:tcPr>
          <w:p>
            <w:pPr>
              <w:spacing w:before="0" w:after="0"/>
              <w:jc w:val="left"/>
            </w:pPr>
            <w:r>
              <w:rPr>
                <w:sz w:val="18"/>
                <w:szCs w:val="18"/>
              </w:rPr>
              <w:t xml:space="preserve">Accrued payroll and benefits</w:t>
            </w:r>
          </w:p>
        </w:tc>
        <w:tc>
          <w:tcPr>
            <w:tcW w:w="800" w:type="dxa"/>
            <w:vAlign w:val="center"/>
          </w:tcPr>
          <w:p>
            <w:pPr>
              <w:spacing w:before="0" w:after="0"/>
              <w:jc w:val="left"/>
            </w:pPr>
            <w:r>
              <w:rPr>
                <w:sz w:val="18"/>
                <w:szCs w:val="18"/>
              </w:rPr>
              <w:t xml:space="preserve">4</w:t>
            </w:r>
          </w:p>
        </w:tc>
        <w:tc>
          <w:tcPr>
            <w:tcW w:w="1700" w:type="dxa"/>
            <w:vAlign w:val="center"/>
          </w:tcPr>
          <w:p>
            <w:pPr>
              <w:spacing w:before="0" w:after="0"/>
              <w:jc w:val="right"/>
            </w:pPr>
            <w:r>
              <w:rPr>
                <w:sz w:val="18"/>
                <w:szCs w:val="18"/>
              </w:rPr>
              <w:t xml:space="preserve">11,140</w:t>
            </w:r>
          </w:p>
        </w:tc>
        <w:tc>
          <w:tcPr>
            <w:tcW w:w="1700" w:type="dxa"/>
            <w:vAlign w:val="center"/>
          </w:tcPr>
          <w:p>
            <w:pPr>
              <w:spacing w:before="0" w:after="0"/>
              <w:jc w:val="right"/>
            </w:pPr>
            <w:r>
              <w:rPr>
                <w:sz w:val="18"/>
                <w:szCs w:val="18"/>
              </w:rPr>
              <w:t xml:space="preserve">11,989</w:t>
            </w:r>
          </w:p>
        </w:tc>
      </w:tr>
      <w:tr>
        <w:tc>
          <w:tcPr>
            <w:tcW w:w="4872" w:type="dxa"/>
            <w:vAlign w:val="center"/>
          </w:tcPr>
          <w:p>
            <w:pPr>
              <w:spacing w:before="0" w:after="0"/>
              <w:jc w:val="left"/>
            </w:pPr>
            <w:r>
              <w:rPr>
                <w:sz w:val="18"/>
                <w:szCs w:val="18"/>
              </w:rPr>
              <w:t xml:space="preserve">Current portion of operating lease liabilities</w:t>
            </w:r>
          </w:p>
        </w:tc>
        <w:tc>
          <w:tcPr>
            <w:tcW w:w="800" w:type="dxa"/>
            <w:vAlign w:val="center"/>
          </w:tcPr>
          <w:p>
            <w:pPr>
              <w:spacing w:before="0" w:after="0"/>
              <w:jc w:val="left"/>
            </w:pPr>
            <w:r>
              <w:rPr>
                <w:sz w:val="18"/>
                <w:szCs w:val="18"/>
              </w:rPr>
              <w:t xml:space="preserve">5</w:t>
            </w:r>
          </w:p>
        </w:tc>
        <w:tc>
          <w:tcPr>
            <w:tcW w:w="1700" w:type="dxa"/>
            <w:vAlign w:val="center"/>
          </w:tcPr>
          <w:p>
            <w:pPr>
              <w:spacing w:before="0" w:after="0"/>
              <w:jc w:val="right"/>
            </w:pPr>
            <w:r>
              <w:rPr>
                <w:sz w:val="18"/>
                <w:szCs w:val="18"/>
              </w:rPr>
              <w:t xml:space="preserve">18,634</w:t>
            </w:r>
          </w:p>
        </w:tc>
        <w:tc>
          <w:tcPr>
            <w:tcW w:w="1700" w:type="dxa"/>
            <w:vAlign w:val="center"/>
          </w:tcPr>
          <w:p>
            <w:pPr>
              <w:spacing w:before="0" w:after="0"/>
              <w:jc w:val="right"/>
            </w:pPr>
            <w:r>
              <w:rPr>
                <w:sz w:val="18"/>
                <w:szCs w:val="18"/>
              </w:rPr>
              <w:t xml:space="preserve">18,819</w:t>
            </w:r>
          </w:p>
        </w:tc>
      </w:tr>
      <w:tr>
        <w:tc>
          <w:tcPr>
            <w:tcW w:w="4872" w:type="dxa"/>
            <w:vAlign w:val="center"/>
          </w:tcPr>
          <w:p>
            <w:pPr>
              <w:spacing w:before="0" w:after="0"/>
              <w:jc w:val="left"/>
            </w:pPr>
            <w:r>
              <w:rPr>
                <w:sz w:val="18"/>
                <w:szCs w:val="18"/>
              </w:rPr>
              <w:t xml:space="preserve">Current portion of long-term debt</w:t>
            </w:r>
          </w:p>
        </w:tc>
        <w:tc>
          <w:tcPr>
            <w:tcW w:w="800" w:type="dxa"/>
            <w:vAlign w:val="center"/>
          </w:tcPr>
          <w:p>
            <w:pPr>
              <w:spacing w:before="0" w:after="0"/>
              <w:jc w:val="left"/>
            </w:pPr>
            <w:r>
              <w:rPr>
                <w:sz w:val="18"/>
                <w:szCs w:val="18"/>
              </w:rPr>
              <w:t xml:space="preserve"/>
            </w:r>
          </w:p>
        </w:tc>
        <w:tc>
          <w:tcPr>
            <w:tcW w:w="1700" w:type="dxa"/>
            <w:vAlign w:val="center"/>
          </w:tcPr>
          <w:p>
            <w:pPr>
              <w:spacing w:before="0" w:after="0"/>
              <w:jc w:val="right"/>
            </w:pPr>
            <w:r>
              <w:rPr>
                <w:sz w:val="18"/>
                <w:szCs w:val="18"/>
              </w:rPr>
              <w:t xml:space="preserve">8,160</w:t>
            </w:r>
          </w:p>
        </w:tc>
        <w:tc>
          <w:tcPr>
            <w:tcW w:w="1700" w:type="dxa"/>
            <w:vAlign w:val="center"/>
          </w:tcPr>
          <w:p>
            <w:pPr>
              <w:spacing w:before="0" w:after="0"/>
              <w:jc w:val="right"/>
            </w:pPr>
            <w:r>
              <w:rPr>
                <w:sz w:val="18"/>
                <w:szCs w:val="18"/>
              </w:rPr>
              <w:t xml:space="preserve">9,202</w:t>
            </w:r>
          </w:p>
        </w:tc>
      </w:tr>
      <w:tr>
        <w:tc>
          <w:tcPr>
            <w:tcW w:w="4872" w:type="dxa"/>
            <w:vAlign w:val="center"/>
          </w:tcPr>
          <w:p>
            <w:pPr>
              <w:spacing w:before="0" w:after="0"/>
              <w:jc w:val="left"/>
            </w:pPr>
            <w:r>
              <w:rPr>
                <w:sz w:val="18"/>
                <w:szCs w:val="18"/>
              </w:rPr>
              <w:t xml:space="preserve">Deferred revenue (gift cards and loyalty)</w:t>
            </w:r>
          </w:p>
        </w:tc>
        <w:tc>
          <w:tcPr>
            <w:tcW w:w="800" w:type="dxa"/>
            <w:vAlign w:val="center"/>
          </w:tcPr>
          <w:p>
            <w:pPr>
              <w:spacing w:before="0" w:after="0"/>
              <w:jc w:val="left"/>
            </w:pPr>
            <w:r>
              <w:rPr>
                <w:sz w:val="18"/>
                <w:szCs w:val="18"/>
              </w:rPr>
              <w:t xml:space="preserve"/>
            </w:r>
          </w:p>
        </w:tc>
        <w:tc>
          <w:tcPr>
            <w:tcW w:w="1700" w:type="dxa"/>
            <w:vAlign w:val="center"/>
          </w:tcPr>
          <w:p>
            <w:pPr>
              <w:spacing w:before="0" w:after="0"/>
              <w:jc w:val="right"/>
            </w:pPr>
            <w:r>
              <w:rPr>
                <w:sz w:val="18"/>
                <w:szCs w:val="18"/>
              </w:rPr>
              <w:t xml:space="preserve">9,942</w:t>
            </w:r>
          </w:p>
        </w:tc>
        <w:tc>
          <w:tcPr>
            <w:tcW w:w="1700" w:type="dxa"/>
            <w:vAlign w:val="center"/>
          </w:tcPr>
          <w:p>
            <w:pPr>
              <w:spacing w:before="0" w:after="0"/>
              <w:jc w:val="right"/>
            </w:pPr>
            <w:r>
              <w:rPr>
                <w:sz w:val="18"/>
                <w:szCs w:val="18"/>
              </w:rPr>
              <w:t xml:space="preserve">11,268</w:t>
            </w:r>
          </w:p>
        </w:tc>
      </w:tr>
      <w:tr>
        <w:tc>
          <w:tcPr>
            <w:tcW w:w="4872" w:type="dxa"/>
            <w:vAlign w:val="center"/>
          </w:tcPr>
          <w:p>
            <w:pPr>
              <w:spacing w:before="0" w:after="0"/>
              <w:jc w:val="left"/>
            </w:pPr>
            <w:r>
              <w:rPr>
                <w:sz w:val="18"/>
                <w:szCs w:val="18"/>
              </w:rPr>
              <w:t xml:space="preserve">Income taxes payable</w:t>
            </w:r>
          </w:p>
        </w:tc>
        <w:tc>
          <w:tcPr>
            <w:tcW w:w="800" w:type="dxa"/>
            <w:vAlign w:val="center"/>
          </w:tcPr>
          <w:p>
            <w:pPr>
              <w:spacing w:before="0" w:after="0"/>
              <w:jc w:val="left"/>
            </w:pPr>
            <w:r>
              <w:rPr>
                <w:sz w:val="18"/>
                <w:szCs w:val="18"/>
              </w:rPr>
              <w:t xml:space="preserve"/>
            </w:r>
          </w:p>
        </w:tc>
        <w:tc>
          <w:tcPr>
            <w:tcW w:w="1700" w:type="dxa"/>
            <w:vAlign w:val="center"/>
          </w:tcPr>
          <w:p>
            <w:pPr>
              <w:spacing w:before="0" w:after="0"/>
              <w:jc w:val="right"/>
            </w:pPr>
            <w:r>
              <w:rPr>
                <w:sz w:val="18"/>
                <w:szCs w:val="18"/>
              </w:rPr>
              <w:t xml:space="preserve">3,158</w:t>
            </w:r>
          </w:p>
        </w:tc>
        <w:tc>
          <w:tcPr>
            <w:tcW w:w="1700" w:type="dxa"/>
            <w:vAlign w:val="center"/>
          </w:tcPr>
          <w:p>
            <w:pPr>
              <w:spacing w:before="0" w:after="0"/>
              <w:jc w:val="right"/>
            </w:pPr>
            <w:r>
              <w:rPr>
                <w:sz w:val="18"/>
                <w:szCs w:val="18"/>
              </w:rPr>
              <w:t xml:space="preserve">3,227</w:t>
            </w:r>
          </w:p>
        </w:tc>
      </w:tr>
      <w:tr>
        <w:tc>
          <w:tcPr>
            <w:tcW w:w="4872" w:type="dxa"/>
            <w:vAlign w:val="center"/>
          </w:tcPr>
          <w:p>
            <w:pPr>
              <w:spacing w:before="0" w:after="0"/>
              <w:jc w:val="left"/>
            </w:pPr>
            <w:r>
              <w:rPr>
                <w:sz w:val="18"/>
                <w:szCs w:val="18"/>
              </w:rPr>
              <w:t xml:space="preserve">Other accrued liabilities</w:t>
            </w:r>
          </w:p>
        </w:tc>
        <w:tc>
          <w:tcPr>
            <w:tcW w:w="800" w:type="dxa"/>
            <w:vAlign w:val="center"/>
          </w:tcPr>
          <w:p>
            <w:pPr>
              <w:spacing w:before="0" w:after="0"/>
              <w:jc w:val="left"/>
            </w:pPr>
            <w:r>
              <w:rPr>
                <w:sz w:val="18"/>
                <w:szCs w:val="18"/>
              </w:rPr>
              <w:t xml:space="preserve"/>
            </w:r>
          </w:p>
        </w:tc>
        <w:tc>
          <w:tcPr>
            <w:tcW w:w="1700" w:type="dxa"/>
            <w:vAlign w:val="center"/>
          </w:tcPr>
          <w:p>
            <w:pPr>
              <w:spacing w:before="0" w:after="0"/>
              <w:jc w:val="right"/>
            </w:pPr>
            <w:r>
              <w:rPr>
                <w:sz w:val="18"/>
                <w:szCs w:val="18"/>
              </w:rPr>
              <w:t xml:space="preserve">5,921</w:t>
            </w:r>
          </w:p>
        </w:tc>
        <w:tc>
          <w:tcPr>
            <w:tcW w:w="1700" w:type="dxa"/>
            <w:vAlign w:val="center"/>
          </w:tcPr>
          <w:p>
            <w:pPr>
              <w:spacing w:before="0" w:after="0"/>
              <w:jc w:val="right"/>
            </w:pPr>
            <w:r>
              <w:rPr>
                <w:sz w:val="18"/>
                <w:szCs w:val="18"/>
              </w:rPr>
              <w:t xml:space="preserve">6,683</w:t>
            </w:r>
          </w:p>
        </w:tc>
      </w:tr>
      <w:tr>
        <w:tc>
          <w:tcPr>
            <w:tcW w:w="4872" w:type="dxa"/>
            <w:vAlign w:val="center"/>
          </w:tcPr>
          <w:p>
            <w:pPr>
              <w:spacing w:before="0" w:after="0"/>
              <w:jc w:val="left"/>
            </w:pPr>
            <w:r>
              <w:rPr>
                <w:b/>
                <w:sz w:val="18"/>
                <w:szCs w:val="18"/>
              </w:rPr>
              <w:t xml:space="preserve">Total current liabilities</w:t>
            </w:r>
          </w:p>
        </w:tc>
        <w:tc>
          <w:tcPr>
            <w:tcW w:w="800" w:type="dxa"/>
            <w:vAlign w:val="center"/>
          </w:tcPr>
          <w:p>
            <w:pPr>
              <w:spacing w:before="0" w:after="0"/>
              <w:jc w:val="left"/>
            </w:pPr>
            <w:r>
              <w:rPr>
                <w:b/>
                <w:sz w:val="18"/>
                <w:szCs w:val="18"/>
              </w:rPr>
              <w:t xml:space="preserve"/>
            </w:r>
          </w:p>
        </w:tc>
        <w:tc>
          <w:tcPr>
            <w:tcW w:w="1700" w:type="dxa"/>
            <w:vAlign w:val="center"/>
          </w:tcPr>
          <w:p>
            <w:pPr>
              <w:spacing w:before="0" w:after="0"/>
              <w:jc w:val="right"/>
            </w:pPr>
            <w:r>
              <w:rPr>
                <w:b/>
                <w:sz w:val="18"/>
                <w:szCs w:val="18"/>
              </w:rPr>
              <w:t xml:space="preserve">73,126</w:t>
            </w:r>
          </w:p>
        </w:tc>
        <w:tc>
          <w:tcPr>
            <w:tcW w:w="1700" w:type="dxa"/>
            <w:vAlign w:val="center"/>
          </w:tcPr>
          <w:p>
            <w:pPr>
              <w:spacing w:before="0" w:after="0"/>
              <w:jc w:val="right"/>
            </w:pPr>
            <w:r>
              <w:rPr>
                <w:b/>
                <w:sz w:val="18"/>
                <w:szCs w:val="18"/>
              </w:rPr>
              <w:t xml:space="preserve">79,302</w:t>
            </w:r>
          </w:p>
        </w:tc>
      </w:tr>
      <w:tr>
        <w:tc>
          <w:tcPr>
            <w:tcW w:w="4872" w:type="dxa"/>
            <w:vAlign w:val="center"/>
          </w:tcPr>
          <w:p>
            <w:pPr>
              <w:spacing w:before="0" w:after="0"/>
              <w:jc w:val="left"/>
            </w:pPr>
            <w:r>
              <w:rPr>
                <w:b/>
                <w:sz w:val="18"/>
                <w:szCs w:val="18"/>
              </w:rPr>
              <w:t xml:space="preserve">Non-current liabilities</w:t>
            </w:r>
          </w:p>
        </w:tc>
        <w:tc>
          <w:tcPr>
            <w:tcW w:w="800" w:type="dxa"/>
            <w:vAlign w:val="center"/>
          </w:tcPr>
          <w:p>
            <w:pPr>
              <w:spacing w:before="0" w:after="0"/>
              <w:jc w:val="left"/>
            </w:pPr>
            <w:r>
              <w:rPr>
                <w:b/>
                <w:sz w:val="18"/>
                <w:szCs w:val="18"/>
              </w:rPr>
              <w:t xml:space="preserve"/>
            </w:r>
          </w:p>
        </w:tc>
        <w:tc>
          <w:tcPr>
            <w:tcW w:w="1700" w:type="dxa"/>
            <w:vAlign w:val="center"/>
          </w:tcPr>
          <w:p>
            <w:pPr>
              <w:spacing w:before="0" w:after="0"/>
              <w:jc w:val="right"/>
            </w:pPr>
            <w:r>
              <w:rPr>
                <w:b/>
                <w:sz w:val="18"/>
                <w:szCs w:val="18"/>
              </w:rPr>
              <w:t xml:space="preserve"/>
            </w:r>
          </w:p>
        </w:tc>
        <w:tc>
          <w:tcPr>
            <w:tcW w:w="1700" w:type="dxa"/>
            <w:vAlign w:val="center"/>
          </w:tcPr>
          <w:p>
            <w:pPr>
              <w:spacing w:before="0" w:after="0"/>
              <w:jc w:val="right"/>
            </w:pPr>
            <w:r>
              <w:rPr>
                <w:b/>
                <w:sz w:val="18"/>
                <w:szCs w:val="18"/>
              </w:rPr>
              <w:t xml:space="preserve"/>
            </w:r>
          </w:p>
        </w:tc>
      </w:tr>
      <w:tr>
        <w:tc>
          <w:tcPr>
            <w:tcW w:w="4872" w:type="dxa"/>
            <w:vAlign w:val="center"/>
          </w:tcPr>
          <w:p>
            <w:pPr>
              <w:spacing w:before="0" w:after="0"/>
              <w:jc w:val="left"/>
            </w:pPr>
            <w:r>
              <w:rPr>
                <w:sz w:val="18"/>
                <w:szCs w:val="18"/>
              </w:rPr>
              <w:t xml:space="preserve">Long-term debt, net of current portion</w:t>
            </w:r>
          </w:p>
        </w:tc>
        <w:tc>
          <w:tcPr>
            <w:tcW w:w="800" w:type="dxa"/>
            <w:vAlign w:val="center"/>
          </w:tcPr>
          <w:p>
            <w:pPr>
              <w:spacing w:before="0" w:after="0"/>
              <w:jc w:val="left"/>
            </w:pPr>
            <w:r>
              <w:rPr>
                <w:sz w:val="18"/>
                <w:szCs w:val="18"/>
              </w:rPr>
              <w:t xml:space="preserve"/>
            </w:r>
          </w:p>
        </w:tc>
        <w:tc>
          <w:tcPr>
            <w:tcW w:w="1700" w:type="dxa"/>
            <w:vAlign w:val="center"/>
          </w:tcPr>
          <w:p>
            <w:pPr>
              <w:spacing w:before="0" w:after="0"/>
              <w:jc w:val="right"/>
            </w:pPr>
            <w:r>
              <w:rPr>
                <w:sz w:val="18"/>
                <w:szCs w:val="18"/>
              </w:rPr>
              <w:t xml:space="preserve">36,629</w:t>
            </w:r>
          </w:p>
        </w:tc>
        <w:tc>
          <w:tcPr>
            <w:tcW w:w="1700" w:type="dxa"/>
            <w:vAlign w:val="center"/>
          </w:tcPr>
          <w:p>
            <w:pPr>
              <w:spacing w:before="0" w:after="0"/>
              <w:jc w:val="right"/>
            </w:pPr>
            <w:r>
              <w:rPr>
                <w:sz w:val="18"/>
                <w:szCs w:val="18"/>
              </w:rPr>
              <w:t xml:space="preserve">37,321</w:t>
            </w:r>
          </w:p>
        </w:tc>
      </w:tr>
      <w:tr>
        <w:tc>
          <w:tcPr>
            <w:tcW w:w="4872" w:type="dxa"/>
            <w:vAlign w:val="center"/>
          </w:tcPr>
          <w:p>
            <w:pPr>
              <w:spacing w:before="0" w:after="0"/>
              <w:jc w:val="left"/>
            </w:pPr>
            <w:r>
              <w:rPr>
                <w:sz w:val="18"/>
                <w:szCs w:val="18"/>
              </w:rPr>
              <w:t xml:space="preserve">Operating lease liabilities, net of current portion</w:t>
            </w:r>
          </w:p>
        </w:tc>
        <w:tc>
          <w:tcPr>
            <w:tcW w:w="800" w:type="dxa"/>
            <w:vAlign w:val="center"/>
          </w:tcPr>
          <w:p>
            <w:pPr>
              <w:spacing w:before="0" w:after="0"/>
              <w:jc w:val="left"/>
            </w:pPr>
            <w:r>
              <w:rPr>
                <w:sz w:val="18"/>
                <w:szCs w:val="18"/>
              </w:rPr>
              <w:t xml:space="preserve"/>
            </w:r>
          </w:p>
        </w:tc>
        <w:tc>
          <w:tcPr>
            <w:tcW w:w="1700" w:type="dxa"/>
            <w:vAlign w:val="center"/>
          </w:tcPr>
          <w:p>
            <w:pPr>
              <w:spacing w:before="0" w:after="0"/>
              <w:jc w:val="right"/>
            </w:pPr>
            <w:r>
              <w:rPr>
                <w:sz w:val="18"/>
                <w:szCs w:val="18"/>
              </w:rPr>
              <w:t xml:space="preserve">119,636</w:t>
            </w:r>
          </w:p>
        </w:tc>
        <w:tc>
          <w:tcPr>
            <w:tcW w:w="1700" w:type="dxa"/>
            <w:vAlign w:val="center"/>
          </w:tcPr>
          <w:p>
            <w:pPr>
              <w:spacing w:before="0" w:after="0"/>
              <w:jc w:val="right"/>
            </w:pPr>
            <w:r>
              <w:rPr>
                <w:sz w:val="18"/>
                <w:szCs w:val="18"/>
              </w:rPr>
              <w:t xml:space="preserve">126,265</w:t>
            </w:r>
          </w:p>
        </w:tc>
      </w:tr>
      <w:tr>
        <w:tc>
          <w:tcPr>
            <w:tcW w:w="4872" w:type="dxa"/>
            <w:vAlign w:val="center"/>
          </w:tcPr>
          <w:p>
            <w:pPr>
              <w:spacing w:before="0" w:after="0"/>
              <w:jc w:val="left"/>
            </w:pPr>
            <w:r>
              <w:rPr>
                <w:sz w:val="18"/>
                <w:szCs w:val="18"/>
              </w:rPr>
              <w:t xml:space="preserve">Deferred rent and asset retirement obligations</w:t>
            </w:r>
          </w:p>
        </w:tc>
        <w:tc>
          <w:tcPr>
            <w:tcW w:w="800" w:type="dxa"/>
            <w:vAlign w:val="center"/>
          </w:tcPr>
          <w:p>
            <w:pPr>
              <w:spacing w:before="0" w:after="0"/>
              <w:jc w:val="left"/>
            </w:pPr>
            <w:r>
              <w:rPr>
                <w:sz w:val="18"/>
                <w:szCs w:val="18"/>
              </w:rPr>
              <w:t xml:space="preserve"/>
            </w:r>
          </w:p>
        </w:tc>
        <w:tc>
          <w:tcPr>
            <w:tcW w:w="1700" w:type="dxa"/>
            <w:vAlign w:val="center"/>
          </w:tcPr>
          <w:p>
            <w:pPr>
              <w:spacing w:before="0" w:after="0"/>
              <w:jc w:val="right"/>
            </w:pPr>
            <w:r>
              <w:rPr>
                <w:sz w:val="18"/>
                <w:szCs w:val="18"/>
              </w:rPr>
              <w:t xml:space="preserve">5,196</w:t>
            </w:r>
          </w:p>
        </w:tc>
        <w:tc>
          <w:tcPr>
            <w:tcW w:w="1700" w:type="dxa"/>
            <w:vAlign w:val="center"/>
          </w:tcPr>
          <w:p>
            <w:pPr>
              <w:spacing w:before="0" w:after="0"/>
              <w:jc w:val="right"/>
            </w:pPr>
            <w:r>
              <w:rPr>
                <w:sz w:val="18"/>
                <w:szCs w:val="18"/>
              </w:rPr>
              <w:t xml:space="preserve">5,287</w:t>
            </w:r>
          </w:p>
        </w:tc>
      </w:tr>
      <w:tr>
        <w:tc>
          <w:tcPr>
            <w:tcW w:w="4872" w:type="dxa"/>
            <w:vAlign w:val="center"/>
          </w:tcPr>
          <w:p>
            <w:pPr>
              <w:spacing w:before="0" w:after="0"/>
              <w:jc w:val="left"/>
            </w:pPr>
            <w:r>
              <w:rPr>
                <w:sz w:val="18"/>
                <w:szCs w:val="18"/>
              </w:rPr>
              <w:t xml:space="preserve">Other long-term liabilities</w:t>
            </w:r>
          </w:p>
        </w:tc>
        <w:tc>
          <w:tcPr>
            <w:tcW w:w="800" w:type="dxa"/>
            <w:vAlign w:val="center"/>
          </w:tcPr>
          <w:p>
            <w:pPr>
              <w:spacing w:before="0" w:after="0"/>
              <w:jc w:val="left"/>
            </w:pPr>
            <w:r>
              <w:rPr>
                <w:sz w:val="18"/>
                <w:szCs w:val="18"/>
              </w:rPr>
              <w:t xml:space="preserve"/>
            </w:r>
          </w:p>
        </w:tc>
        <w:tc>
          <w:tcPr>
            <w:tcW w:w="1700" w:type="dxa"/>
            <w:vAlign w:val="center"/>
          </w:tcPr>
          <w:p>
            <w:pPr>
              <w:spacing w:before="0" w:after="0"/>
              <w:jc w:val="right"/>
            </w:pPr>
            <w:r>
              <w:rPr>
                <w:sz w:val="18"/>
                <w:szCs w:val="18"/>
              </w:rPr>
              <w:t xml:space="preserve">3,128</w:t>
            </w:r>
          </w:p>
        </w:tc>
        <w:tc>
          <w:tcPr>
            <w:tcW w:w="1700" w:type="dxa"/>
            <w:vAlign w:val="center"/>
          </w:tcPr>
          <w:p>
            <w:pPr>
              <w:spacing w:before="0" w:after="0"/>
              <w:jc w:val="right"/>
            </w:pPr>
            <w:r>
              <w:rPr>
                <w:sz w:val="18"/>
                <w:szCs w:val="18"/>
              </w:rPr>
              <w:t xml:space="preserve">3,737</w:t>
            </w:r>
          </w:p>
        </w:tc>
      </w:tr>
      <w:tr>
        <w:tc>
          <w:tcPr>
            <w:tcW w:w="4872" w:type="dxa"/>
            <w:vAlign w:val="center"/>
          </w:tcPr>
          <w:p>
            <w:pPr>
              <w:spacing w:before="0" w:after="0"/>
              <w:jc w:val="left"/>
            </w:pPr>
            <w:r>
              <w:rPr>
                <w:b/>
                <w:sz w:val="18"/>
                <w:szCs w:val="18"/>
              </w:rPr>
              <w:t xml:space="preserve">Total non-current liabilities</w:t>
            </w:r>
          </w:p>
        </w:tc>
        <w:tc>
          <w:tcPr>
            <w:tcW w:w="800" w:type="dxa"/>
            <w:vAlign w:val="center"/>
          </w:tcPr>
          <w:p>
            <w:pPr>
              <w:spacing w:before="0" w:after="0"/>
              <w:jc w:val="left"/>
            </w:pPr>
            <w:r>
              <w:rPr>
                <w:b/>
                <w:sz w:val="18"/>
                <w:szCs w:val="18"/>
              </w:rPr>
              <w:t xml:space="preserve"/>
            </w:r>
          </w:p>
        </w:tc>
        <w:tc>
          <w:tcPr>
            <w:tcW w:w="1700" w:type="dxa"/>
            <w:vAlign w:val="center"/>
          </w:tcPr>
          <w:p>
            <w:pPr>
              <w:spacing w:before="0" w:after="0"/>
              <w:jc w:val="right"/>
            </w:pPr>
            <w:r>
              <w:rPr>
                <w:b/>
                <w:sz w:val="18"/>
                <w:szCs w:val="18"/>
              </w:rPr>
              <w:t xml:space="preserve">164,589</w:t>
            </w:r>
          </w:p>
        </w:tc>
        <w:tc>
          <w:tcPr>
            <w:tcW w:w="1700" w:type="dxa"/>
            <w:vAlign w:val="center"/>
          </w:tcPr>
          <w:p>
            <w:pPr>
              <w:spacing w:before="0" w:after="0"/>
              <w:jc w:val="right"/>
            </w:pPr>
            <w:r>
              <w:rPr>
                <w:b/>
                <w:sz w:val="18"/>
                <w:szCs w:val="18"/>
              </w:rPr>
              <w:t xml:space="preserve">172,610</w:t>
            </w:r>
          </w:p>
        </w:tc>
      </w:tr>
      <w:tr>
        <w:tc>
          <w:tcPr>
            <w:tcW w:w="4872" w:type="dxa"/>
            <w:vAlign w:val="center"/>
          </w:tcPr>
          <w:p>
            <w:pPr>
              <w:spacing w:before="0" w:after="0"/>
              <w:jc w:val="left"/>
            </w:pPr>
            <w:r>
              <w:rPr>
                <w:b/>
                <w:sz w:val="18"/>
                <w:szCs w:val="18"/>
              </w:rPr>
              <w:t xml:space="preserve">Total liabilities</w:t>
            </w:r>
          </w:p>
        </w:tc>
        <w:tc>
          <w:tcPr>
            <w:tcW w:w="800" w:type="dxa"/>
            <w:vAlign w:val="center"/>
          </w:tcPr>
          <w:p>
            <w:pPr>
              <w:spacing w:before="0" w:after="0"/>
              <w:jc w:val="left"/>
            </w:pPr>
            <w:r>
              <w:rPr>
                <w:b/>
                <w:sz w:val="18"/>
                <w:szCs w:val="18"/>
              </w:rPr>
              <w:t xml:space="preserve"/>
            </w:r>
          </w:p>
        </w:tc>
        <w:tc>
          <w:tcPr>
            <w:tcW w:w="1700" w:type="dxa"/>
            <w:vAlign w:val="center"/>
          </w:tcPr>
          <w:p>
            <w:pPr>
              <w:spacing w:before="0" w:after="0"/>
              <w:jc w:val="right"/>
            </w:pPr>
            <w:r>
              <w:rPr>
                <w:b/>
                <w:sz w:val="18"/>
                <w:szCs w:val="18"/>
              </w:rPr>
              <w:t xml:space="preserve">237,715</w:t>
            </w:r>
          </w:p>
        </w:tc>
        <w:tc>
          <w:tcPr>
            <w:tcW w:w="1700" w:type="dxa"/>
            <w:vAlign w:val="center"/>
          </w:tcPr>
          <w:p>
            <w:pPr>
              <w:spacing w:before="0" w:after="0"/>
              <w:jc w:val="right"/>
            </w:pPr>
            <w:r>
              <w:rPr>
                <w:b/>
                <w:sz w:val="18"/>
                <w:szCs w:val="18"/>
              </w:rPr>
              <w:t xml:space="preserve">251,912</w:t>
            </w:r>
          </w:p>
        </w:tc>
      </w:tr>
      <w:tr>
        <w:tc>
          <w:tcPr>
            <w:tcW w:w="4872" w:type="dxa"/>
            <w:vAlign w:val="center"/>
          </w:tcPr>
          <w:p>
            <w:pPr>
              <w:spacing w:before="0" w:after="0"/>
              <w:jc w:val="left"/>
            </w:pPr>
            <w:r>
              <w:rPr>
                <w:b/>
                <w:sz w:val="18"/>
                <w:szCs w:val="18"/>
              </w:rPr>
              <w:t xml:space="preserve">Stockholders' equity</w:t>
            </w:r>
          </w:p>
        </w:tc>
        <w:tc>
          <w:tcPr>
            <w:tcW w:w="800" w:type="dxa"/>
            <w:vAlign w:val="center"/>
          </w:tcPr>
          <w:p>
            <w:pPr>
              <w:spacing w:before="0" w:after="0"/>
              <w:jc w:val="left"/>
            </w:pPr>
            <w:r>
              <w:rPr>
                <w:b/>
                <w:sz w:val="18"/>
                <w:szCs w:val="18"/>
              </w:rPr>
              <w:t xml:space="preserve"/>
            </w:r>
          </w:p>
        </w:tc>
        <w:tc>
          <w:tcPr>
            <w:tcW w:w="1700" w:type="dxa"/>
            <w:vAlign w:val="center"/>
          </w:tcPr>
          <w:p>
            <w:pPr>
              <w:spacing w:before="0" w:after="0"/>
              <w:jc w:val="right"/>
            </w:pPr>
            <w:r>
              <w:rPr>
                <w:b/>
                <w:sz w:val="18"/>
                <w:szCs w:val="18"/>
              </w:rPr>
              <w:t xml:space="preserve"/>
            </w:r>
          </w:p>
        </w:tc>
        <w:tc>
          <w:tcPr>
            <w:tcW w:w="1700" w:type="dxa"/>
            <w:vAlign w:val="center"/>
          </w:tcPr>
          <w:p>
            <w:pPr>
              <w:spacing w:before="0" w:after="0"/>
              <w:jc w:val="right"/>
            </w:pPr>
            <w:r>
              <w:rPr>
                <w:b/>
                <w:sz w:val="18"/>
                <w:szCs w:val="18"/>
              </w:rPr>
              <w:t xml:space="preserve"/>
            </w:r>
          </w:p>
        </w:tc>
      </w:tr>
      <w:tr>
        <w:tc>
          <w:tcPr>
            <w:tcW w:w="4872" w:type="dxa"/>
            <w:vAlign w:val="center"/>
          </w:tcPr>
          <w:p>
            <w:pPr>
              <w:spacing w:before="0" w:after="0"/>
              <w:jc w:val="left"/>
            </w:pPr>
            <w:r>
              <w:rPr>
                <w:sz w:val="18"/>
                <w:szCs w:val="18"/>
              </w:rPr>
              <w:t xml:space="preserve">Common stock</w:t>
            </w:r>
          </w:p>
        </w:tc>
        <w:tc>
          <w:tcPr>
            <w:tcW w:w="800" w:type="dxa"/>
            <w:vAlign w:val="center"/>
          </w:tcPr>
          <w:p>
            <w:pPr>
              <w:spacing w:before="0" w:after="0"/>
              <w:jc w:val="left"/>
            </w:pPr>
            <w:r>
              <w:rPr>
                <w:sz w:val="18"/>
                <w:szCs w:val="18"/>
              </w:rPr>
              <w:t xml:space="preserve"/>
            </w:r>
          </w:p>
        </w:tc>
        <w:tc>
          <w:tcPr>
            <w:tcW w:w="1700" w:type="dxa"/>
            <w:vAlign w:val="center"/>
          </w:tcPr>
          <w:p>
            <w:pPr>
              <w:spacing w:before="0" w:after="0"/>
              <w:jc w:val="right"/>
            </w:pPr>
            <w:r>
              <w:rPr>
                <w:sz w:val="18"/>
                <w:szCs w:val="18"/>
              </w:rPr>
              <w:t xml:space="preserve">389</w:t>
            </w:r>
          </w:p>
        </w:tc>
        <w:tc>
          <w:tcPr>
            <w:tcW w:w="1700" w:type="dxa"/>
            <w:vAlign w:val="center"/>
          </w:tcPr>
          <w:p>
            <w:pPr>
              <w:spacing w:before="0" w:after="0"/>
              <w:jc w:val="right"/>
            </w:pPr>
            <w:r>
              <w:rPr>
                <w:sz w:val="18"/>
                <w:szCs w:val="18"/>
              </w:rPr>
              <w:t xml:space="preserve">430</w:t>
            </w:r>
          </w:p>
        </w:tc>
      </w:tr>
      <w:tr>
        <w:tc>
          <w:tcPr>
            <w:tcW w:w="4872" w:type="dxa"/>
            <w:vAlign w:val="center"/>
          </w:tcPr>
          <w:p>
            <w:pPr>
              <w:spacing w:before="0" w:after="0"/>
              <w:jc w:val="left"/>
            </w:pPr>
            <w:r>
              <w:rPr>
                <w:sz w:val="18"/>
                <w:szCs w:val="18"/>
              </w:rPr>
              <w:t xml:space="preserve">Additional paid-in capital</w:t>
            </w:r>
          </w:p>
        </w:tc>
        <w:tc>
          <w:tcPr>
            <w:tcW w:w="800" w:type="dxa"/>
            <w:vAlign w:val="center"/>
          </w:tcPr>
          <w:p>
            <w:pPr>
              <w:spacing w:before="0" w:after="0"/>
              <w:jc w:val="left"/>
            </w:pPr>
            <w:r>
              <w:rPr>
                <w:sz w:val="18"/>
                <w:szCs w:val="18"/>
              </w:rPr>
              <w:t xml:space="preserve">16</w:t>
            </w:r>
          </w:p>
        </w:tc>
        <w:tc>
          <w:tcPr>
            <w:tcW w:w="1700" w:type="dxa"/>
            <w:vAlign w:val="center"/>
          </w:tcPr>
          <w:p>
            <w:pPr>
              <w:spacing w:before="0" w:after="0"/>
              <w:jc w:val="right"/>
            </w:pPr>
            <w:r>
              <w:rPr>
                <w:sz w:val="18"/>
                <w:szCs w:val="18"/>
              </w:rPr>
              <w:t xml:space="preserve">48,465</w:t>
            </w:r>
          </w:p>
        </w:tc>
        <w:tc>
          <w:tcPr>
            <w:tcW w:w="1700" w:type="dxa"/>
            <w:vAlign w:val="center"/>
          </w:tcPr>
          <w:p>
            <w:pPr>
              <w:spacing w:before="0" w:after="0"/>
              <w:jc w:val="right"/>
            </w:pPr>
            <w:r>
              <w:rPr>
                <w:sz w:val="18"/>
                <w:szCs w:val="18"/>
              </w:rPr>
              <w:t xml:space="preserve">50,921</w:t>
            </w:r>
          </w:p>
        </w:tc>
      </w:tr>
      <w:tr>
        <w:tc>
          <w:tcPr>
            <w:tcW w:w="4872" w:type="dxa"/>
            <w:vAlign w:val="center"/>
          </w:tcPr>
          <w:p>
            <w:pPr>
              <w:spacing w:before="0" w:after="0"/>
              <w:jc w:val="left"/>
            </w:pPr>
            <w:r>
              <w:rPr>
                <w:sz w:val="18"/>
                <w:szCs w:val="18"/>
              </w:rPr>
              <w:t xml:space="preserve">Retained earnings</w:t>
            </w:r>
          </w:p>
        </w:tc>
        <w:tc>
          <w:tcPr>
            <w:tcW w:w="800" w:type="dxa"/>
            <w:vAlign w:val="center"/>
          </w:tcPr>
          <w:p>
            <w:pPr>
              <w:spacing w:before="0" w:after="0"/>
              <w:jc w:val="left"/>
            </w:pPr>
            <w:r>
              <w:rPr>
                <w:sz w:val="18"/>
                <w:szCs w:val="18"/>
              </w:rPr>
              <w:t xml:space="preserve"/>
            </w:r>
          </w:p>
        </w:tc>
        <w:tc>
          <w:tcPr>
            <w:tcW w:w="1700" w:type="dxa"/>
            <w:vAlign w:val="center"/>
          </w:tcPr>
          <w:p>
            <w:pPr>
              <w:spacing w:before="0" w:after="0"/>
              <w:jc w:val="right"/>
            </w:pPr>
            <w:r>
              <w:rPr>
                <w:sz w:val="18"/>
                <w:szCs w:val="18"/>
              </w:rPr>
              <w:t xml:space="preserve">110,770</w:t>
            </w:r>
          </w:p>
        </w:tc>
        <w:tc>
          <w:tcPr>
            <w:tcW w:w="1700" w:type="dxa"/>
            <w:vAlign w:val="center"/>
          </w:tcPr>
          <w:p>
            <w:pPr>
              <w:spacing w:before="0" w:after="0"/>
              <w:jc w:val="right"/>
            </w:pPr>
            <w:r>
              <w:rPr>
                <w:sz w:val="18"/>
                <w:szCs w:val="18"/>
              </w:rPr>
              <w:t xml:space="preserve">130,163</w:t>
            </w:r>
          </w:p>
        </w:tc>
      </w:tr>
      <w:tr>
        <w:tc>
          <w:tcPr>
            <w:tcW w:w="4872" w:type="dxa"/>
            <w:vAlign w:val="center"/>
          </w:tcPr>
          <w:p>
            <w:pPr>
              <w:spacing w:before="0" w:after="0"/>
              <w:jc w:val="left"/>
            </w:pPr>
            <w:r>
              <w:rPr>
                <w:sz w:val="18"/>
                <w:szCs w:val="18"/>
              </w:rPr>
              <w:t xml:space="preserve">Treasury stock, at cost</w:t>
            </w:r>
          </w:p>
        </w:tc>
        <w:tc>
          <w:tcPr>
            <w:tcW w:w="800" w:type="dxa"/>
            <w:vAlign w:val="center"/>
          </w:tcPr>
          <w:p>
            <w:pPr>
              <w:spacing w:before="0" w:after="0"/>
              <w:jc w:val="left"/>
            </w:pPr>
            <w:r>
              <w:rPr>
                <w:sz w:val="18"/>
                <w:szCs w:val="18"/>
              </w:rPr>
              <w:t xml:space="preserve"/>
            </w:r>
          </w:p>
        </w:tc>
        <w:tc>
          <w:tcPr>
            <w:tcW w:w="1700" w:type="dxa"/>
            <w:vAlign w:val="center"/>
          </w:tcPr>
          <w:p>
            <w:pPr>
              <w:spacing w:before="0" w:after="0"/>
              <w:jc w:val="right"/>
            </w:pPr>
            <w:r>
              <w:rPr>
                <w:sz w:val="18"/>
                <w:szCs w:val="18"/>
              </w:rPr>
              <w:t xml:space="preserve">(3,952)</w:t>
            </w:r>
          </w:p>
        </w:tc>
        <w:tc>
          <w:tcPr>
            <w:tcW w:w="1700" w:type="dxa"/>
            <w:vAlign w:val="center"/>
          </w:tcPr>
          <w:p>
            <w:pPr>
              <w:spacing w:before="0" w:after="0"/>
              <w:jc w:val="right"/>
            </w:pPr>
            <w:r>
              <w:rPr>
                <w:sz w:val="18"/>
                <w:szCs w:val="18"/>
              </w:rPr>
              <w:t xml:space="preserve">(4,259)</w:t>
            </w:r>
          </w:p>
        </w:tc>
      </w:tr>
      <w:tr>
        <w:tc>
          <w:tcPr>
            <w:tcW w:w="4872" w:type="dxa"/>
            <w:vAlign w:val="center"/>
          </w:tcPr>
          <w:p>
            <w:pPr>
              <w:spacing w:before="0" w:after="0"/>
              <w:jc w:val="left"/>
            </w:pPr>
            <w:r>
              <w:rPr>
                <w:sz w:val="18"/>
                <w:szCs w:val="18"/>
              </w:rPr>
              <w:t xml:space="preserve">Accumulated other comprehensive income (loss)</w:t>
            </w:r>
          </w:p>
        </w:tc>
        <w:tc>
          <w:tcPr>
            <w:tcW w:w="800" w:type="dxa"/>
            <w:vAlign w:val="center"/>
          </w:tcPr>
          <w:p>
            <w:pPr>
              <w:spacing w:before="0" w:after="0"/>
              <w:jc w:val="left"/>
            </w:pPr>
            <w:r>
              <w:rPr>
                <w:sz w:val="18"/>
                <w:szCs w:val="18"/>
              </w:rPr>
              <w:t xml:space="preserve"/>
            </w:r>
          </w:p>
        </w:tc>
        <w:tc>
          <w:tcPr>
            <w:tcW w:w="1700" w:type="dxa"/>
            <w:vAlign w:val="center"/>
          </w:tcPr>
          <w:p>
            <w:pPr>
              <w:spacing w:before="0" w:after="0"/>
              <w:jc w:val="right"/>
            </w:pPr>
            <w:r>
              <w:rPr>
                <w:sz w:val="18"/>
                <w:szCs w:val="18"/>
              </w:rPr>
              <w:t xml:space="preserve">1,425</w:t>
            </w:r>
          </w:p>
        </w:tc>
        <w:tc>
          <w:tcPr>
            <w:tcW w:w="1700" w:type="dxa"/>
            <w:vAlign w:val="center"/>
          </w:tcPr>
          <w:p>
            <w:pPr>
              <w:spacing w:before="0" w:after="0"/>
              <w:jc w:val="right"/>
            </w:pPr>
            <w:r>
              <w:rPr>
                <w:sz w:val="18"/>
                <w:szCs w:val="18"/>
              </w:rPr>
              <w:t xml:space="preserve">1,406</w:t>
            </w:r>
          </w:p>
        </w:tc>
      </w:tr>
      <w:tr>
        <w:tc>
          <w:tcPr>
            <w:tcW w:w="4872" w:type="dxa"/>
            <w:vAlign w:val="center"/>
          </w:tcPr>
          <w:p>
            <w:pPr>
              <w:spacing w:before="0" w:after="0"/>
              <w:jc w:val="left"/>
            </w:pPr>
            <w:r>
              <w:rPr>
                <w:b/>
                <w:sz w:val="18"/>
                <w:szCs w:val="18"/>
              </w:rPr>
              <w:t xml:space="preserve">Total stockholders' equity</w:t>
            </w:r>
          </w:p>
        </w:tc>
        <w:tc>
          <w:tcPr>
            <w:tcW w:w="800" w:type="dxa"/>
            <w:vAlign w:val="center"/>
          </w:tcPr>
          <w:p>
            <w:pPr>
              <w:spacing w:before="0" w:after="0"/>
              <w:jc w:val="left"/>
            </w:pPr>
            <w:r>
              <w:rPr>
                <w:b/>
                <w:sz w:val="18"/>
                <w:szCs w:val="18"/>
              </w:rPr>
              <w:t xml:space="preserve"/>
            </w:r>
          </w:p>
        </w:tc>
        <w:tc>
          <w:tcPr>
            <w:tcW w:w="1700" w:type="dxa"/>
            <w:vAlign w:val="center"/>
          </w:tcPr>
          <w:p>
            <w:pPr>
              <w:spacing w:before="0" w:after="0"/>
              <w:jc w:val="right"/>
            </w:pPr>
            <w:r>
              <w:rPr>
                <w:b/>
                <w:sz w:val="18"/>
                <w:szCs w:val="18"/>
              </w:rPr>
              <w:t xml:space="preserve">157,097</w:t>
            </w:r>
          </w:p>
        </w:tc>
        <w:tc>
          <w:tcPr>
            <w:tcW w:w="1700" w:type="dxa"/>
            <w:vAlign w:val="center"/>
          </w:tcPr>
          <w:p>
            <w:pPr>
              <w:spacing w:before="0" w:after="0"/>
              <w:jc w:val="right"/>
            </w:pPr>
            <w:r>
              <w:rPr>
                <w:b/>
                <w:sz w:val="18"/>
                <w:szCs w:val="18"/>
              </w:rPr>
              <w:t xml:space="preserve">178,661</w:t>
            </w:r>
          </w:p>
        </w:tc>
      </w:tr>
      <w:tr>
        <w:tc>
          <w:tcPr>
            <w:tcW w:w="4872" w:type="dxa"/>
            <w:vAlign w:val="center"/>
          </w:tcPr>
          <w:p>
            <w:pPr>
              <w:spacing w:before="0" w:after="0"/>
              <w:jc w:val="left"/>
            </w:pPr>
            <w:r>
              <w:rPr>
                <w:b/>
                <w:sz w:val="18"/>
                <w:szCs w:val="18"/>
              </w:rPr>
              <w:t xml:space="preserve">Total liabilities and stockholders' equity</w:t>
            </w:r>
          </w:p>
        </w:tc>
        <w:tc>
          <w:tcPr>
            <w:tcW w:w="800" w:type="dxa"/>
            <w:vAlign w:val="center"/>
          </w:tcPr>
          <w:p>
            <w:pPr>
              <w:spacing w:before="0" w:after="0"/>
              <w:jc w:val="left"/>
            </w:pPr>
            <w:r>
              <w:rPr>
                <w:b/>
                <w:sz w:val="18"/>
                <w:szCs w:val="18"/>
              </w:rPr>
              <w:t xml:space="preserve"/>
            </w:r>
          </w:p>
        </w:tc>
        <w:tc>
          <w:tcPr>
            <w:tcW w:w="1700" w:type="dxa"/>
            <w:vAlign w:val="center"/>
          </w:tcPr>
          <w:p>
            <w:pPr>
              <w:spacing w:before="0" w:after="0"/>
              <w:jc w:val="right"/>
            </w:pPr>
            <w:r>
              <w:rPr>
                <w:b/>
                <w:sz w:val="18"/>
                <w:szCs w:val="18"/>
              </w:rPr>
              <w:t xml:space="preserve">394,812</w:t>
            </w:r>
          </w:p>
        </w:tc>
        <w:tc>
          <w:tcPr>
            <w:tcW w:w="1700" w:type="dxa"/>
            <w:vAlign w:val="center"/>
          </w:tcPr>
          <w:p>
            <w:pPr>
              <w:spacing w:before="0" w:after="0"/>
              <w:jc w:val="right"/>
            </w:pPr>
            <w:r>
              <w:rPr>
                <w:b/>
                <w:sz w:val="18"/>
                <w:szCs w:val="18"/>
              </w:rPr>
              <w:t xml:space="preserve">430,573</w:t>
            </w:r>
          </w:p>
        </w:tc>
      </w:tr>
    </w:tbl>
    <w:p>
      <w:pPr/>
    </w:p>
    <w:p>
      <w:r>
        <w:br w:type="page"/>
      </w:r>
    </w:p>
    <w:p>
      <w:pPr>
        <w:pStyle w:val="Heading3"/>
        <w:keepNext/>
      </w:pPr>
      <w:r>
        <w:t xml:space="preserve">Statements of Income</w:t>
      </w:r>
    </w:p>
    <w:p>
      <w:pPr>
        <w:jc w:val="right"/>
      </w:pPr>
      <w:r>
        <w:rPr>
          <w:sz w:val="18"/>
          <w:szCs w:val="18"/>
        </w:rPr>
        <w:t xml:space="preserve">(In thousands of U.S. dollars)</w:t>
      </w:r>
    </w:p>
    <w:tbl>
      <w:tblPr>
        <w:tblW w:w="907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72" w:type="dxa"/>
          <w:right w:w="72" w:type="dxa"/>
        </w:tblCellMar>
      </w:tblPr>
      <w:tblGrid>
        <w:gridCol w:w="4872"/>
        <w:gridCol w:w="800"/>
        <w:gridCol w:w="1700"/>
        <w:gridCol w:w="1700"/>
      </w:tblGrid>
      <w:tr>
        <w:trPr>
          <w:tblHeader/>
        </w:trPr>
        <w:tc>
          <w:tcPr>
            <w:tcW w:w="4872" w:type="dxa"/>
            <w:shd w:val="clear" w:color="auto" w:fill="DDEBF7"/>
            <w:vAlign w:val="center"/>
          </w:tcPr>
          <w:p>
            <w:pPr>
              <w:spacing w:before="0" w:after="0"/>
              <w:jc w:val="center"/>
            </w:pPr>
            <w:r>
              <w:rPr>
                <w:b/>
                <w:sz w:val="18"/>
                <w:szCs w:val="18"/>
              </w:rPr>
              <w:t xml:space="preserve"/>
            </w:r>
          </w:p>
        </w:tc>
        <w:tc>
          <w:tcPr>
            <w:tcW w:w="800" w:type="dxa"/>
            <w:shd w:val="clear" w:color="auto" w:fill="DDEBF7"/>
            <w:vAlign w:val="center"/>
          </w:tcPr>
          <w:p>
            <w:pPr>
              <w:spacing w:before="0" w:after="0"/>
              <w:jc w:val="center"/>
            </w:pPr>
            <w:r>
              <w:rPr>
                <w:b/>
                <w:sz w:val="18"/>
                <w:szCs w:val="18"/>
              </w:rPr>
              <w:t xml:space="preserve">Note</w:t>
            </w:r>
          </w:p>
        </w:tc>
        <w:tc>
          <w:tcPr>
            <w:tcW w:w="1700" w:type="dxa"/>
            <w:shd w:val="clear" w:color="auto" w:fill="DDEBF7"/>
            <w:vAlign w:val="center"/>
          </w:tcPr>
          <w:p>
            <w:pPr>
              <w:spacing w:before="0" w:after="0"/>
              <w:jc w:val="center"/>
            </w:pPr>
            <w:r>
              <w:rPr>
                <w:b/>
                <w:sz w:val="18"/>
                <w:szCs w:val="18"/>
              </w:rPr>
              <w:t xml:space="preserve">Q2 2025</w:t>
            </w:r>
          </w:p>
        </w:tc>
        <w:tc>
          <w:tcPr>
            <w:tcW w:w="1700" w:type="dxa"/>
            <w:shd w:val="clear" w:color="auto" w:fill="DDEBF7"/>
            <w:vAlign w:val="center"/>
          </w:tcPr>
          <w:p>
            <w:pPr>
              <w:spacing w:before="0" w:after="0"/>
              <w:jc w:val="center"/>
            </w:pPr>
            <w:r>
              <w:rPr>
                <w:b/>
                <w:sz w:val="18"/>
                <w:szCs w:val="18"/>
              </w:rPr>
              <w:t xml:space="preserve">Q2 2026</w:t>
            </w:r>
          </w:p>
        </w:tc>
      </w:tr>
      <w:tr>
        <w:tc>
          <w:tcPr>
            <w:tcW w:w="4872" w:type="dxa"/>
            <w:vAlign w:val="center"/>
          </w:tcPr>
          <w:p>
            <w:pPr>
              <w:spacing w:before="0" w:after="0"/>
              <w:jc w:val="left"/>
            </w:pPr>
            <w:r>
              <w:rPr>
                <w:b/>
                <w:sz w:val="18"/>
                <w:szCs w:val="18"/>
              </w:rPr>
              <w:t xml:space="preserve">Revenue</w:t>
            </w:r>
          </w:p>
        </w:tc>
        <w:tc>
          <w:tcPr>
            <w:tcW w:w="800" w:type="dxa"/>
            <w:vAlign w:val="center"/>
          </w:tcPr>
          <w:p>
            <w:pPr>
              <w:spacing w:before="0" w:after="0"/>
              <w:jc w:val="left"/>
            </w:pPr>
            <w:r>
              <w:rPr>
                <w:b/>
                <w:sz w:val="18"/>
                <w:szCs w:val="18"/>
              </w:rPr>
              <w:t xml:space="preserve"/>
            </w:r>
          </w:p>
        </w:tc>
        <w:tc>
          <w:tcPr>
            <w:tcW w:w="1700" w:type="dxa"/>
            <w:vAlign w:val="center"/>
          </w:tcPr>
          <w:p>
            <w:pPr>
              <w:spacing w:before="0" w:after="0"/>
              <w:jc w:val="right"/>
            </w:pPr>
            <w:r>
              <w:rPr>
                <w:b/>
                <w:sz w:val="18"/>
                <w:szCs w:val="18"/>
              </w:rPr>
              <w:t xml:space="preserve"/>
            </w:r>
          </w:p>
        </w:tc>
        <w:tc>
          <w:tcPr>
            <w:tcW w:w="1700" w:type="dxa"/>
            <w:vAlign w:val="center"/>
          </w:tcPr>
          <w:p>
            <w:pPr>
              <w:spacing w:before="0" w:after="0"/>
              <w:jc w:val="right"/>
            </w:pPr>
            <w:r>
              <w:rPr>
                <w:b/>
                <w:sz w:val="18"/>
                <w:szCs w:val="18"/>
              </w:rPr>
              <w:t xml:space="preserve"/>
            </w:r>
          </w:p>
        </w:tc>
      </w:tr>
      <w:tr>
        <w:tc>
          <w:tcPr>
            <w:tcW w:w="4872" w:type="dxa"/>
            <w:vAlign w:val="center"/>
          </w:tcPr>
          <w:p>
            <w:pPr>
              <w:spacing w:before="0" w:after="0"/>
              <w:jc w:val="left"/>
            </w:pPr>
            <w:r>
              <w:rPr>
                <w:sz w:val="18"/>
                <w:szCs w:val="18"/>
              </w:rPr>
              <w:t xml:space="preserve">Company-operated stores</w:t>
            </w:r>
          </w:p>
        </w:tc>
        <w:tc>
          <w:tcPr>
            <w:tcW w:w="800" w:type="dxa"/>
            <w:vAlign w:val="center"/>
          </w:tcPr>
          <w:p>
            <w:pPr>
              <w:spacing w:before="0" w:after="0"/>
              <w:jc w:val="left"/>
            </w:pPr>
            <w:r>
              <w:rPr>
                <w:sz w:val="18"/>
                <w:szCs w:val="18"/>
              </w:rPr>
              <w:t xml:space="preserve"/>
            </w:r>
          </w:p>
        </w:tc>
        <w:tc>
          <w:tcPr>
            <w:tcW w:w="1700" w:type="dxa"/>
            <w:vAlign w:val="center"/>
          </w:tcPr>
          <w:p>
            <w:pPr>
              <w:spacing w:before="0" w:after="0"/>
              <w:jc w:val="right"/>
            </w:pPr>
            <w:r>
              <w:rPr>
                <w:sz w:val="18"/>
                <w:szCs w:val="18"/>
              </w:rPr>
              <w:t xml:space="preserve">64,419</w:t>
            </w:r>
          </w:p>
        </w:tc>
        <w:tc>
          <w:tcPr>
            <w:tcW w:w="1700" w:type="dxa"/>
            <w:vAlign w:val="center"/>
          </w:tcPr>
          <w:p>
            <w:pPr>
              <w:spacing w:before="0" w:after="0"/>
              <w:jc w:val="right"/>
            </w:pPr>
            <w:r>
              <w:rPr>
                <w:sz w:val="18"/>
                <w:szCs w:val="18"/>
              </w:rPr>
              <w:t xml:space="preserve">70,777</w:t>
            </w:r>
          </w:p>
        </w:tc>
      </w:tr>
      <w:tr>
        <w:tc>
          <w:tcPr>
            <w:tcW w:w="4872" w:type="dxa"/>
            <w:vAlign w:val="center"/>
          </w:tcPr>
          <w:p>
            <w:pPr>
              <w:spacing w:before="0" w:after="0"/>
              <w:jc w:val="left"/>
            </w:pPr>
            <w:r>
              <w:rPr>
                <w:sz w:val="18"/>
                <w:szCs w:val="18"/>
              </w:rPr>
              <w:t xml:space="preserve">Online store</w:t>
            </w:r>
          </w:p>
        </w:tc>
        <w:tc>
          <w:tcPr>
            <w:tcW w:w="800" w:type="dxa"/>
            <w:vAlign w:val="center"/>
          </w:tcPr>
          <w:p>
            <w:pPr>
              <w:spacing w:before="0" w:after="0"/>
              <w:jc w:val="left"/>
            </w:pPr>
            <w:r>
              <w:rPr>
                <w:sz w:val="18"/>
                <w:szCs w:val="18"/>
              </w:rPr>
              <w:t xml:space="preserve"/>
            </w:r>
          </w:p>
        </w:tc>
        <w:tc>
          <w:tcPr>
            <w:tcW w:w="1700" w:type="dxa"/>
            <w:vAlign w:val="center"/>
          </w:tcPr>
          <w:p>
            <w:pPr>
              <w:spacing w:before="0" w:after="0"/>
              <w:jc w:val="right"/>
            </w:pPr>
            <w:r>
              <w:rPr>
                <w:sz w:val="18"/>
                <w:szCs w:val="18"/>
              </w:rPr>
              <w:t xml:space="preserve">9,142</w:t>
            </w:r>
          </w:p>
        </w:tc>
        <w:tc>
          <w:tcPr>
            <w:tcW w:w="1700" w:type="dxa"/>
            <w:vAlign w:val="center"/>
          </w:tcPr>
          <w:p>
            <w:pPr>
              <w:spacing w:before="0" w:after="0"/>
              <w:jc w:val="right"/>
            </w:pPr>
            <w:r>
              <w:rPr>
                <w:sz w:val="18"/>
                <w:szCs w:val="18"/>
              </w:rPr>
              <w:t xml:space="preserve">8,693</w:t>
            </w:r>
          </w:p>
        </w:tc>
      </w:tr>
      <w:tr>
        <w:tc>
          <w:tcPr>
            <w:tcW w:w="4872" w:type="dxa"/>
            <w:vAlign w:val="center"/>
          </w:tcPr>
          <w:p>
            <w:pPr>
              <w:spacing w:before="0" w:after="0"/>
              <w:jc w:val="left"/>
            </w:pPr>
            <w:r>
              <w:rPr>
                <w:sz w:val="18"/>
                <w:szCs w:val="18"/>
              </w:rPr>
              <w:t xml:space="preserve">Wholesale</w:t>
            </w:r>
          </w:p>
        </w:tc>
        <w:tc>
          <w:tcPr>
            <w:tcW w:w="800" w:type="dxa"/>
            <w:vAlign w:val="center"/>
          </w:tcPr>
          <w:p>
            <w:pPr>
              <w:spacing w:before="0" w:after="0"/>
              <w:jc w:val="left"/>
            </w:pPr>
            <w:r>
              <w:rPr>
                <w:sz w:val="18"/>
                <w:szCs w:val="18"/>
              </w:rPr>
              <w:t xml:space="preserve"/>
            </w:r>
          </w:p>
        </w:tc>
        <w:tc>
          <w:tcPr>
            <w:tcW w:w="1700" w:type="dxa"/>
            <w:vAlign w:val="center"/>
          </w:tcPr>
          <w:p>
            <w:pPr>
              <w:spacing w:before="0" w:after="0"/>
              <w:jc w:val="right"/>
            </w:pPr>
            <w:r>
              <w:rPr>
                <w:sz w:val="18"/>
                <w:szCs w:val="18"/>
              </w:rPr>
              <w:t xml:space="preserve">4,364</w:t>
            </w:r>
          </w:p>
        </w:tc>
        <w:tc>
          <w:tcPr>
            <w:tcW w:w="1700" w:type="dxa"/>
            <w:vAlign w:val="center"/>
          </w:tcPr>
          <w:p>
            <w:pPr>
              <w:spacing w:before="0" w:after="0"/>
              <w:jc w:val="right"/>
            </w:pPr>
            <w:r>
              <w:rPr>
                <w:sz w:val="18"/>
                <w:szCs w:val="18"/>
              </w:rPr>
              <w:t xml:space="preserve">6,130</w:t>
            </w:r>
          </w:p>
        </w:tc>
      </w:tr>
      <w:tr>
        <w:tc>
          <w:tcPr>
            <w:tcW w:w="4872" w:type="dxa"/>
            <w:vAlign w:val="center"/>
          </w:tcPr>
          <w:p>
            <w:pPr>
              <w:spacing w:before="0" w:after="0"/>
              <w:jc w:val="left"/>
            </w:pPr>
            <w:r>
              <w:rPr>
                <w:b/>
                <w:sz w:val="18"/>
                <w:szCs w:val="18"/>
              </w:rPr>
              <w:t xml:space="preserve">Total revenue</w:t>
            </w:r>
          </w:p>
        </w:tc>
        <w:tc>
          <w:tcPr>
            <w:tcW w:w="800" w:type="dxa"/>
            <w:vAlign w:val="center"/>
          </w:tcPr>
          <w:p>
            <w:pPr>
              <w:spacing w:before="0" w:after="0"/>
              <w:jc w:val="left"/>
            </w:pPr>
            <w:r>
              <w:rPr>
                <w:b/>
                <w:sz w:val="18"/>
                <w:szCs w:val="18"/>
              </w:rPr>
              <w:t xml:space="preserve"/>
            </w:r>
          </w:p>
        </w:tc>
        <w:tc>
          <w:tcPr>
            <w:tcW w:w="1700" w:type="dxa"/>
            <w:vAlign w:val="center"/>
          </w:tcPr>
          <w:p>
            <w:pPr>
              <w:spacing w:before="0" w:after="0"/>
              <w:jc w:val="right"/>
            </w:pPr>
            <w:r>
              <w:rPr>
                <w:b/>
                <w:sz w:val="18"/>
                <w:szCs w:val="18"/>
              </w:rPr>
              <w:t xml:space="preserve">77,925</w:t>
            </w:r>
          </w:p>
        </w:tc>
        <w:tc>
          <w:tcPr>
            <w:tcW w:w="1700" w:type="dxa"/>
            <w:vAlign w:val="center"/>
          </w:tcPr>
          <w:p>
            <w:pPr>
              <w:spacing w:before="0" w:after="0"/>
              <w:jc w:val="right"/>
            </w:pPr>
            <w:r>
              <w:rPr>
                <w:b/>
                <w:sz w:val="18"/>
                <w:szCs w:val="18"/>
              </w:rPr>
              <w:t xml:space="preserve">85,600</w:t>
            </w:r>
          </w:p>
        </w:tc>
      </w:tr>
      <w:tr>
        <w:tc>
          <w:tcPr>
            <w:tcW w:w="4872" w:type="dxa"/>
            <w:vAlign w:val="center"/>
          </w:tcPr>
          <w:p>
            <w:pPr>
              <w:spacing w:before="0" w:after="0"/>
              <w:jc w:val="left"/>
            </w:pPr>
            <w:r>
              <w:rPr>
                <w:b/>
                <w:sz w:val="18"/>
                <w:szCs w:val="18"/>
              </w:rPr>
              <w:t xml:space="preserve">Operating expenses</w:t>
            </w:r>
          </w:p>
        </w:tc>
        <w:tc>
          <w:tcPr>
            <w:tcW w:w="800" w:type="dxa"/>
            <w:vAlign w:val="center"/>
          </w:tcPr>
          <w:p>
            <w:pPr>
              <w:spacing w:before="0" w:after="0"/>
              <w:jc w:val="left"/>
            </w:pPr>
            <w:r>
              <w:rPr>
                <w:b/>
                <w:sz w:val="18"/>
                <w:szCs w:val="18"/>
              </w:rPr>
              <w:t xml:space="preserve"/>
            </w:r>
          </w:p>
        </w:tc>
        <w:tc>
          <w:tcPr>
            <w:tcW w:w="1700" w:type="dxa"/>
            <w:vAlign w:val="center"/>
          </w:tcPr>
          <w:p>
            <w:pPr>
              <w:spacing w:before="0" w:after="0"/>
              <w:jc w:val="right"/>
            </w:pPr>
            <w:r>
              <w:rPr>
                <w:b/>
                <w:sz w:val="18"/>
                <w:szCs w:val="18"/>
              </w:rPr>
              <w:t xml:space="preserve"/>
            </w:r>
          </w:p>
        </w:tc>
        <w:tc>
          <w:tcPr>
            <w:tcW w:w="1700" w:type="dxa"/>
            <w:vAlign w:val="center"/>
          </w:tcPr>
          <w:p>
            <w:pPr>
              <w:spacing w:before="0" w:after="0"/>
              <w:jc w:val="right"/>
            </w:pPr>
            <w:r>
              <w:rPr>
                <w:b/>
                <w:sz w:val="18"/>
                <w:szCs w:val="18"/>
              </w:rPr>
              <w:t xml:space="preserve"/>
            </w:r>
          </w:p>
        </w:tc>
      </w:tr>
      <w:tr>
        <w:tc>
          <w:tcPr>
            <w:tcW w:w="4872" w:type="dxa"/>
            <w:vAlign w:val="center"/>
          </w:tcPr>
          <w:p>
            <w:pPr>
              <w:spacing w:before="0" w:after="0"/>
              <w:jc w:val="left"/>
            </w:pPr>
            <w:r>
              <w:rPr>
                <w:sz w:val="18"/>
                <w:szCs w:val="18"/>
              </w:rPr>
              <w:t xml:space="preserve">Product and distribution costs</w:t>
            </w:r>
          </w:p>
        </w:tc>
        <w:tc>
          <w:tcPr>
            <w:tcW w:w="800" w:type="dxa"/>
            <w:vAlign w:val="center"/>
          </w:tcPr>
          <w:p>
            <w:pPr>
              <w:spacing w:before="0" w:after="0"/>
              <w:jc w:val="left"/>
            </w:pPr>
            <w:r>
              <w:rPr>
                <w:sz w:val="18"/>
                <w:szCs w:val="18"/>
              </w:rPr>
              <w:t xml:space="preserve">18</w:t>
            </w:r>
          </w:p>
        </w:tc>
        <w:tc>
          <w:tcPr>
            <w:tcW w:w="1700" w:type="dxa"/>
            <w:vAlign w:val="center"/>
          </w:tcPr>
          <w:p>
            <w:pPr>
              <w:spacing w:before="0" w:after="0"/>
              <w:jc w:val="right"/>
            </w:pPr>
            <w:r>
              <w:rPr>
                <w:sz w:val="18"/>
                <w:szCs w:val="18"/>
              </w:rPr>
              <w:t xml:space="preserve">23,138</w:t>
            </w:r>
          </w:p>
        </w:tc>
        <w:tc>
          <w:tcPr>
            <w:tcW w:w="1700" w:type="dxa"/>
            <w:vAlign w:val="center"/>
          </w:tcPr>
          <w:p>
            <w:pPr>
              <w:spacing w:before="0" w:after="0"/>
              <w:jc w:val="right"/>
            </w:pPr>
            <w:r>
              <w:rPr>
                <w:sz w:val="18"/>
                <w:szCs w:val="18"/>
              </w:rPr>
              <w:t xml:space="preserve">24,990</w:t>
            </w:r>
          </w:p>
        </w:tc>
      </w:tr>
      <w:tr>
        <w:tc>
          <w:tcPr>
            <w:tcW w:w="4872" w:type="dxa"/>
            <w:vAlign w:val="center"/>
          </w:tcPr>
          <w:p>
            <w:pPr>
              <w:spacing w:before="0" w:after="0"/>
              <w:jc w:val="left"/>
            </w:pPr>
            <w:r>
              <w:rPr>
                <w:sz w:val="18"/>
                <w:szCs w:val="18"/>
              </w:rPr>
              <w:t xml:space="preserve">Store operating expenses</w:t>
            </w:r>
          </w:p>
        </w:tc>
        <w:tc>
          <w:tcPr>
            <w:tcW w:w="800" w:type="dxa"/>
            <w:vAlign w:val="center"/>
          </w:tcPr>
          <w:p>
            <w:pPr>
              <w:spacing w:before="0" w:after="0"/>
              <w:jc w:val="left"/>
            </w:pPr>
            <w:r>
              <w:rPr>
                <w:sz w:val="18"/>
                <w:szCs w:val="18"/>
              </w:rPr>
              <w:t xml:space="preserve"/>
            </w:r>
          </w:p>
        </w:tc>
        <w:tc>
          <w:tcPr>
            <w:tcW w:w="1700" w:type="dxa"/>
            <w:vAlign w:val="center"/>
          </w:tcPr>
          <w:p>
            <w:pPr>
              <w:spacing w:before="0" w:after="0"/>
              <w:jc w:val="right"/>
            </w:pPr>
            <w:r>
              <w:rPr>
                <w:sz w:val="18"/>
                <w:szCs w:val="18"/>
              </w:rPr>
              <w:t xml:space="preserve">25,915</w:t>
            </w:r>
          </w:p>
        </w:tc>
        <w:tc>
          <w:tcPr>
            <w:tcW w:w="1700" w:type="dxa"/>
            <w:vAlign w:val="center"/>
          </w:tcPr>
          <w:p>
            <w:pPr>
              <w:spacing w:before="0" w:after="0"/>
              <w:jc w:val="right"/>
            </w:pPr>
            <w:r>
              <w:rPr>
                <w:sz w:val="18"/>
                <w:szCs w:val="18"/>
              </w:rPr>
              <w:t xml:space="preserve">29,255</w:t>
            </w:r>
          </w:p>
        </w:tc>
      </w:tr>
      <w:tr>
        <w:tc>
          <w:tcPr>
            <w:tcW w:w="4872" w:type="dxa"/>
            <w:vAlign w:val="center"/>
          </w:tcPr>
          <w:p>
            <w:pPr>
              <w:spacing w:before="0" w:after="0"/>
              <w:jc w:val="left"/>
            </w:pPr>
            <w:r>
              <w:rPr>
                <w:sz w:val="18"/>
                <w:szCs w:val="18"/>
              </w:rPr>
              <w:t xml:space="preserve">Occupancy costs</w:t>
            </w:r>
          </w:p>
        </w:tc>
        <w:tc>
          <w:tcPr>
            <w:tcW w:w="800" w:type="dxa"/>
            <w:vAlign w:val="center"/>
          </w:tcPr>
          <w:p>
            <w:pPr>
              <w:spacing w:before="0" w:after="0"/>
              <w:jc w:val="left"/>
            </w:pPr>
            <w:r>
              <w:rPr>
                <w:sz w:val="18"/>
                <w:szCs w:val="18"/>
              </w:rPr>
              <w:t xml:space="preserve"/>
            </w:r>
          </w:p>
        </w:tc>
        <w:tc>
          <w:tcPr>
            <w:tcW w:w="1700" w:type="dxa"/>
            <w:vAlign w:val="center"/>
          </w:tcPr>
          <w:p>
            <w:pPr>
              <w:spacing w:before="0" w:after="0"/>
              <w:jc w:val="right"/>
            </w:pPr>
            <w:r>
              <w:rPr>
                <w:sz w:val="18"/>
                <w:szCs w:val="18"/>
              </w:rPr>
              <w:t xml:space="preserve">8,607</w:t>
            </w:r>
          </w:p>
        </w:tc>
        <w:tc>
          <w:tcPr>
            <w:tcW w:w="1700" w:type="dxa"/>
            <w:vAlign w:val="center"/>
          </w:tcPr>
          <w:p>
            <w:pPr>
              <w:spacing w:before="0" w:after="0"/>
              <w:jc w:val="right"/>
            </w:pPr>
            <w:r>
              <w:rPr>
                <w:sz w:val="18"/>
                <w:szCs w:val="18"/>
              </w:rPr>
              <w:t xml:space="preserve">9,837</w:t>
            </w:r>
          </w:p>
        </w:tc>
      </w:tr>
      <w:tr>
        <w:tc>
          <w:tcPr>
            <w:tcW w:w="4872" w:type="dxa"/>
            <w:vAlign w:val="center"/>
          </w:tcPr>
          <w:p>
            <w:pPr>
              <w:spacing w:before="0" w:after="0"/>
              <w:jc w:val="left"/>
            </w:pPr>
            <w:r>
              <w:rPr>
                <w:sz w:val="18"/>
                <w:szCs w:val="18"/>
              </w:rPr>
              <w:t xml:space="preserve">Depreciation and amortization</w:t>
            </w:r>
          </w:p>
        </w:tc>
        <w:tc>
          <w:tcPr>
            <w:tcW w:w="800" w:type="dxa"/>
            <w:vAlign w:val="center"/>
          </w:tcPr>
          <w:p>
            <w:pPr>
              <w:spacing w:before="0" w:after="0"/>
              <w:jc w:val="left"/>
            </w:pPr>
            <w:r>
              <w:rPr>
                <w:sz w:val="18"/>
                <w:szCs w:val="18"/>
              </w:rPr>
              <w:t xml:space="preserve"/>
            </w:r>
          </w:p>
        </w:tc>
        <w:tc>
          <w:tcPr>
            <w:tcW w:w="1700" w:type="dxa"/>
            <w:vAlign w:val="center"/>
          </w:tcPr>
          <w:p>
            <w:pPr>
              <w:spacing w:before="0" w:after="0"/>
              <w:jc w:val="right"/>
            </w:pPr>
            <w:r>
              <w:rPr>
                <w:sz w:val="18"/>
                <w:szCs w:val="18"/>
              </w:rPr>
              <w:t xml:space="preserve">4,254</w:t>
            </w:r>
          </w:p>
        </w:tc>
        <w:tc>
          <w:tcPr>
            <w:tcW w:w="1700" w:type="dxa"/>
            <w:vAlign w:val="center"/>
          </w:tcPr>
          <w:p>
            <w:pPr>
              <w:spacing w:before="0" w:after="0"/>
              <w:jc w:val="right"/>
            </w:pPr>
            <w:r>
              <w:rPr>
                <w:sz w:val="18"/>
                <w:szCs w:val="18"/>
              </w:rPr>
              <w:t xml:space="preserve">4,619</w:t>
            </w:r>
          </w:p>
        </w:tc>
      </w:tr>
      <w:tr>
        <w:tc>
          <w:tcPr>
            <w:tcW w:w="4872" w:type="dxa"/>
            <w:vAlign w:val="center"/>
          </w:tcPr>
          <w:p>
            <w:pPr>
              <w:spacing w:before="0" w:after="0"/>
              <w:jc w:val="left"/>
            </w:pPr>
            <w:r>
              <w:rPr>
                <w:sz w:val="18"/>
                <w:szCs w:val="18"/>
              </w:rPr>
              <w:t xml:space="preserve">General and administrative expenses</w:t>
            </w:r>
          </w:p>
        </w:tc>
        <w:tc>
          <w:tcPr>
            <w:tcW w:w="800" w:type="dxa"/>
            <w:vAlign w:val="center"/>
          </w:tcPr>
          <w:p>
            <w:pPr>
              <w:spacing w:before="0" w:after="0"/>
              <w:jc w:val="left"/>
            </w:pPr>
            <w:r>
              <w:rPr>
                <w:sz w:val="18"/>
                <w:szCs w:val="18"/>
              </w:rPr>
              <w:t xml:space="preserve"/>
            </w:r>
          </w:p>
        </w:tc>
        <w:tc>
          <w:tcPr>
            <w:tcW w:w="1700" w:type="dxa"/>
            <w:vAlign w:val="center"/>
          </w:tcPr>
          <w:p>
            <w:pPr>
              <w:spacing w:before="0" w:after="0"/>
              <w:jc w:val="right"/>
            </w:pPr>
            <w:r>
              <w:rPr>
                <w:sz w:val="18"/>
                <w:szCs w:val="18"/>
              </w:rPr>
              <w:t xml:space="preserve">5,209</w:t>
            </w:r>
          </w:p>
        </w:tc>
        <w:tc>
          <w:tcPr>
            <w:tcW w:w="1700" w:type="dxa"/>
            <w:vAlign w:val="center"/>
          </w:tcPr>
          <w:p>
            <w:pPr>
              <w:spacing w:before="0" w:after="0"/>
              <w:jc w:val="right"/>
            </w:pPr>
            <w:r>
              <w:rPr>
                <w:sz w:val="18"/>
                <w:szCs w:val="18"/>
              </w:rPr>
              <w:t xml:space="preserve">5,559</w:t>
            </w:r>
          </w:p>
        </w:tc>
      </w:tr>
      <w:tr>
        <w:tc>
          <w:tcPr>
            <w:tcW w:w="4872" w:type="dxa"/>
            <w:vAlign w:val="center"/>
          </w:tcPr>
          <w:p>
            <w:pPr>
              <w:spacing w:before="0" w:after="0"/>
              <w:jc w:val="left"/>
            </w:pPr>
            <w:r>
              <w:rPr>
                <w:sz w:val="18"/>
                <w:szCs w:val="18"/>
              </w:rPr>
              <w:t xml:space="preserve">Store opening expenses</w:t>
            </w:r>
          </w:p>
        </w:tc>
        <w:tc>
          <w:tcPr>
            <w:tcW w:w="800" w:type="dxa"/>
            <w:vAlign w:val="center"/>
          </w:tcPr>
          <w:p>
            <w:pPr>
              <w:spacing w:before="0" w:after="0"/>
              <w:jc w:val="left"/>
            </w:pPr>
            <w:r>
              <w:rPr>
                <w:sz w:val="18"/>
                <w:szCs w:val="18"/>
              </w:rPr>
              <w:t xml:space="preserve"/>
            </w:r>
          </w:p>
        </w:tc>
        <w:tc>
          <w:tcPr>
            <w:tcW w:w="1700" w:type="dxa"/>
            <w:vAlign w:val="center"/>
          </w:tcPr>
          <w:p>
            <w:pPr>
              <w:spacing w:before="0" w:after="0"/>
              <w:jc w:val="right"/>
            </w:pPr>
            <w:r>
              <w:rPr>
                <w:sz w:val="18"/>
                <w:szCs w:val="18"/>
              </w:rPr>
              <w:t xml:space="preserve">484</w:t>
            </w:r>
          </w:p>
        </w:tc>
        <w:tc>
          <w:tcPr>
            <w:tcW w:w="1700" w:type="dxa"/>
            <w:vAlign w:val="center"/>
          </w:tcPr>
          <w:p>
            <w:pPr>
              <w:spacing w:before="0" w:after="0"/>
              <w:jc w:val="right"/>
            </w:pPr>
            <w:r>
              <w:rPr>
                <w:sz w:val="18"/>
                <w:szCs w:val="18"/>
              </w:rPr>
              <w:t xml:space="preserve">575</w:t>
            </w:r>
          </w:p>
        </w:tc>
      </w:tr>
      <w:tr>
        <w:tc>
          <w:tcPr>
            <w:tcW w:w="4872" w:type="dxa"/>
            <w:vAlign w:val="center"/>
          </w:tcPr>
          <w:p>
            <w:pPr>
              <w:spacing w:before="0" w:after="0"/>
              <w:jc w:val="left"/>
            </w:pPr>
            <w:r>
              <w:rPr>
                <w:b/>
                <w:sz w:val="18"/>
                <w:szCs w:val="18"/>
              </w:rPr>
              <w:t xml:space="preserve">Total operating expenses</w:t>
            </w:r>
          </w:p>
        </w:tc>
        <w:tc>
          <w:tcPr>
            <w:tcW w:w="800" w:type="dxa"/>
            <w:vAlign w:val="center"/>
          </w:tcPr>
          <w:p>
            <w:pPr>
              <w:spacing w:before="0" w:after="0"/>
              <w:jc w:val="left"/>
            </w:pPr>
            <w:r>
              <w:rPr>
                <w:b/>
                <w:sz w:val="18"/>
                <w:szCs w:val="18"/>
              </w:rPr>
              <w:t xml:space="preserve"/>
            </w:r>
          </w:p>
        </w:tc>
        <w:tc>
          <w:tcPr>
            <w:tcW w:w="1700" w:type="dxa"/>
            <w:vAlign w:val="center"/>
          </w:tcPr>
          <w:p>
            <w:pPr>
              <w:spacing w:before="0" w:after="0"/>
              <w:jc w:val="right"/>
            </w:pPr>
            <w:r>
              <w:rPr>
                <w:b/>
                <w:sz w:val="18"/>
                <w:szCs w:val="18"/>
              </w:rPr>
              <w:t xml:space="preserve">67,607</w:t>
            </w:r>
          </w:p>
        </w:tc>
        <w:tc>
          <w:tcPr>
            <w:tcW w:w="1700" w:type="dxa"/>
            <w:vAlign w:val="center"/>
          </w:tcPr>
          <w:p>
            <w:pPr>
              <w:spacing w:before="0" w:after="0"/>
              <w:jc w:val="right"/>
            </w:pPr>
            <w:r>
              <w:rPr>
                <w:b/>
                <w:sz w:val="18"/>
                <w:szCs w:val="18"/>
              </w:rPr>
              <w:t xml:space="preserve">74,836</w:t>
            </w:r>
          </w:p>
        </w:tc>
      </w:tr>
      <w:tr>
        <w:tc>
          <w:tcPr>
            <w:tcW w:w="4872" w:type="dxa"/>
            <w:vAlign w:val="center"/>
          </w:tcPr>
          <w:p>
            <w:pPr>
              <w:spacing w:before="0" w:after="0"/>
              <w:jc w:val="left"/>
            </w:pPr>
            <w:r>
              <w:rPr>
                <w:b/>
                <w:sz w:val="18"/>
                <w:szCs w:val="18"/>
              </w:rPr>
              <w:t xml:space="preserve">Operating income</w:t>
            </w:r>
          </w:p>
        </w:tc>
        <w:tc>
          <w:tcPr>
            <w:tcW w:w="800" w:type="dxa"/>
            <w:vAlign w:val="center"/>
          </w:tcPr>
          <w:p>
            <w:pPr>
              <w:spacing w:before="0" w:after="0"/>
              <w:jc w:val="left"/>
            </w:pPr>
            <w:r>
              <w:rPr>
                <w:b/>
                <w:sz w:val="18"/>
                <w:szCs w:val="18"/>
              </w:rPr>
              <w:t xml:space="preserve"/>
            </w:r>
          </w:p>
        </w:tc>
        <w:tc>
          <w:tcPr>
            <w:tcW w:w="1700" w:type="dxa"/>
            <w:vAlign w:val="center"/>
          </w:tcPr>
          <w:p>
            <w:pPr>
              <w:spacing w:before="0" w:after="0"/>
              <w:jc w:val="right"/>
            </w:pPr>
            <w:r>
              <w:rPr>
                <w:b/>
                <w:sz w:val="18"/>
                <w:szCs w:val="18"/>
              </w:rPr>
              <w:t xml:space="preserve">10,318</w:t>
            </w:r>
          </w:p>
        </w:tc>
        <w:tc>
          <w:tcPr>
            <w:tcW w:w="1700" w:type="dxa"/>
            <w:vAlign w:val="center"/>
          </w:tcPr>
          <w:p>
            <w:pPr>
              <w:spacing w:before="0" w:after="0"/>
              <w:jc w:val="right"/>
            </w:pPr>
            <w:r>
              <w:rPr>
                <w:b/>
                <w:sz w:val="18"/>
                <w:szCs w:val="18"/>
              </w:rPr>
              <w:t xml:space="preserve">10,764</w:t>
            </w:r>
          </w:p>
        </w:tc>
      </w:tr>
      <w:tr>
        <w:tc>
          <w:tcPr>
            <w:tcW w:w="4872" w:type="dxa"/>
            <w:vAlign w:val="center"/>
          </w:tcPr>
          <w:p>
            <w:pPr>
              <w:spacing w:before="0" w:after="0"/>
              <w:jc w:val="left"/>
            </w:pPr>
            <w:r>
              <w:rPr>
                <w:sz w:val="18"/>
                <w:szCs w:val="18"/>
              </w:rPr>
              <w:t xml:space="preserve">Interest income</w:t>
            </w:r>
          </w:p>
        </w:tc>
        <w:tc>
          <w:tcPr>
            <w:tcW w:w="800" w:type="dxa"/>
            <w:vAlign w:val="center"/>
          </w:tcPr>
          <w:p>
            <w:pPr>
              <w:spacing w:before="0" w:after="0"/>
              <w:jc w:val="left"/>
            </w:pPr>
            <w:r>
              <w:rPr>
                <w:sz w:val="18"/>
                <w:szCs w:val="18"/>
              </w:rPr>
              <w:t xml:space="preserve"/>
            </w:r>
          </w:p>
        </w:tc>
        <w:tc>
          <w:tcPr>
            <w:tcW w:w="1700" w:type="dxa"/>
            <w:vAlign w:val="center"/>
          </w:tcPr>
          <w:p>
            <w:pPr>
              <w:spacing w:before="0" w:after="0"/>
              <w:jc w:val="right"/>
            </w:pPr>
            <w:r>
              <w:rPr>
                <w:sz w:val="18"/>
                <w:szCs w:val="18"/>
              </w:rPr>
              <w:t xml:space="preserve">78</w:t>
            </w:r>
          </w:p>
        </w:tc>
        <w:tc>
          <w:tcPr>
            <w:tcW w:w="1700" w:type="dxa"/>
            <w:vAlign w:val="center"/>
          </w:tcPr>
          <w:p>
            <w:pPr>
              <w:spacing w:before="0" w:after="0"/>
              <w:jc w:val="right"/>
            </w:pPr>
            <w:r>
              <w:rPr>
                <w:sz w:val="18"/>
                <w:szCs w:val="18"/>
              </w:rPr>
              <w:t xml:space="preserve">86</w:t>
            </w:r>
          </w:p>
        </w:tc>
      </w:tr>
      <w:tr>
        <w:tc>
          <w:tcPr>
            <w:tcW w:w="4872" w:type="dxa"/>
            <w:vAlign w:val="center"/>
          </w:tcPr>
          <w:p>
            <w:pPr>
              <w:spacing w:before="0" w:after="0"/>
              <w:jc w:val="left"/>
            </w:pPr>
            <w:r>
              <w:rPr>
                <w:sz w:val="18"/>
                <w:szCs w:val="18"/>
              </w:rPr>
              <w:t xml:space="preserve">Interest expense</w:t>
            </w:r>
          </w:p>
        </w:tc>
        <w:tc>
          <w:tcPr>
            <w:tcW w:w="800" w:type="dxa"/>
            <w:vAlign w:val="center"/>
          </w:tcPr>
          <w:p>
            <w:pPr>
              <w:spacing w:before="0" w:after="0"/>
              <w:jc w:val="left"/>
            </w:pPr>
            <w:r>
              <w:rPr>
                <w:sz w:val="18"/>
                <w:szCs w:val="18"/>
              </w:rPr>
              <w:t xml:space="preserve"/>
            </w:r>
          </w:p>
        </w:tc>
        <w:tc>
          <w:tcPr>
            <w:tcW w:w="1700" w:type="dxa"/>
            <w:vAlign w:val="center"/>
          </w:tcPr>
          <w:p>
            <w:pPr>
              <w:spacing w:before="0" w:after="0"/>
              <w:jc w:val="right"/>
            </w:pPr>
            <w:r>
              <w:rPr>
                <w:sz w:val="18"/>
                <w:szCs w:val="18"/>
              </w:rPr>
              <w:t xml:space="preserve">(315)</w:t>
            </w:r>
          </w:p>
        </w:tc>
        <w:tc>
          <w:tcPr>
            <w:tcW w:w="1700" w:type="dxa"/>
            <w:vAlign w:val="center"/>
          </w:tcPr>
          <w:p>
            <w:pPr>
              <w:spacing w:before="0" w:after="0"/>
              <w:jc w:val="right"/>
            </w:pPr>
            <w:r>
              <w:rPr>
                <w:sz w:val="18"/>
                <w:szCs w:val="18"/>
              </w:rPr>
              <w:t xml:space="preserve">(301)</w:t>
            </w:r>
          </w:p>
        </w:tc>
      </w:tr>
      <w:tr>
        <w:tc>
          <w:tcPr>
            <w:tcW w:w="4872" w:type="dxa"/>
            <w:vAlign w:val="center"/>
          </w:tcPr>
          <w:p>
            <w:pPr>
              <w:spacing w:before="0" w:after="0"/>
              <w:jc w:val="left"/>
            </w:pPr>
            <w:r>
              <w:rPr>
                <w:sz w:val="18"/>
                <w:szCs w:val="18"/>
              </w:rPr>
              <w:t xml:space="preserve">Other income (expense), net</w:t>
            </w:r>
          </w:p>
        </w:tc>
        <w:tc>
          <w:tcPr>
            <w:tcW w:w="800" w:type="dxa"/>
            <w:vAlign w:val="center"/>
          </w:tcPr>
          <w:p>
            <w:pPr>
              <w:spacing w:before="0" w:after="0"/>
              <w:jc w:val="left"/>
            </w:pPr>
            <w:r>
              <w:rPr>
                <w:sz w:val="18"/>
                <w:szCs w:val="18"/>
              </w:rPr>
              <w:t xml:space="preserve"/>
            </w:r>
          </w:p>
        </w:tc>
        <w:tc>
          <w:tcPr>
            <w:tcW w:w="1700" w:type="dxa"/>
            <w:vAlign w:val="center"/>
          </w:tcPr>
          <w:p>
            <w:pPr>
              <w:spacing w:before="0" w:after="0"/>
              <w:jc w:val="right"/>
            </w:pPr>
            <w:r>
              <w:rPr>
                <w:sz w:val="18"/>
                <w:szCs w:val="18"/>
              </w:rPr>
              <w:t xml:space="preserve">(67)</w:t>
            </w:r>
          </w:p>
        </w:tc>
        <w:tc>
          <w:tcPr>
            <w:tcW w:w="1700" w:type="dxa"/>
            <w:vAlign w:val="center"/>
          </w:tcPr>
          <w:p>
            <w:pPr>
              <w:spacing w:before="0" w:after="0"/>
              <w:jc w:val="right"/>
            </w:pPr>
            <w:r>
              <w:rPr>
                <w:sz w:val="18"/>
                <w:szCs w:val="18"/>
              </w:rPr>
              <w:t xml:space="preserve">13</w:t>
            </w:r>
          </w:p>
        </w:tc>
      </w:tr>
      <w:tr>
        <w:tc>
          <w:tcPr>
            <w:tcW w:w="4872" w:type="dxa"/>
            <w:vAlign w:val="center"/>
          </w:tcPr>
          <w:p>
            <w:pPr>
              <w:spacing w:before="0" w:after="0"/>
              <w:jc w:val="left"/>
            </w:pPr>
            <w:r>
              <w:rPr>
                <w:b/>
                <w:sz w:val="18"/>
                <w:szCs w:val="18"/>
              </w:rPr>
              <w:t xml:space="preserve">Income before income taxes</w:t>
            </w:r>
          </w:p>
        </w:tc>
        <w:tc>
          <w:tcPr>
            <w:tcW w:w="800" w:type="dxa"/>
            <w:vAlign w:val="center"/>
          </w:tcPr>
          <w:p>
            <w:pPr>
              <w:spacing w:before="0" w:after="0"/>
              <w:jc w:val="left"/>
            </w:pPr>
            <w:r>
              <w:rPr>
                <w:b/>
                <w:sz w:val="18"/>
                <w:szCs w:val="18"/>
              </w:rPr>
              <w:t xml:space="preserve"/>
            </w:r>
          </w:p>
        </w:tc>
        <w:tc>
          <w:tcPr>
            <w:tcW w:w="1700" w:type="dxa"/>
            <w:vAlign w:val="center"/>
          </w:tcPr>
          <w:p>
            <w:pPr>
              <w:spacing w:before="0" w:after="0"/>
              <w:jc w:val="right"/>
            </w:pPr>
            <w:r>
              <w:rPr>
                <w:b/>
                <w:sz w:val="18"/>
                <w:szCs w:val="18"/>
              </w:rPr>
              <w:t xml:space="preserve">10,013</w:t>
            </w:r>
          </w:p>
        </w:tc>
        <w:tc>
          <w:tcPr>
            <w:tcW w:w="1700" w:type="dxa"/>
            <w:vAlign w:val="center"/>
          </w:tcPr>
          <w:p>
            <w:pPr>
              <w:spacing w:before="0" w:after="0"/>
              <w:jc w:val="right"/>
            </w:pPr>
            <w:r>
              <w:rPr>
                <w:b/>
                <w:sz w:val="18"/>
                <w:szCs w:val="18"/>
              </w:rPr>
              <w:t xml:space="preserve">10,562</w:t>
            </w:r>
          </w:p>
        </w:tc>
      </w:tr>
      <w:tr>
        <w:tc>
          <w:tcPr>
            <w:tcW w:w="4872" w:type="dxa"/>
            <w:vAlign w:val="center"/>
          </w:tcPr>
          <w:p>
            <w:pPr>
              <w:spacing w:before="0" w:after="0"/>
              <w:jc w:val="left"/>
            </w:pPr>
            <w:r>
              <w:rPr>
                <w:sz w:val="18"/>
                <w:szCs w:val="18"/>
              </w:rPr>
              <w:t xml:space="preserve">Income tax expense</w:t>
            </w:r>
          </w:p>
        </w:tc>
        <w:tc>
          <w:tcPr>
            <w:tcW w:w="800" w:type="dxa"/>
            <w:vAlign w:val="center"/>
          </w:tcPr>
          <w:p>
            <w:pPr>
              <w:spacing w:before="0" w:after="0"/>
              <w:jc w:val="left"/>
            </w:pPr>
            <w:r>
              <w:rPr>
                <w:sz w:val="18"/>
                <w:szCs w:val="18"/>
              </w:rPr>
              <w:t xml:space="preserve">14</w:t>
            </w:r>
          </w:p>
        </w:tc>
        <w:tc>
          <w:tcPr>
            <w:tcW w:w="1700" w:type="dxa"/>
            <w:vAlign w:val="center"/>
          </w:tcPr>
          <w:p>
            <w:pPr>
              <w:spacing w:before="0" w:after="0"/>
              <w:jc w:val="right"/>
            </w:pPr>
            <w:r>
              <w:rPr>
                <w:sz w:val="18"/>
                <w:szCs w:val="18"/>
              </w:rPr>
              <w:t xml:space="preserve">(2,417)</w:t>
            </w:r>
          </w:p>
        </w:tc>
        <w:tc>
          <w:tcPr>
            <w:tcW w:w="1700" w:type="dxa"/>
            <w:vAlign w:val="center"/>
          </w:tcPr>
          <w:p>
            <w:pPr>
              <w:spacing w:before="0" w:after="0"/>
              <w:jc w:val="right"/>
            </w:pPr>
            <w:r>
              <w:rPr>
                <w:sz w:val="18"/>
                <w:szCs w:val="18"/>
              </w:rPr>
              <w:t xml:space="preserve">(2,640)</w:t>
            </w:r>
          </w:p>
        </w:tc>
      </w:tr>
      <w:tr>
        <w:tc>
          <w:tcPr>
            <w:tcW w:w="4872" w:type="dxa"/>
            <w:vAlign w:val="center"/>
          </w:tcPr>
          <w:p>
            <w:pPr>
              <w:spacing w:before="0" w:after="0"/>
              <w:jc w:val="left"/>
            </w:pPr>
            <w:r>
              <w:rPr>
                <w:b/>
                <w:sz w:val="18"/>
                <w:szCs w:val="18"/>
              </w:rPr>
              <w:t xml:space="preserve">Net income</w:t>
            </w:r>
          </w:p>
        </w:tc>
        <w:tc>
          <w:tcPr>
            <w:tcW w:w="800" w:type="dxa"/>
            <w:vAlign w:val="center"/>
          </w:tcPr>
          <w:p>
            <w:pPr>
              <w:spacing w:before="0" w:after="0"/>
              <w:jc w:val="left"/>
            </w:pPr>
            <w:r>
              <w:rPr>
                <w:b/>
                <w:sz w:val="18"/>
                <w:szCs w:val="18"/>
              </w:rPr>
              <w:t xml:space="preserve"/>
            </w:r>
          </w:p>
        </w:tc>
        <w:tc>
          <w:tcPr>
            <w:tcW w:w="1700" w:type="dxa"/>
            <w:vAlign w:val="center"/>
          </w:tcPr>
          <w:p>
            <w:pPr>
              <w:spacing w:before="0" w:after="0"/>
              <w:jc w:val="right"/>
            </w:pPr>
            <w:r>
              <w:rPr>
                <w:b/>
                <w:sz w:val="18"/>
                <w:szCs w:val="18"/>
              </w:rPr>
              <w:t xml:space="preserve">7,596</w:t>
            </w:r>
          </w:p>
        </w:tc>
        <w:tc>
          <w:tcPr>
            <w:tcW w:w="1700" w:type="dxa"/>
            <w:vAlign w:val="center"/>
          </w:tcPr>
          <w:p>
            <w:pPr>
              <w:spacing w:before="0" w:after="0"/>
              <w:jc w:val="right"/>
            </w:pPr>
            <w:r>
              <w:rPr>
                <w:b/>
                <w:sz w:val="18"/>
                <w:szCs w:val="18"/>
              </w:rPr>
              <w:t xml:space="preserve">7,922</w:t>
            </w:r>
          </w:p>
        </w:tc>
      </w:tr>
      <w:tr>
        <w:tc>
          <w:tcPr>
            <w:tcW w:w="4872" w:type="dxa"/>
            <w:vAlign w:val="center"/>
          </w:tcPr>
          <w:p>
            <w:pPr>
              <w:spacing w:before="0" w:after="0"/>
              <w:jc w:val="left"/>
            </w:pPr>
            <w:r>
              <w:rPr>
                <w:sz w:val="18"/>
                <w:szCs w:val="18"/>
              </w:rPr>
              <w:t xml:space="preserve">Earnings per share, basic (in dollars)</w:t>
            </w:r>
          </w:p>
        </w:tc>
        <w:tc>
          <w:tcPr>
            <w:tcW w:w="800" w:type="dxa"/>
            <w:vAlign w:val="center"/>
          </w:tcPr>
          <w:p>
            <w:pPr>
              <w:spacing w:before="0" w:after="0"/>
              <w:jc w:val="left"/>
            </w:pPr>
            <w:r>
              <w:rPr>
                <w:sz w:val="18"/>
                <w:szCs w:val="18"/>
              </w:rPr>
              <w:t xml:space="preserve"/>
            </w:r>
          </w:p>
        </w:tc>
        <w:tc>
          <w:tcPr>
            <w:tcW w:w="1700" w:type="dxa"/>
            <w:vAlign w:val="center"/>
          </w:tcPr>
          <w:p>
            <w:pPr>
              <w:spacing w:before="0" w:after="0"/>
              <w:jc w:val="right"/>
            </w:pPr>
            <w:r>
              <w:rPr>
                <w:sz w:val="18"/>
                <w:szCs w:val="18"/>
              </w:rPr>
              <w:t xml:space="preserve">0.18</w:t>
            </w:r>
          </w:p>
        </w:tc>
        <w:tc>
          <w:tcPr>
            <w:tcW w:w="1700" w:type="dxa"/>
            <w:vAlign w:val="center"/>
          </w:tcPr>
          <w:p>
            <w:pPr>
              <w:spacing w:before="0" w:after="0"/>
              <w:jc w:val="right"/>
            </w:pPr>
            <w:r>
              <w:rPr>
                <w:sz w:val="18"/>
                <w:szCs w:val="18"/>
              </w:rPr>
              <w:t xml:space="preserve">0.19</w:t>
            </w:r>
          </w:p>
        </w:tc>
      </w:tr>
      <w:tr>
        <w:tc>
          <w:tcPr>
            <w:tcW w:w="4872" w:type="dxa"/>
            <w:vAlign w:val="center"/>
          </w:tcPr>
          <w:p>
            <w:pPr>
              <w:spacing w:before="0" w:after="0"/>
              <w:jc w:val="left"/>
            </w:pPr>
            <w:r>
              <w:rPr>
                <w:sz w:val="18"/>
                <w:szCs w:val="18"/>
              </w:rPr>
              <w:t xml:space="preserve">Earnings per share, diluted (in dollars)</w:t>
            </w:r>
          </w:p>
        </w:tc>
        <w:tc>
          <w:tcPr>
            <w:tcW w:w="800" w:type="dxa"/>
            <w:vAlign w:val="center"/>
          </w:tcPr>
          <w:p>
            <w:pPr>
              <w:spacing w:before="0" w:after="0"/>
              <w:jc w:val="left"/>
            </w:pPr>
            <w:r>
              <w:rPr>
                <w:sz w:val="18"/>
                <w:szCs w:val="18"/>
              </w:rPr>
              <w:t xml:space="preserve">18</w:t>
            </w:r>
          </w:p>
        </w:tc>
        <w:tc>
          <w:tcPr>
            <w:tcW w:w="1700" w:type="dxa"/>
            <w:vAlign w:val="center"/>
          </w:tcPr>
          <w:p>
            <w:pPr>
              <w:spacing w:before="0" w:after="0"/>
              <w:jc w:val="right"/>
            </w:pPr>
            <w:r>
              <w:rPr>
                <w:sz w:val="18"/>
                <w:szCs w:val="18"/>
              </w:rPr>
              <w:t xml:space="preserve">0.18</w:t>
            </w:r>
          </w:p>
        </w:tc>
        <w:tc>
          <w:tcPr>
            <w:tcW w:w="1700" w:type="dxa"/>
            <w:vAlign w:val="center"/>
          </w:tcPr>
          <w:p>
            <w:pPr>
              <w:spacing w:before="0" w:after="0"/>
              <w:jc w:val="right"/>
            </w:pPr>
            <w:r>
              <w:rPr>
                <w:sz w:val="18"/>
                <w:szCs w:val="18"/>
              </w:rPr>
              <w:t xml:space="preserve">0.19</w:t>
            </w:r>
          </w:p>
        </w:tc>
      </w:tr>
    </w:tbl>
    <w:p>
      <w:pPr/>
    </w:p>
    <w:p>
      <w:r>
        <w:br w:type="page"/>
      </w:r>
    </w:p>
    <w:p>
      <w:pPr>
        <w:pStyle w:val="Heading3"/>
        <w:keepNext/>
      </w:pPr>
      <w:r>
        <w:t xml:space="preserve">Statements of Cash Flows</w:t>
      </w:r>
    </w:p>
    <w:p>
      <w:pPr>
        <w:jc w:val="right"/>
      </w:pPr>
      <w:r>
        <w:rPr>
          <w:sz w:val="18"/>
          <w:szCs w:val="18"/>
        </w:rPr>
        <w:t xml:space="preserve">(In thousands of U.S. dollars)</w:t>
      </w:r>
    </w:p>
    <w:tbl>
      <w:tblPr>
        <w:tblW w:w="907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72" w:type="dxa"/>
          <w:right w:w="72" w:type="dxa"/>
        </w:tblCellMar>
      </w:tblPr>
      <w:tblGrid>
        <w:gridCol w:w="4872"/>
        <w:gridCol w:w="800"/>
        <w:gridCol w:w="1700"/>
        <w:gridCol w:w="1700"/>
      </w:tblGrid>
      <w:tr>
        <w:trPr>
          <w:tblHeader/>
        </w:trPr>
        <w:tc>
          <w:tcPr>
            <w:tcW w:w="4872" w:type="dxa"/>
            <w:shd w:val="clear" w:color="auto" w:fill="DDEBF7"/>
            <w:vAlign w:val="center"/>
          </w:tcPr>
          <w:p>
            <w:pPr>
              <w:spacing w:before="0" w:after="0"/>
              <w:jc w:val="center"/>
            </w:pPr>
            <w:r>
              <w:rPr>
                <w:b/>
                <w:sz w:val="18"/>
                <w:szCs w:val="18"/>
              </w:rPr>
              <w:t xml:space="preserve"/>
            </w:r>
          </w:p>
        </w:tc>
        <w:tc>
          <w:tcPr>
            <w:tcW w:w="800" w:type="dxa"/>
            <w:shd w:val="clear" w:color="auto" w:fill="DDEBF7"/>
            <w:vAlign w:val="center"/>
          </w:tcPr>
          <w:p>
            <w:pPr>
              <w:spacing w:before="0" w:after="0"/>
              <w:jc w:val="center"/>
            </w:pPr>
            <w:r>
              <w:rPr>
                <w:b/>
                <w:sz w:val="18"/>
                <w:szCs w:val="18"/>
              </w:rPr>
              <w:t xml:space="preserve">Note</w:t>
            </w:r>
          </w:p>
        </w:tc>
        <w:tc>
          <w:tcPr>
            <w:tcW w:w="1700" w:type="dxa"/>
            <w:shd w:val="clear" w:color="auto" w:fill="DDEBF7"/>
            <w:vAlign w:val="center"/>
          </w:tcPr>
          <w:p>
            <w:pPr>
              <w:spacing w:before="0" w:after="0"/>
              <w:jc w:val="center"/>
            </w:pPr>
            <w:r>
              <w:rPr>
                <w:b/>
                <w:sz w:val="18"/>
                <w:szCs w:val="18"/>
              </w:rPr>
              <w:t xml:space="preserve">Q2 2025</w:t>
            </w:r>
          </w:p>
        </w:tc>
        <w:tc>
          <w:tcPr>
            <w:tcW w:w="1700" w:type="dxa"/>
            <w:shd w:val="clear" w:color="auto" w:fill="DDEBF7"/>
            <w:vAlign w:val="center"/>
          </w:tcPr>
          <w:p>
            <w:pPr>
              <w:spacing w:before="0" w:after="0"/>
              <w:jc w:val="center"/>
            </w:pPr>
            <w:r>
              <w:rPr>
                <w:b/>
                <w:sz w:val="18"/>
                <w:szCs w:val="18"/>
              </w:rPr>
              <w:t xml:space="preserve">Q2 2026</w:t>
            </w:r>
          </w:p>
        </w:tc>
      </w:tr>
      <w:tr>
        <w:tc>
          <w:tcPr>
            <w:tcW w:w="4872" w:type="dxa"/>
            <w:vAlign w:val="center"/>
          </w:tcPr>
          <w:p>
            <w:pPr>
              <w:spacing w:before="0" w:after="0"/>
              <w:jc w:val="left"/>
            </w:pPr>
            <w:r>
              <w:rPr>
                <w:b/>
                <w:sz w:val="18"/>
                <w:szCs w:val="18"/>
              </w:rPr>
              <w:t xml:space="preserve">Cash flows from operating activities</w:t>
            </w:r>
          </w:p>
        </w:tc>
        <w:tc>
          <w:tcPr>
            <w:tcW w:w="800" w:type="dxa"/>
            <w:vAlign w:val="center"/>
          </w:tcPr>
          <w:p>
            <w:pPr>
              <w:spacing w:before="0" w:after="0"/>
              <w:jc w:val="left"/>
            </w:pPr>
            <w:r>
              <w:rPr>
                <w:b/>
                <w:sz w:val="18"/>
                <w:szCs w:val="18"/>
              </w:rPr>
              <w:t xml:space="preserve"/>
            </w:r>
          </w:p>
        </w:tc>
        <w:tc>
          <w:tcPr>
            <w:tcW w:w="1700" w:type="dxa"/>
            <w:vAlign w:val="center"/>
          </w:tcPr>
          <w:p>
            <w:pPr>
              <w:spacing w:before="0" w:after="0"/>
              <w:jc w:val="right"/>
            </w:pPr>
            <w:r>
              <w:rPr>
                <w:b/>
                <w:sz w:val="18"/>
                <w:szCs w:val="18"/>
              </w:rPr>
              <w:t xml:space="preserve"/>
            </w:r>
          </w:p>
        </w:tc>
        <w:tc>
          <w:tcPr>
            <w:tcW w:w="1700" w:type="dxa"/>
            <w:vAlign w:val="center"/>
          </w:tcPr>
          <w:p>
            <w:pPr>
              <w:spacing w:before="0" w:after="0"/>
              <w:jc w:val="right"/>
            </w:pPr>
            <w:r>
              <w:rPr>
                <w:b/>
                <w:sz w:val="18"/>
                <w:szCs w:val="18"/>
              </w:rPr>
              <w:t xml:space="preserve"/>
            </w:r>
          </w:p>
        </w:tc>
      </w:tr>
      <w:tr>
        <w:tc>
          <w:tcPr>
            <w:tcW w:w="4872" w:type="dxa"/>
            <w:vAlign w:val="center"/>
          </w:tcPr>
          <w:p>
            <w:pPr>
              <w:spacing w:before="0" w:after="0"/>
              <w:jc w:val="left"/>
            </w:pPr>
            <w:r>
              <w:rPr>
                <w:sz w:val="18"/>
                <w:szCs w:val="18"/>
              </w:rPr>
              <w:t xml:space="preserve">Net income</w:t>
            </w:r>
          </w:p>
        </w:tc>
        <w:tc>
          <w:tcPr>
            <w:tcW w:w="800" w:type="dxa"/>
            <w:vAlign w:val="center"/>
          </w:tcPr>
          <w:p>
            <w:pPr>
              <w:spacing w:before="0" w:after="0"/>
              <w:jc w:val="left"/>
            </w:pPr>
            <w:r>
              <w:rPr>
                <w:sz w:val="18"/>
                <w:szCs w:val="18"/>
              </w:rPr>
              <w:t xml:space="preserve"/>
            </w:r>
          </w:p>
        </w:tc>
        <w:tc>
          <w:tcPr>
            <w:tcW w:w="1700" w:type="dxa"/>
            <w:vAlign w:val="center"/>
          </w:tcPr>
          <w:p>
            <w:pPr>
              <w:spacing w:before="0" w:after="0"/>
              <w:jc w:val="right"/>
            </w:pPr>
            <w:r>
              <w:rPr>
                <w:sz w:val="18"/>
                <w:szCs w:val="18"/>
              </w:rPr>
              <w:t xml:space="preserve">7,596</w:t>
            </w:r>
          </w:p>
        </w:tc>
        <w:tc>
          <w:tcPr>
            <w:tcW w:w="1700" w:type="dxa"/>
            <w:vAlign w:val="center"/>
          </w:tcPr>
          <w:p>
            <w:pPr>
              <w:spacing w:before="0" w:after="0"/>
              <w:jc w:val="right"/>
            </w:pPr>
            <w:r>
              <w:rPr>
                <w:sz w:val="18"/>
                <w:szCs w:val="18"/>
              </w:rPr>
              <w:t xml:space="preserve">7,922</w:t>
            </w:r>
          </w:p>
        </w:tc>
      </w:tr>
      <w:tr>
        <w:tc>
          <w:tcPr>
            <w:tcW w:w="4872" w:type="dxa"/>
            <w:vAlign w:val="center"/>
          </w:tcPr>
          <w:p>
            <w:pPr>
              <w:spacing w:before="0" w:after="0"/>
              <w:jc w:val="left"/>
            </w:pPr>
            <w:r>
              <w:rPr>
                <w:sz w:val="18"/>
                <w:szCs w:val="18"/>
              </w:rPr>
              <w:t xml:space="preserve">Depreciation and amortization</w:t>
            </w:r>
          </w:p>
        </w:tc>
        <w:tc>
          <w:tcPr>
            <w:tcW w:w="800" w:type="dxa"/>
            <w:vAlign w:val="center"/>
          </w:tcPr>
          <w:p>
            <w:pPr>
              <w:spacing w:before="0" w:after="0"/>
              <w:jc w:val="left"/>
            </w:pPr>
            <w:r>
              <w:rPr>
                <w:sz w:val="18"/>
                <w:szCs w:val="18"/>
              </w:rPr>
              <w:t xml:space="preserve"/>
            </w:r>
          </w:p>
        </w:tc>
        <w:tc>
          <w:tcPr>
            <w:tcW w:w="1700" w:type="dxa"/>
            <w:vAlign w:val="center"/>
          </w:tcPr>
          <w:p>
            <w:pPr>
              <w:spacing w:before="0" w:after="0"/>
              <w:jc w:val="right"/>
            </w:pPr>
            <w:r>
              <w:rPr>
                <w:sz w:val="18"/>
                <w:szCs w:val="18"/>
              </w:rPr>
              <w:t xml:space="preserve">4,254</w:t>
            </w:r>
          </w:p>
        </w:tc>
        <w:tc>
          <w:tcPr>
            <w:tcW w:w="1700" w:type="dxa"/>
            <w:vAlign w:val="center"/>
          </w:tcPr>
          <w:p>
            <w:pPr>
              <w:spacing w:before="0" w:after="0"/>
              <w:jc w:val="right"/>
            </w:pPr>
            <w:r>
              <w:rPr>
                <w:sz w:val="18"/>
                <w:szCs w:val="18"/>
              </w:rPr>
              <w:t xml:space="preserve">4,619</w:t>
            </w:r>
          </w:p>
        </w:tc>
      </w:tr>
      <w:tr>
        <w:tc>
          <w:tcPr>
            <w:tcW w:w="4872" w:type="dxa"/>
            <w:vAlign w:val="center"/>
          </w:tcPr>
          <w:p>
            <w:pPr>
              <w:spacing w:before="0" w:after="0"/>
              <w:jc w:val="left"/>
            </w:pPr>
            <w:r>
              <w:rPr>
                <w:sz w:val="18"/>
                <w:szCs w:val="18"/>
              </w:rPr>
              <w:t xml:space="preserve">Stock-based compensation</w:t>
            </w:r>
          </w:p>
        </w:tc>
        <w:tc>
          <w:tcPr>
            <w:tcW w:w="800" w:type="dxa"/>
            <w:vAlign w:val="center"/>
          </w:tcPr>
          <w:p>
            <w:pPr>
              <w:spacing w:before="0" w:after="0"/>
              <w:jc w:val="left"/>
            </w:pPr>
            <w:r>
              <w:rPr>
                <w:sz w:val="18"/>
                <w:szCs w:val="18"/>
              </w:rPr>
              <w:t xml:space="preserve"/>
            </w:r>
          </w:p>
        </w:tc>
        <w:tc>
          <w:tcPr>
            <w:tcW w:w="1700" w:type="dxa"/>
            <w:vAlign w:val="center"/>
          </w:tcPr>
          <w:p>
            <w:pPr>
              <w:spacing w:before="0" w:after="0"/>
              <w:jc w:val="right"/>
            </w:pPr>
            <w:r>
              <w:rPr>
                <w:sz w:val="18"/>
                <w:szCs w:val="18"/>
              </w:rPr>
              <w:t xml:space="preserve">468</w:t>
            </w:r>
          </w:p>
        </w:tc>
        <w:tc>
          <w:tcPr>
            <w:tcW w:w="1700" w:type="dxa"/>
            <w:vAlign w:val="center"/>
          </w:tcPr>
          <w:p>
            <w:pPr>
              <w:spacing w:before="0" w:after="0"/>
              <w:jc w:val="right"/>
            </w:pPr>
            <w:r>
              <w:rPr>
                <w:sz w:val="18"/>
                <w:szCs w:val="18"/>
              </w:rPr>
              <w:t xml:space="preserve">514</w:t>
            </w:r>
          </w:p>
        </w:tc>
      </w:tr>
      <w:tr>
        <w:tc>
          <w:tcPr>
            <w:tcW w:w="4872" w:type="dxa"/>
            <w:vAlign w:val="center"/>
          </w:tcPr>
          <w:p>
            <w:pPr>
              <w:spacing w:before="0" w:after="0"/>
              <w:jc w:val="left"/>
            </w:pPr>
            <w:r>
              <w:rPr>
                <w:sz w:val="18"/>
                <w:szCs w:val="18"/>
              </w:rPr>
              <w:t xml:space="preserve">Deferred income taxes</w:t>
            </w:r>
          </w:p>
        </w:tc>
        <w:tc>
          <w:tcPr>
            <w:tcW w:w="800" w:type="dxa"/>
            <w:vAlign w:val="center"/>
          </w:tcPr>
          <w:p>
            <w:pPr>
              <w:spacing w:before="0" w:after="0"/>
              <w:jc w:val="left"/>
            </w:pPr>
            <w:r>
              <w:rPr>
                <w:sz w:val="18"/>
                <w:szCs w:val="18"/>
              </w:rPr>
              <w:t xml:space="preserve"/>
            </w:r>
          </w:p>
        </w:tc>
        <w:tc>
          <w:tcPr>
            <w:tcW w:w="1700" w:type="dxa"/>
            <w:vAlign w:val="center"/>
          </w:tcPr>
          <w:p>
            <w:pPr>
              <w:spacing w:before="0" w:after="0"/>
              <w:jc w:val="right"/>
            </w:pPr>
            <w:r>
              <w:rPr>
                <w:sz w:val="18"/>
                <w:szCs w:val="18"/>
              </w:rPr>
              <w:t xml:space="preserve">91</w:t>
            </w:r>
          </w:p>
        </w:tc>
        <w:tc>
          <w:tcPr>
            <w:tcW w:w="1700" w:type="dxa"/>
            <w:vAlign w:val="center"/>
          </w:tcPr>
          <w:p>
            <w:pPr>
              <w:spacing w:before="0" w:after="0"/>
              <w:jc w:val="right"/>
            </w:pPr>
            <w:r>
              <w:rPr>
                <w:sz w:val="18"/>
                <w:szCs w:val="18"/>
              </w:rPr>
              <w:t xml:space="preserve">(203)</w:t>
            </w:r>
          </w:p>
        </w:tc>
      </w:tr>
      <w:tr>
        <w:tc>
          <w:tcPr>
            <w:tcW w:w="4872" w:type="dxa"/>
            <w:vAlign w:val="center"/>
          </w:tcPr>
          <w:p>
            <w:pPr>
              <w:spacing w:before="0" w:after="0"/>
              <w:jc w:val="left"/>
            </w:pPr>
            <w:r>
              <w:rPr>
                <w:sz w:val="18"/>
                <w:szCs w:val="18"/>
              </w:rPr>
              <w:t xml:space="preserve">Inventories</w:t>
            </w:r>
          </w:p>
        </w:tc>
        <w:tc>
          <w:tcPr>
            <w:tcW w:w="800" w:type="dxa"/>
            <w:vAlign w:val="center"/>
          </w:tcPr>
          <w:p>
            <w:pPr>
              <w:spacing w:before="0" w:after="0"/>
              <w:jc w:val="left"/>
            </w:pPr>
            <w:r>
              <w:rPr>
                <w:sz w:val="18"/>
                <w:szCs w:val="18"/>
              </w:rPr>
              <w:t xml:space="preserve"/>
            </w:r>
          </w:p>
        </w:tc>
        <w:tc>
          <w:tcPr>
            <w:tcW w:w="1700" w:type="dxa"/>
            <w:vAlign w:val="center"/>
          </w:tcPr>
          <w:p>
            <w:pPr>
              <w:spacing w:before="0" w:after="0"/>
              <w:jc w:val="right"/>
            </w:pPr>
            <w:r>
              <w:rPr>
                <w:sz w:val="18"/>
                <w:szCs w:val="18"/>
              </w:rPr>
              <w:t xml:space="preserve">(617)</w:t>
            </w:r>
          </w:p>
        </w:tc>
        <w:tc>
          <w:tcPr>
            <w:tcW w:w="1700" w:type="dxa"/>
            <w:vAlign w:val="center"/>
          </w:tcPr>
          <w:p>
            <w:pPr>
              <w:spacing w:before="0" w:after="0"/>
              <w:jc w:val="right"/>
            </w:pPr>
            <w:r>
              <w:rPr>
                <w:sz w:val="18"/>
                <w:szCs w:val="18"/>
              </w:rPr>
              <w:t xml:space="preserve">(498)</w:t>
            </w:r>
          </w:p>
        </w:tc>
      </w:tr>
      <w:tr>
        <w:tc>
          <w:tcPr>
            <w:tcW w:w="4872" w:type="dxa"/>
            <w:vAlign w:val="center"/>
          </w:tcPr>
          <w:p>
            <w:pPr>
              <w:spacing w:before="0" w:after="0"/>
              <w:jc w:val="left"/>
            </w:pPr>
            <w:r>
              <w:rPr>
                <w:sz w:val="18"/>
                <w:szCs w:val="18"/>
              </w:rPr>
              <w:t xml:space="preserve">Accounts receivable</w:t>
            </w:r>
          </w:p>
        </w:tc>
        <w:tc>
          <w:tcPr>
            <w:tcW w:w="800" w:type="dxa"/>
            <w:vAlign w:val="center"/>
          </w:tcPr>
          <w:p>
            <w:pPr>
              <w:spacing w:before="0" w:after="0"/>
              <w:jc w:val="left"/>
            </w:pPr>
            <w:r>
              <w:rPr>
                <w:sz w:val="18"/>
                <w:szCs w:val="18"/>
              </w:rPr>
              <w:t xml:space="preserve"/>
            </w:r>
          </w:p>
        </w:tc>
        <w:tc>
          <w:tcPr>
            <w:tcW w:w="1700" w:type="dxa"/>
            <w:vAlign w:val="center"/>
          </w:tcPr>
          <w:p>
            <w:pPr>
              <w:spacing w:before="0" w:after="0"/>
              <w:jc w:val="right"/>
            </w:pPr>
            <w:r>
              <w:rPr>
                <w:sz w:val="18"/>
                <w:szCs w:val="18"/>
              </w:rPr>
              <w:t xml:space="preserve">(158)</w:t>
            </w:r>
          </w:p>
        </w:tc>
        <w:tc>
          <w:tcPr>
            <w:tcW w:w="1700" w:type="dxa"/>
            <w:vAlign w:val="center"/>
          </w:tcPr>
          <w:p>
            <w:pPr>
              <w:spacing w:before="0" w:after="0"/>
              <w:jc w:val="right"/>
            </w:pPr>
            <w:r>
              <w:rPr>
                <w:sz w:val="18"/>
                <w:szCs w:val="18"/>
              </w:rPr>
              <w:t xml:space="preserve">(107)</w:t>
            </w:r>
          </w:p>
        </w:tc>
      </w:tr>
      <w:tr>
        <w:tc>
          <w:tcPr>
            <w:tcW w:w="4872" w:type="dxa"/>
            <w:vAlign w:val="center"/>
          </w:tcPr>
          <w:p>
            <w:pPr>
              <w:spacing w:before="0" w:after="0"/>
              <w:jc w:val="left"/>
            </w:pPr>
            <w:r>
              <w:rPr>
                <w:sz w:val="18"/>
                <w:szCs w:val="18"/>
              </w:rPr>
              <w:t xml:space="preserve">Accounts payable</w:t>
            </w:r>
          </w:p>
        </w:tc>
        <w:tc>
          <w:tcPr>
            <w:tcW w:w="800" w:type="dxa"/>
            <w:vAlign w:val="center"/>
          </w:tcPr>
          <w:p>
            <w:pPr>
              <w:spacing w:before="0" w:after="0"/>
              <w:jc w:val="left"/>
            </w:pPr>
            <w:r>
              <w:rPr>
                <w:sz w:val="18"/>
                <w:szCs w:val="18"/>
              </w:rPr>
              <w:t xml:space="preserve"/>
            </w:r>
          </w:p>
        </w:tc>
        <w:tc>
          <w:tcPr>
            <w:tcW w:w="1700" w:type="dxa"/>
            <w:vAlign w:val="center"/>
          </w:tcPr>
          <w:p>
            <w:pPr>
              <w:spacing w:before="0" w:after="0"/>
              <w:jc w:val="right"/>
            </w:pPr>
            <w:r>
              <w:rPr>
                <w:sz w:val="18"/>
                <w:szCs w:val="18"/>
              </w:rPr>
              <w:t xml:space="preserve">154</w:t>
            </w:r>
          </w:p>
        </w:tc>
        <w:tc>
          <w:tcPr>
            <w:tcW w:w="1700" w:type="dxa"/>
            <w:vAlign w:val="center"/>
          </w:tcPr>
          <w:p>
            <w:pPr>
              <w:spacing w:before="0" w:after="0"/>
              <w:jc w:val="right"/>
            </w:pPr>
            <w:r>
              <w:rPr>
                <w:sz w:val="18"/>
                <w:szCs w:val="18"/>
              </w:rPr>
              <w:t xml:space="preserve">344</w:t>
            </w:r>
          </w:p>
        </w:tc>
      </w:tr>
      <w:tr>
        <w:tc>
          <w:tcPr>
            <w:tcW w:w="4872" w:type="dxa"/>
            <w:vAlign w:val="center"/>
          </w:tcPr>
          <w:p>
            <w:pPr>
              <w:spacing w:before="0" w:after="0"/>
              <w:jc w:val="left"/>
            </w:pPr>
            <w:r>
              <w:rPr>
                <w:sz w:val="18"/>
                <w:szCs w:val="18"/>
              </w:rPr>
              <w:t xml:space="preserve">Deferred revenue</w:t>
            </w:r>
          </w:p>
        </w:tc>
        <w:tc>
          <w:tcPr>
            <w:tcW w:w="800" w:type="dxa"/>
            <w:vAlign w:val="center"/>
          </w:tcPr>
          <w:p>
            <w:pPr>
              <w:spacing w:before="0" w:after="0"/>
              <w:jc w:val="left"/>
            </w:pPr>
            <w:r>
              <w:rPr>
                <w:sz w:val="18"/>
                <w:szCs w:val="18"/>
              </w:rPr>
              <w:t xml:space="preserve"/>
            </w:r>
          </w:p>
        </w:tc>
        <w:tc>
          <w:tcPr>
            <w:tcW w:w="1700" w:type="dxa"/>
            <w:vAlign w:val="center"/>
          </w:tcPr>
          <w:p>
            <w:pPr>
              <w:spacing w:before="0" w:after="0"/>
              <w:jc w:val="right"/>
            </w:pPr>
            <w:r>
              <w:rPr>
                <w:sz w:val="18"/>
                <w:szCs w:val="18"/>
              </w:rPr>
              <w:t xml:space="preserve">242</w:t>
            </w:r>
          </w:p>
        </w:tc>
        <w:tc>
          <w:tcPr>
            <w:tcW w:w="1700" w:type="dxa"/>
            <w:vAlign w:val="center"/>
          </w:tcPr>
          <w:p>
            <w:pPr>
              <w:spacing w:before="0" w:after="0"/>
              <w:jc w:val="right"/>
            </w:pPr>
            <w:r>
              <w:rPr>
                <w:sz w:val="18"/>
                <w:szCs w:val="18"/>
              </w:rPr>
              <w:t xml:space="preserve">287</w:t>
            </w:r>
          </w:p>
        </w:tc>
      </w:tr>
      <w:tr>
        <w:tc>
          <w:tcPr>
            <w:tcW w:w="4872" w:type="dxa"/>
            <w:vAlign w:val="center"/>
          </w:tcPr>
          <w:p>
            <w:pPr>
              <w:spacing w:before="0" w:after="0"/>
              <w:jc w:val="left"/>
            </w:pPr>
            <w:r>
              <w:rPr>
                <w:sz w:val="18"/>
                <w:szCs w:val="18"/>
              </w:rPr>
              <w:t xml:space="preserve">Other accrued liabilities</w:t>
            </w:r>
          </w:p>
        </w:tc>
        <w:tc>
          <w:tcPr>
            <w:tcW w:w="800" w:type="dxa"/>
            <w:vAlign w:val="center"/>
          </w:tcPr>
          <w:p>
            <w:pPr>
              <w:spacing w:before="0" w:after="0"/>
              <w:jc w:val="left"/>
            </w:pPr>
            <w:r>
              <w:rPr>
                <w:sz w:val="18"/>
                <w:szCs w:val="18"/>
              </w:rPr>
              <w:t xml:space="preserve"/>
            </w:r>
          </w:p>
        </w:tc>
        <w:tc>
          <w:tcPr>
            <w:tcW w:w="1700" w:type="dxa"/>
            <w:vAlign w:val="center"/>
          </w:tcPr>
          <w:p>
            <w:pPr>
              <w:spacing w:before="0" w:after="0"/>
              <w:jc w:val="right"/>
            </w:pPr>
            <w:r>
              <w:rPr>
                <w:sz w:val="18"/>
                <w:szCs w:val="18"/>
              </w:rPr>
              <w:t xml:space="preserve">32</w:t>
            </w:r>
          </w:p>
        </w:tc>
        <w:tc>
          <w:tcPr>
            <w:tcW w:w="1700" w:type="dxa"/>
            <w:vAlign w:val="center"/>
          </w:tcPr>
          <w:p>
            <w:pPr>
              <w:spacing w:before="0" w:after="0"/>
              <w:jc w:val="right"/>
            </w:pPr>
            <w:r>
              <w:rPr>
                <w:sz w:val="18"/>
                <w:szCs w:val="18"/>
              </w:rPr>
              <w:t xml:space="preserve">256</w:t>
            </w:r>
          </w:p>
        </w:tc>
      </w:tr>
      <w:tr>
        <w:tc>
          <w:tcPr>
            <w:tcW w:w="4872" w:type="dxa"/>
            <w:vAlign w:val="center"/>
          </w:tcPr>
          <w:p>
            <w:pPr>
              <w:spacing w:before="0" w:after="0"/>
              <w:jc w:val="left"/>
            </w:pPr>
            <w:r>
              <w:rPr>
                <w:b/>
                <w:sz w:val="18"/>
                <w:szCs w:val="18"/>
              </w:rPr>
              <w:t xml:space="preserve">Net cash provided by operating activities</w:t>
            </w:r>
          </w:p>
        </w:tc>
        <w:tc>
          <w:tcPr>
            <w:tcW w:w="800" w:type="dxa"/>
            <w:vAlign w:val="center"/>
          </w:tcPr>
          <w:p>
            <w:pPr>
              <w:spacing w:before="0" w:after="0"/>
              <w:jc w:val="left"/>
            </w:pPr>
            <w:r>
              <w:rPr>
                <w:b/>
                <w:sz w:val="18"/>
                <w:szCs w:val="18"/>
              </w:rPr>
              <w:t xml:space="preserve"/>
            </w:r>
          </w:p>
        </w:tc>
        <w:tc>
          <w:tcPr>
            <w:tcW w:w="1700" w:type="dxa"/>
            <w:vAlign w:val="center"/>
          </w:tcPr>
          <w:p>
            <w:pPr>
              <w:spacing w:before="0" w:after="0"/>
              <w:jc w:val="right"/>
            </w:pPr>
            <w:r>
              <w:rPr>
                <w:b/>
                <w:sz w:val="18"/>
                <w:szCs w:val="18"/>
              </w:rPr>
              <w:t xml:space="preserve">12,062</w:t>
            </w:r>
          </w:p>
        </w:tc>
        <w:tc>
          <w:tcPr>
            <w:tcW w:w="1700" w:type="dxa"/>
            <w:vAlign w:val="center"/>
          </w:tcPr>
          <w:p>
            <w:pPr>
              <w:spacing w:before="0" w:after="0"/>
              <w:jc w:val="right"/>
            </w:pPr>
            <w:r>
              <w:rPr>
                <w:b/>
                <w:sz w:val="18"/>
                <w:szCs w:val="18"/>
              </w:rPr>
              <w:t xml:space="preserve">13,134</w:t>
            </w:r>
          </w:p>
        </w:tc>
      </w:tr>
      <w:tr>
        <w:tc>
          <w:tcPr>
            <w:tcW w:w="4872" w:type="dxa"/>
            <w:vAlign w:val="center"/>
          </w:tcPr>
          <w:p>
            <w:pPr>
              <w:spacing w:before="0" w:after="0"/>
              <w:jc w:val="left"/>
            </w:pPr>
            <w:r>
              <w:rPr>
                <w:b/>
                <w:sz w:val="18"/>
                <w:szCs w:val="18"/>
              </w:rPr>
              <w:t xml:space="preserve">Cash flows from investing activities</w:t>
            </w:r>
          </w:p>
        </w:tc>
        <w:tc>
          <w:tcPr>
            <w:tcW w:w="800" w:type="dxa"/>
            <w:vAlign w:val="center"/>
          </w:tcPr>
          <w:p>
            <w:pPr>
              <w:spacing w:before="0" w:after="0"/>
              <w:jc w:val="left"/>
            </w:pPr>
            <w:r>
              <w:rPr>
                <w:b/>
                <w:sz w:val="18"/>
                <w:szCs w:val="18"/>
              </w:rPr>
              <w:t xml:space="preserve"/>
            </w:r>
          </w:p>
        </w:tc>
        <w:tc>
          <w:tcPr>
            <w:tcW w:w="1700" w:type="dxa"/>
            <w:vAlign w:val="center"/>
          </w:tcPr>
          <w:p>
            <w:pPr>
              <w:spacing w:before="0" w:after="0"/>
              <w:jc w:val="right"/>
            </w:pPr>
            <w:r>
              <w:rPr>
                <w:b/>
                <w:sz w:val="18"/>
                <w:szCs w:val="18"/>
              </w:rPr>
              <w:t xml:space="preserve"/>
            </w:r>
          </w:p>
        </w:tc>
        <w:tc>
          <w:tcPr>
            <w:tcW w:w="1700" w:type="dxa"/>
            <w:vAlign w:val="center"/>
          </w:tcPr>
          <w:p>
            <w:pPr>
              <w:spacing w:before="0" w:after="0"/>
              <w:jc w:val="right"/>
            </w:pPr>
            <w:r>
              <w:rPr>
                <w:b/>
                <w:sz w:val="18"/>
                <w:szCs w:val="18"/>
              </w:rPr>
              <w:t xml:space="preserve"/>
            </w:r>
          </w:p>
        </w:tc>
      </w:tr>
      <w:tr>
        <w:tc>
          <w:tcPr>
            <w:tcW w:w="4872" w:type="dxa"/>
            <w:vAlign w:val="center"/>
          </w:tcPr>
          <w:p>
            <w:pPr>
              <w:spacing w:before="0" w:after="0"/>
              <w:jc w:val="left"/>
            </w:pPr>
            <w:r>
              <w:rPr>
                <w:sz w:val="18"/>
                <w:szCs w:val="18"/>
              </w:rPr>
              <w:t xml:space="preserve">Purchases of property and equipment</w:t>
            </w:r>
          </w:p>
        </w:tc>
        <w:tc>
          <w:tcPr>
            <w:tcW w:w="800" w:type="dxa"/>
            <w:vAlign w:val="center"/>
          </w:tcPr>
          <w:p>
            <w:pPr>
              <w:spacing w:before="0" w:after="0"/>
              <w:jc w:val="left"/>
            </w:pPr>
            <w:r>
              <w:rPr>
                <w:sz w:val="18"/>
                <w:szCs w:val="18"/>
              </w:rPr>
              <w:t xml:space="preserve"/>
            </w:r>
          </w:p>
        </w:tc>
        <w:tc>
          <w:tcPr>
            <w:tcW w:w="1700" w:type="dxa"/>
            <w:vAlign w:val="center"/>
          </w:tcPr>
          <w:p>
            <w:pPr>
              <w:spacing w:before="0" w:after="0"/>
              <w:jc w:val="right"/>
            </w:pPr>
            <w:r>
              <w:rPr>
                <w:sz w:val="18"/>
                <w:szCs w:val="18"/>
              </w:rPr>
              <w:t xml:space="preserve">(7,104)</w:t>
            </w:r>
          </w:p>
        </w:tc>
        <w:tc>
          <w:tcPr>
            <w:tcW w:w="1700" w:type="dxa"/>
            <w:vAlign w:val="center"/>
          </w:tcPr>
          <w:p>
            <w:pPr>
              <w:spacing w:before="0" w:after="0"/>
              <w:jc w:val="right"/>
            </w:pPr>
            <w:r>
              <w:rPr>
                <w:sz w:val="18"/>
                <w:szCs w:val="18"/>
              </w:rPr>
              <w:t xml:space="preserve">(8,210)</w:t>
            </w:r>
          </w:p>
        </w:tc>
      </w:tr>
      <w:tr>
        <w:tc>
          <w:tcPr>
            <w:tcW w:w="4872" w:type="dxa"/>
            <w:vAlign w:val="center"/>
          </w:tcPr>
          <w:p>
            <w:pPr>
              <w:spacing w:before="0" w:after="0"/>
              <w:jc w:val="left"/>
            </w:pPr>
            <w:r>
              <w:rPr>
                <w:sz w:val="18"/>
                <w:szCs w:val="18"/>
              </w:rPr>
              <w:t xml:space="preserve">Purchases of roasting equipment</w:t>
            </w:r>
          </w:p>
        </w:tc>
        <w:tc>
          <w:tcPr>
            <w:tcW w:w="800" w:type="dxa"/>
            <w:vAlign w:val="center"/>
          </w:tcPr>
          <w:p>
            <w:pPr>
              <w:spacing w:before="0" w:after="0"/>
              <w:jc w:val="left"/>
            </w:pPr>
            <w:r>
              <w:rPr>
                <w:sz w:val="18"/>
                <w:szCs w:val="18"/>
              </w:rPr>
              <w:t xml:space="preserve"/>
            </w:r>
          </w:p>
        </w:tc>
        <w:tc>
          <w:tcPr>
            <w:tcW w:w="1700" w:type="dxa"/>
            <w:vAlign w:val="center"/>
          </w:tcPr>
          <w:p>
            <w:pPr>
              <w:spacing w:before="0" w:after="0"/>
              <w:jc w:val="right"/>
            </w:pPr>
            <w:r>
              <w:rPr>
                <w:sz w:val="18"/>
                <w:szCs w:val="18"/>
              </w:rPr>
              <w:t xml:space="preserve">(942)</w:t>
            </w:r>
          </w:p>
        </w:tc>
        <w:tc>
          <w:tcPr>
            <w:tcW w:w="1700" w:type="dxa"/>
            <w:vAlign w:val="center"/>
          </w:tcPr>
          <w:p>
            <w:pPr>
              <w:spacing w:before="0" w:after="0"/>
              <w:jc w:val="right"/>
            </w:pPr>
            <w:r>
              <w:rPr>
                <w:sz w:val="18"/>
                <w:szCs w:val="18"/>
              </w:rPr>
              <w:t xml:space="preserve">(1,672)</w:t>
            </w:r>
          </w:p>
        </w:tc>
      </w:tr>
      <w:tr>
        <w:tc>
          <w:tcPr>
            <w:tcW w:w="4872" w:type="dxa"/>
            <w:vAlign w:val="center"/>
          </w:tcPr>
          <w:p>
            <w:pPr>
              <w:spacing w:before="0" w:after="0"/>
              <w:jc w:val="left"/>
            </w:pPr>
            <w:r>
              <w:rPr>
                <w:sz w:val="18"/>
                <w:szCs w:val="18"/>
              </w:rPr>
              <w:t xml:space="preserve">Purchases of short-term investments</w:t>
            </w:r>
          </w:p>
        </w:tc>
        <w:tc>
          <w:tcPr>
            <w:tcW w:w="800" w:type="dxa"/>
            <w:vAlign w:val="center"/>
          </w:tcPr>
          <w:p>
            <w:pPr>
              <w:spacing w:before="0" w:after="0"/>
              <w:jc w:val="left"/>
            </w:pPr>
            <w:r>
              <w:rPr>
                <w:sz w:val="18"/>
                <w:szCs w:val="18"/>
              </w:rPr>
              <w:t xml:space="preserve"/>
            </w:r>
          </w:p>
        </w:tc>
        <w:tc>
          <w:tcPr>
            <w:tcW w:w="1700" w:type="dxa"/>
            <w:vAlign w:val="center"/>
          </w:tcPr>
          <w:p>
            <w:pPr>
              <w:spacing w:before="0" w:after="0"/>
              <w:jc w:val="right"/>
            </w:pPr>
            <w:r>
              <w:rPr>
                <w:sz w:val="18"/>
                <w:szCs w:val="18"/>
              </w:rPr>
              <w:t xml:space="preserve">(1,509)</w:t>
            </w:r>
          </w:p>
        </w:tc>
        <w:tc>
          <w:tcPr>
            <w:tcW w:w="1700" w:type="dxa"/>
            <w:vAlign w:val="center"/>
          </w:tcPr>
          <w:p>
            <w:pPr>
              <w:spacing w:before="0" w:after="0"/>
              <w:jc w:val="right"/>
            </w:pPr>
            <w:r>
              <w:rPr>
                <w:sz w:val="18"/>
                <w:szCs w:val="18"/>
              </w:rPr>
              <w:t xml:space="preserve">(1,209)</w:t>
            </w:r>
          </w:p>
        </w:tc>
      </w:tr>
      <w:tr>
        <w:tc>
          <w:tcPr>
            <w:tcW w:w="4872" w:type="dxa"/>
            <w:vAlign w:val="center"/>
          </w:tcPr>
          <w:p>
            <w:pPr>
              <w:spacing w:before="0" w:after="0"/>
              <w:jc w:val="left"/>
            </w:pPr>
            <w:r>
              <w:rPr>
                <w:sz w:val="18"/>
                <w:szCs w:val="18"/>
              </w:rPr>
              <w:t xml:space="preserve">Maturities of short-term investments</w:t>
            </w:r>
          </w:p>
        </w:tc>
        <w:tc>
          <w:tcPr>
            <w:tcW w:w="800" w:type="dxa"/>
            <w:vAlign w:val="center"/>
          </w:tcPr>
          <w:p>
            <w:pPr>
              <w:spacing w:before="0" w:after="0"/>
              <w:jc w:val="left"/>
            </w:pPr>
            <w:r>
              <w:rPr>
                <w:sz w:val="18"/>
                <w:szCs w:val="18"/>
              </w:rPr>
              <w:t xml:space="preserve"/>
            </w:r>
          </w:p>
        </w:tc>
        <w:tc>
          <w:tcPr>
            <w:tcW w:w="1700" w:type="dxa"/>
            <w:vAlign w:val="center"/>
          </w:tcPr>
          <w:p>
            <w:pPr>
              <w:spacing w:before="0" w:after="0"/>
              <w:jc w:val="right"/>
            </w:pPr>
            <w:r>
              <w:rPr>
                <w:sz w:val="18"/>
                <w:szCs w:val="18"/>
              </w:rPr>
              <w:t xml:space="preserve">1,538</w:t>
            </w:r>
          </w:p>
        </w:tc>
        <w:tc>
          <w:tcPr>
            <w:tcW w:w="1700" w:type="dxa"/>
            <w:vAlign w:val="center"/>
          </w:tcPr>
          <w:p>
            <w:pPr>
              <w:spacing w:before="0" w:after="0"/>
              <w:jc w:val="right"/>
            </w:pPr>
            <w:r>
              <w:rPr>
                <w:sz w:val="18"/>
                <w:szCs w:val="18"/>
              </w:rPr>
              <w:t xml:space="preserve">1,031</w:t>
            </w:r>
          </w:p>
        </w:tc>
      </w:tr>
      <w:tr>
        <w:tc>
          <w:tcPr>
            <w:tcW w:w="4872" w:type="dxa"/>
            <w:vAlign w:val="center"/>
          </w:tcPr>
          <w:p>
            <w:pPr>
              <w:spacing w:before="0" w:after="0"/>
              <w:jc w:val="left"/>
            </w:pPr>
            <w:r>
              <w:rPr>
                <w:b/>
                <w:sz w:val="18"/>
                <w:szCs w:val="18"/>
              </w:rPr>
              <w:t xml:space="preserve">Net cash used in investing activities</w:t>
            </w:r>
          </w:p>
        </w:tc>
        <w:tc>
          <w:tcPr>
            <w:tcW w:w="800" w:type="dxa"/>
            <w:vAlign w:val="center"/>
          </w:tcPr>
          <w:p>
            <w:pPr>
              <w:spacing w:before="0" w:after="0"/>
              <w:jc w:val="left"/>
            </w:pPr>
            <w:r>
              <w:rPr>
                <w:b/>
                <w:sz w:val="18"/>
                <w:szCs w:val="18"/>
              </w:rPr>
              <w:t xml:space="preserve"/>
            </w:r>
          </w:p>
        </w:tc>
        <w:tc>
          <w:tcPr>
            <w:tcW w:w="1700" w:type="dxa"/>
            <w:vAlign w:val="center"/>
          </w:tcPr>
          <w:p>
            <w:pPr>
              <w:spacing w:before="0" w:after="0"/>
              <w:jc w:val="right"/>
            </w:pPr>
            <w:r>
              <w:rPr>
                <w:b/>
                <w:sz w:val="18"/>
                <w:szCs w:val="18"/>
              </w:rPr>
              <w:t xml:space="preserve">(8,016)</w:t>
            </w:r>
          </w:p>
        </w:tc>
        <w:tc>
          <w:tcPr>
            <w:tcW w:w="1700" w:type="dxa"/>
            <w:vAlign w:val="center"/>
          </w:tcPr>
          <w:p>
            <w:pPr>
              <w:spacing w:before="0" w:after="0"/>
              <w:jc w:val="right"/>
            </w:pPr>
            <w:r>
              <w:rPr>
                <w:b/>
                <w:sz w:val="18"/>
                <w:szCs w:val="18"/>
              </w:rPr>
              <w:t xml:space="preserve">(10,060)</w:t>
            </w:r>
          </w:p>
        </w:tc>
      </w:tr>
      <w:tr>
        <w:tc>
          <w:tcPr>
            <w:tcW w:w="4872" w:type="dxa"/>
            <w:vAlign w:val="center"/>
          </w:tcPr>
          <w:p>
            <w:pPr>
              <w:spacing w:before="0" w:after="0"/>
              <w:jc w:val="left"/>
            </w:pPr>
            <w:r>
              <w:rPr>
                <w:b/>
                <w:sz w:val="18"/>
                <w:szCs w:val="18"/>
              </w:rPr>
              <w:t xml:space="preserve">Cash flows from financing activities</w:t>
            </w:r>
          </w:p>
        </w:tc>
        <w:tc>
          <w:tcPr>
            <w:tcW w:w="800" w:type="dxa"/>
            <w:vAlign w:val="center"/>
          </w:tcPr>
          <w:p>
            <w:pPr>
              <w:spacing w:before="0" w:after="0"/>
              <w:jc w:val="left"/>
            </w:pPr>
            <w:r>
              <w:rPr>
                <w:b/>
                <w:sz w:val="18"/>
                <w:szCs w:val="18"/>
              </w:rPr>
              <w:t xml:space="preserve"/>
            </w:r>
          </w:p>
        </w:tc>
        <w:tc>
          <w:tcPr>
            <w:tcW w:w="1700" w:type="dxa"/>
            <w:vAlign w:val="center"/>
          </w:tcPr>
          <w:p>
            <w:pPr>
              <w:spacing w:before="0" w:after="0"/>
              <w:jc w:val="right"/>
            </w:pPr>
            <w:r>
              <w:rPr>
                <w:b/>
                <w:sz w:val="18"/>
                <w:szCs w:val="18"/>
              </w:rPr>
              <w:t xml:space="preserve"/>
            </w:r>
          </w:p>
        </w:tc>
        <w:tc>
          <w:tcPr>
            <w:tcW w:w="1700" w:type="dxa"/>
            <w:vAlign w:val="center"/>
          </w:tcPr>
          <w:p>
            <w:pPr>
              <w:spacing w:before="0" w:after="0"/>
              <w:jc w:val="right"/>
            </w:pPr>
            <w:r>
              <w:rPr>
                <w:b/>
                <w:sz w:val="18"/>
                <w:szCs w:val="18"/>
              </w:rPr>
              <w:t xml:space="preserve"/>
            </w:r>
          </w:p>
        </w:tc>
      </w:tr>
      <w:tr>
        <w:tc>
          <w:tcPr>
            <w:tcW w:w="4872" w:type="dxa"/>
            <w:vAlign w:val="center"/>
          </w:tcPr>
          <w:p>
            <w:pPr>
              <w:spacing w:before="0" w:after="0"/>
              <w:jc w:val="left"/>
            </w:pPr>
            <w:r>
              <w:rPr>
                <w:sz w:val="18"/>
                <w:szCs w:val="18"/>
              </w:rPr>
              <w:t xml:space="preserve">Proceeds from borrowings under the credit facility</w:t>
            </w:r>
          </w:p>
        </w:tc>
        <w:tc>
          <w:tcPr>
            <w:tcW w:w="800" w:type="dxa"/>
            <w:vAlign w:val="center"/>
          </w:tcPr>
          <w:p>
            <w:pPr>
              <w:spacing w:before="0" w:after="0"/>
              <w:jc w:val="left"/>
            </w:pPr>
            <w:r>
              <w:rPr>
                <w:sz w:val="18"/>
                <w:szCs w:val="18"/>
              </w:rPr>
              <w:t xml:space="preserve"/>
            </w:r>
          </w:p>
        </w:tc>
        <w:tc>
          <w:tcPr>
            <w:tcW w:w="1700" w:type="dxa"/>
            <w:vAlign w:val="center"/>
          </w:tcPr>
          <w:p>
            <w:pPr>
              <w:spacing w:before="0" w:after="0"/>
              <w:jc w:val="right"/>
            </w:pPr>
            <w:r>
              <w:rPr>
                <w:sz w:val="18"/>
                <w:szCs w:val="18"/>
              </w:rPr>
              <w:t xml:space="preserve">355</w:t>
            </w:r>
          </w:p>
        </w:tc>
        <w:tc>
          <w:tcPr>
            <w:tcW w:w="1700" w:type="dxa"/>
            <w:vAlign w:val="center"/>
          </w:tcPr>
          <w:p>
            <w:pPr>
              <w:spacing w:before="0" w:after="0"/>
              <w:jc w:val="right"/>
            </w:pPr>
            <w:r>
              <w:rPr>
                <w:sz w:val="18"/>
                <w:szCs w:val="18"/>
              </w:rPr>
              <w:t xml:space="preserve">1,661</w:t>
            </w:r>
          </w:p>
        </w:tc>
      </w:tr>
      <w:tr>
        <w:tc>
          <w:tcPr>
            <w:tcW w:w="4872" w:type="dxa"/>
            <w:vAlign w:val="center"/>
          </w:tcPr>
          <w:p>
            <w:pPr>
              <w:spacing w:before="0" w:after="0"/>
              <w:jc w:val="left"/>
            </w:pPr>
            <w:r>
              <w:rPr>
                <w:sz w:val="18"/>
                <w:szCs w:val="18"/>
              </w:rPr>
              <w:t xml:space="preserve">Repayments of long-term debt</w:t>
            </w:r>
          </w:p>
        </w:tc>
        <w:tc>
          <w:tcPr>
            <w:tcW w:w="800" w:type="dxa"/>
            <w:vAlign w:val="center"/>
          </w:tcPr>
          <w:p>
            <w:pPr>
              <w:spacing w:before="0" w:after="0"/>
              <w:jc w:val="left"/>
            </w:pPr>
            <w:r>
              <w:rPr>
                <w:sz w:val="18"/>
                <w:szCs w:val="18"/>
              </w:rPr>
              <w:t xml:space="preserve"/>
            </w:r>
          </w:p>
        </w:tc>
        <w:tc>
          <w:tcPr>
            <w:tcW w:w="1700" w:type="dxa"/>
            <w:vAlign w:val="center"/>
          </w:tcPr>
          <w:p>
            <w:pPr>
              <w:spacing w:before="0" w:after="0"/>
              <w:jc w:val="right"/>
            </w:pPr>
            <w:r>
              <w:rPr>
                <w:sz w:val="18"/>
                <w:szCs w:val="18"/>
              </w:rPr>
              <w:t xml:space="preserve">(1,499)</w:t>
            </w:r>
          </w:p>
        </w:tc>
        <w:tc>
          <w:tcPr>
            <w:tcW w:w="1700" w:type="dxa"/>
            <w:vAlign w:val="center"/>
          </w:tcPr>
          <w:p>
            <w:pPr>
              <w:spacing w:before="0" w:after="0"/>
              <w:jc w:val="right"/>
            </w:pPr>
            <w:r>
              <w:rPr>
                <w:sz w:val="18"/>
                <w:szCs w:val="18"/>
              </w:rPr>
              <w:t xml:space="preserve">(1,572)</w:t>
            </w:r>
          </w:p>
        </w:tc>
      </w:tr>
      <w:tr>
        <w:tc>
          <w:tcPr>
            <w:tcW w:w="4872" w:type="dxa"/>
            <w:vAlign w:val="center"/>
          </w:tcPr>
          <w:p>
            <w:pPr>
              <w:spacing w:before="0" w:after="0"/>
              <w:jc w:val="left"/>
            </w:pPr>
            <w:r>
              <w:rPr>
                <w:sz w:val="18"/>
                <w:szCs w:val="18"/>
              </w:rPr>
              <w:t xml:space="preserve">Dividends paid</w:t>
            </w:r>
          </w:p>
        </w:tc>
        <w:tc>
          <w:tcPr>
            <w:tcW w:w="800" w:type="dxa"/>
            <w:vAlign w:val="center"/>
          </w:tcPr>
          <w:p>
            <w:pPr>
              <w:spacing w:before="0" w:after="0"/>
              <w:jc w:val="left"/>
            </w:pPr>
            <w:r>
              <w:rPr>
                <w:sz w:val="18"/>
                <w:szCs w:val="18"/>
              </w:rPr>
              <w:t xml:space="preserve"/>
            </w:r>
          </w:p>
        </w:tc>
        <w:tc>
          <w:tcPr>
            <w:tcW w:w="1700" w:type="dxa"/>
            <w:vAlign w:val="center"/>
          </w:tcPr>
          <w:p>
            <w:pPr>
              <w:spacing w:before="0" w:after="0"/>
              <w:jc w:val="right"/>
            </w:pPr>
            <w:r>
              <w:rPr>
                <w:sz w:val="18"/>
                <w:szCs w:val="18"/>
              </w:rPr>
              <w:t xml:space="preserve">(935)</w:t>
            </w:r>
          </w:p>
        </w:tc>
        <w:tc>
          <w:tcPr>
            <w:tcW w:w="1700" w:type="dxa"/>
            <w:vAlign w:val="center"/>
          </w:tcPr>
          <w:p>
            <w:pPr>
              <w:spacing w:before="0" w:after="0"/>
              <w:jc w:val="right"/>
            </w:pPr>
            <w:r>
              <w:rPr>
                <w:sz w:val="18"/>
                <w:szCs w:val="18"/>
              </w:rPr>
              <w:t xml:space="preserve">(1,027)</w:t>
            </w:r>
          </w:p>
        </w:tc>
      </w:tr>
      <w:tr>
        <w:tc>
          <w:tcPr>
            <w:tcW w:w="4872" w:type="dxa"/>
            <w:vAlign w:val="center"/>
          </w:tcPr>
          <w:p>
            <w:pPr>
              <w:spacing w:before="0" w:after="0"/>
              <w:jc w:val="left"/>
            </w:pPr>
            <w:r>
              <w:rPr>
                <w:sz w:val="18"/>
                <w:szCs w:val="18"/>
              </w:rPr>
              <w:t xml:space="preserve">Proceeds from exercise of stock options</w:t>
            </w:r>
          </w:p>
        </w:tc>
        <w:tc>
          <w:tcPr>
            <w:tcW w:w="800" w:type="dxa"/>
            <w:vAlign w:val="center"/>
          </w:tcPr>
          <w:p>
            <w:pPr>
              <w:spacing w:before="0" w:after="0"/>
              <w:jc w:val="left"/>
            </w:pPr>
            <w:r>
              <w:rPr>
                <w:sz w:val="18"/>
                <w:szCs w:val="18"/>
              </w:rPr>
              <w:t xml:space="preserve"/>
            </w:r>
          </w:p>
        </w:tc>
        <w:tc>
          <w:tcPr>
            <w:tcW w:w="1700" w:type="dxa"/>
            <w:vAlign w:val="center"/>
          </w:tcPr>
          <w:p>
            <w:pPr>
              <w:spacing w:before="0" w:after="0"/>
              <w:jc w:val="right"/>
            </w:pPr>
            <w:r>
              <w:rPr>
                <w:sz w:val="18"/>
                <w:szCs w:val="18"/>
              </w:rPr>
              <w:t xml:space="preserve">179</w:t>
            </w:r>
          </w:p>
        </w:tc>
        <w:tc>
          <w:tcPr>
            <w:tcW w:w="1700" w:type="dxa"/>
            <w:vAlign w:val="center"/>
          </w:tcPr>
          <w:p>
            <w:pPr>
              <w:spacing w:before="0" w:after="0"/>
              <w:jc w:val="right"/>
            </w:pPr>
            <w:r>
              <w:rPr>
                <w:sz w:val="18"/>
                <w:szCs w:val="18"/>
              </w:rPr>
              <w:t xml:space="preserve">236</w:t>
            </w:r>
          </w:p>
        </w:tc>
      </w:tr>
      <w:tr>
        <w:tc>
          <w:tcPr>
            <w:tcW w:w="4872" w:type="dxa"/>
            <w:vAlign w:val="center"/>
          </w:tcPr>
          <w:p>
            <w:pPr>
              <w:spacing w:before="0" w:after="0"/>
              <w:jc w:val="left"/>
            </w:pPr>
            <w:r>
              <w:rPr>
                <w:b/>
                <w:sz w:val="18"/>
                <w:szCs w:val="18"/>
              </w:rPr>
              <w:t xml:space="preserve">Net cash used in financing activities</w:t>
            </w:r>
          </w:p>
        </w:tc>
        <w:tc>
          <w:tcPr>
            <w:tcW w:w="800" w:type="dxa"/>
            <w:vAlign w:val="center"/>
          </w:tcPr>
          <w:p>
            <w:pPr>
              <w:spacing w:before="0" w:after="0"/>
              <w:jc w:val="left"/>
            </w:pPr>
            <w:r>
              <w:rPr>
                <w:b/>
                <w:sz w:val="18"/>
                <w:szCs w:val="18"/>
              </w:rPr>
              <w:t xml:space="preserve"/>
            </w:r>
          </w:p>
        </w:tc>
        <w:tc>
          <w:tcPr>
            <w:tcW w:w="1700" w:type="dxa"/>
            <w:vAlign w:val="center"/>
          </w:tcPr>
          <w:p>
            <w:pPr>
              <w:spacing w:before="0" w:after="0"/>
              <w:jc w:val="right"/>
            </w:pPr>
            <w:r>
              <w:rPr>
                <w:b/>
                <w:sz w:val="18"/>
                <w:szCs w:val="18"/>
              </w:rPr>
              <w:t xml:space="preserve">(1,900)</w:t>
            </w:r>
          </w:p>
        </w:tc>
        <w:tc>
          <w:tcPr>
            <w:tcW w:w="1700" w:type="dxa"/>
            <w:vAlign w:val="center"/>
          </w:tcPr>
          <w:p>
            <w:pPr>
              <w:spacing w:before="0" w:after="0"/>
              <w:jc w:val="right"/>
            </w:pPr>
            <w:r>
              <w:rPr>
                <w:b/>
                <w:sz w:val="18"/>
                <w:szCs w:val="18"/>
              </w:rPr>
              <w:t xml:space="preserve">(702)</w:t>
            </w:r>
          </w:p>
        </w:tc>
      </w:tr>
      <w:tr>
        <w:tc>
          <w:tcPr>
            <w:tcW w:w="4872" w:type="dxa"/>
            <w:vAlign w:val="center"/>
          </w:tcPr>
          <w:p>
            <w:pPr>
              <w:spacing w:before="0" w:after="0"/>
              <w:jc w:val="left"/>
            </w:pPr>
            <w:r>
              <w:rPr>
                <w:b/>
                <w:sz w:val="18"/>
                <w:szCs w:val="18"/>
              </w:rPr>
              <w:t xml:space="preserve">Net increase (decrease) in cash and cash equivalents</w:t>
            </w:r>
          </w:p>
        </w:tc>
        <w:tc>
          <w:tcPr>
            <w:tcW w:w="800" w:type="dxa"/>
            <w:vAlign w:val="center"/>
          </w:tcPr>
          <w:p>
            <w:pPr>
              <w:spacing w:before="0" w:after="0"/>
              <w:jc w:val="left"/>
            </w:pPr>
            <w:r>
              <w:rPr>
                <w:b/>
                <w:sz w:val="18"/>
                <w:szCs w:val="18"/>
              </w:rPr>
              <w:t xml:space="preserve"/>
            </w:r>
          </w:p>
        </w:tc>
        <w:tc>
          <w:tcPr>
            <w:tcW w:w="1700" w:type="dxa"/>
            <w:vAlign w:val="center"/>
          </w:tcPr>
          <w:p>
            <w:pPr>
              <w:spacing w:before="0" w:after="0"/>
              <w:jc w:val="right"/>
            </w:pPr>
            <w:r>
              <w:rPr>
                <w:b/>
                <w:sz w:val="18"/>
                <w:szCs w:val="18"/>
              </w:rPr>
              <w:t xml:space="preserve">2,146</w:t>
            </w:r>
          </w:p>
        </w:tc>
        <w:tc>
          <w:tcPr>
            <w:tcW w:w="1700" w:type="dxa"/>
            <w:vAlign w:val="center"/>
          </w:tcPr>
          <w:p>
            <w:pPr>
              <w:spacing w:before="0" w:after="0"/>
              <w:jc w:val="right"/>
            </w:pPr>
            <w:r>
              <w:rPr>
                <w:b/>
                <w:sz w:val="18"/>
                <w:szCs w:val="18"/>
              </w:rPr>
              <w:t xml:space="preserve">2,372</w:t>
            </w:r>
          </w:p>
        </w:tc>
      </w:tr>
      <w:tr>
        <w:tc>
          <w:tcPr>
            <w:tcW w:w="4872" w:type="dxa"/>
            <w:vAlign w:val="center"/>
          </w:tcPr>
          <w:p>
            <w:pPr>
              <w:spacing w:before="0" w:after="0"/>
              <w:jc w:val="left"/>
            </w:pPr>
            <w:r>
              <w:rPr>
                <w:sz w:val="18"/>
                <w:szCs w:val="18"/>
              </w:rPr>
              <w:t xml:space="preserve">Cash and cash equivalents at beginning of period</w:t>
            </w:r>
          </w:p>
        </w:tc>
        <w:tc>
          <w:tcPr>
            <w:tcW w:w="800" w:type="dxa"/>
            <w:vAlign w:val="center"/>
          </w:tcPr>
          <w:p>
            <w:pPr>
              <w:spacing w:before="0" w:after="0"/>
              <w:jc w:val="left"/>
            </w:pPr>
            <w:r>
              <w:rPr>
                <w:sz w:val="18"/>
                <w:szCs w:val="18"/>
              </w:rPr>
              <w:t xml:space="preserve"/>
            </w:r>
          </w:p>
        </w:tc>
        <w:tc>
          <w:tcPr>
            <w:tcW w:w="1700" w:type="dxa"/>
            <w:vAlign w:val="center"/>
          </w:tcPr>
          <w:p>
            <w:pPr>
              <w:spacing w:before="0" w:after="0"/>
              <w:jc w:val="right"/>
            </w:pPr>
            <w:r>
              <w:rPr>
                <w:sz w:val="18"/>
                <w:szCs w:val="18"/>
              </w:rPr>
              <w:t xml:space="preserve">7,367</w:t>
            </w:r>
          </w:p>
        </w:tc>
        <w:tc>
          <w:tcPr>
            <w:tcW w:w="1700" w:type="dxa"/>
            <w:vAlign w:val="center"/>
          </w:tcPr>
          <w:p>
            <w:pPr>
              <w:spacing w:before="0" w:after="0"/>
              <w:jc w:val="right"/>
            </w:pPr>
            <w:r>
              <w:rPr>
                <w:sz w:val="18"/>
                <w:szCs w:val="18"/>
              </w:rPr>
              <w:t xml:space="preserve">8,532</w:t>
            </w:r>
          </w:p>
        </w:tc>
      </w:tr>
      <w:tr>
        <w:tc>
          <w:tcPr>
            <w:tcW w:w="4872" w:type="dxa"/>
            <w:vAlign w:val="center"/>
          </w:tcPr>
          <w:p>
            <w:pPr>
              <w:spacing w:before="0" w:after="0"/>
              <w:jc w:val="left"/>
            </w:pPr>
            <w:r>
              <w:rPr>
                <w:b/>
                <w:sz w:val="18"/>
                <w:szCs w:val="18"/>
              </w:rPr>
              <w:t xml:space="preserve">Cash and cash equivalents at end of period</w:t>
            </w:r>
          </w:p>
        </w:tc>
        <w:tc>
          <w:tcPr>
            <w:tcW w:w="800" w:type="dxa"/>
            <w:vAlign w:val="center"/>
          </w:tcPr>
          <w:p>
            <w:pPr>
              <w:spacing w:before="0" w:after="0"/>
              <w:jc w:val="left"/>
            </w:pPr>
            <w:r>
              <w:rPr>
                <w:b/>
                <w:sz w:val="18"/>
                <w:szCs w:val="18"/>
              </w:rPr>
              <w:t xml:space="preserve"/>
            </w:r>
          </w:p>
        </w:tc>
        <w:tc>
          <w:tcPr>
            <w:tcW w:w="1700" w:type="dxa"/>
            <w:vAlign w:val="center"/>
          </w:tcPr>
          <w:p>
            <w:pPr>
              <w:spacing w:before="0" w:after="0"/>
              <w:jc w:val="right"/>
            </w:pPr>
            <w:r>
              <w:rPr>
                <w:b/>
                <w:sz w:val="18"/>
                <w:szCs w:val="18"/>
              </w:rPr>
              <w:t xml:space="preserve">9,513</w:t>
            </w:r>
          </w:p>
        </w:tc>
        <w:tc>
          <w:tcPr>
            <w:tcW w:w="1700" w:type="dxa"/>
            <w:vAlign w:val="center"/>
          </w:tcPr>
          <w:p>
            <w:pPr>
              <w:spacing w:before="0" w:after="0"/>
              <w:jc w:val="right"/>
            </w:pPr>
            <w:r>
              <w:rPr>
                <w:b/>
                <w:sz w:val="18"/>
                <w:szCs w:val="18"/>
              </w:rPr>
              <w:t xml:space="preserve">10,904</w:t>
            </w:r>
          </w:p>
        </w:tc>
      </w:tr>
    </w:tbl>
    <w:p>
      <w:pPr/>
    </w:p>
    <w:p>
      <w:pPr>
        <w:pStyle w:val="Heading3"/>
        <w:keepNext/>
      </w:pPr>
      <w:r>
        <w:t xml:space="preserve">Notes to the Financial Statements</w:t>
      </w:r>
    </w:p>
    <w:p>
      <w:pPr>
        <w:keepNext/>
      </w:pPr>
      <w:r>
        <w:rPr>
          <w:b/>
        </w:rPr>
        <w:t xml:space="preserve">1. Summary of significant accounting policies</w:t>
      </w:r>
    </w:p>
    <w:p>
      <w:pPr>
        <w:ind w:left="0" w:firstLine="360"/>
      </w:pPr>
      <w:r>
        <w:t xml:space="preserve">Revenue from loyalty rewards is deferred until the reward is redeemed or expires. Food safety incidents, whether or not they occur at our stores, could harm the reputation of the Nimbus Coffee brand and reduce customer traffic. Revenue from stores in the Hillcrest region increased 1.1% compared with the prior year, while its share of total revenue was little changed. Orders placed through the online store, including orders for pickup in store and home delivery of whole beans, accounted for 11.2% of revenue in the Beverages and Beans categories. Each store is managed by a store manager who reports to a district manager, and district managers report to the director for their region. The price of green coffee is volatile, and a sustained increase could reduce gross margin if the Group is unable to pass the cost on to customers through menu prices.</w:t>
      </w:r>
    </w:p>
    <w:p>
      <w:pPr>
        <w:ind w:left="0" w:firstLine="360"/>
      </w:pPr>
      <w:r>
        <w:t xml:space="preserve">At the end of the fiscal year, the Group operated 185 company-operated stores in eight regions: Northfield, Eastbay, Southport, Westridge, Lakeside, Hillcrest, Riverside and Harborview. During the fiscal year, the Group opened 11 new stores and closed 1 stores whose leases expired. Each store is managed by a store manager who reports to a district manager, and district managers report to the director for their region. Revenue from company-operated stores increased 9.8% compared with the prior year, while its share of total revenue was little changed.</w:t>
      </w:r>
    </w:p>
    <w:p>
      <w:pPr>
        <w:ind w:left="0" w:firstLine="360"/>
      </w:pPr>
      <w:r>
        <w:t xml:space="preserve">Store operating expenses, which consist mainly of wages, benefits and supplies, were 30.0% of revenue, compared with 29.5% in the prior year. Nimbus Coffee leases all of its store premises under operating leases with initial terms of ten years, most of which include options to renew. Weather affects customer traffic: cold drinks sell best in summer, while hot beverages and whole beans sell best from October through February.</w:t>
      </w:r>
    </w:p>
    <w:tbl>
      <w:tblPr>
        <w:tblW w:w="907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72" w:type="dxa"/>
          <w:right w:w="72" w:type="dxa"/>
        </w:tblCellMar>
      </w:tblPr>
      <w:tblGrid>
        <w:gridCol w:w="4072"/>
        <w:gridCol w:w="2500"/>
        <w:gridCol w:w="2500"/>
      </w:tblGrid>
      <w:tr>
        <w:trPr>
          <w:tblHeader/>
        </w:trPr>
        <w:tc>
          <w:tcPr>
            <w:tcW w:w="4072" w:type="dxa"/>
            <w:shd w:val="clear" w:color="auto" w:fill="DDEBF7"/>
            <w:vAlign w:val="center"/>
          </w:tcPr>
          <w:p>
            <w:pPr>
              <w:spacing w:before="0" w:after="0"/>
              <w:jc w:val="center"/>
            </w:pPr>
            <w:r>
              <w:rPr>
                <w:b/>
                <w:sz w:val="18"/>
                <w:szCs w:val="18"/>
              </w:rPr>
              <w:t xml:space="preserve">Item</w:t>
            </w:r>
          </w:p>
        </w:tc>
        <w:tc>
          <w:tcPr>
            <w:tcW w:w="2500" w:type="dxa"/>
            <w:shd w:val="clear" w:color="auto" w:fill="DDEBF7"/>
            <w:vAlign w:val="center"/>
          </w:tcPr>
          <w:p>
            <w:pPr>
              <w:spacing w:before="0" w:after="0"/>
              <w:jc w:val="center"/>
            </w:pPr>
            <w:r>
              <w:rPr>
                <w:b/>
                <w:sz w:val="18"/>
                <w:szCs w:val="18"/>
              </w:rPr>
              <w:t xml:space="preserve">Q2 2025</w:t>
            </w:r>
          </w:p>
        </w:tc>
        <w:tc>
          <w:tcPr>
            <w:tcW w:w="2500" w:type="dxa"/>
            <w:shd w:val="clear" w:color="auto" w:fill="DDEBF7"/>
            <w:vAlign w:val="center"/>
          </w:tcPr>
          <w:p>
            <w:pPr>
              <w:spacing w:before="0" w:after="0"/>
              <w:jc w:val="center"/>
            </w:pPr>
            <w:r>
              <w:rPr>
                <w:b/>
                <w:sz w:val="18"/>
                <w:szCs w:val="18"/>
              </w:rPr>
              <w:t xml:space="preserve">Q2 2026</w:t>
            </w:r>
          </w:p>
        </w:tc>
      </w:tr>
      <w:tr>
        <w:tc>
          <w:tcPr>
            <w:tcW w:w="4072" w:type="dxa"/>
            <w:vAlign w:val="center"/>
          </w:tcPr>
          <w:p>
            <w:pPr>
              <w:spacing w:before="0" w:after="0"/>
              <w:jc w:val="left"/>
            </w:pPr>
            <w:r>
              <w:rPr>
                <w:sz w:val="18"/>
                <w:szCs w:val="18"/>
              </w:rPr>
              <w:t xml:space="preserve">Deferred income taxes</w:t>
            </w:r>
          </w:p>
        </w:tc>
        <w:tc>
          <w:tcPr>
            <w:tcW w:w="2500" w:type="dxa"/>
            <w:vAlign w:val="center"/>
          </w:tcPr>
          <w:p>
            <w:pPr>
              <w:spacing w:before="0" w:after="0"/>
              <w:jc w:val="right"/>
            </w:pPr>
            <w:r>
              <w:rPr>
                <w:sz w:val="18"/>
                <w:szCs w:val="18"/>
              </w:rPr>
              <w:t xml:space="preserve">17,917</w:t>
            </w:r>
          </w:p>
        </w:tc>
        <w:tc>
          <w:tcPr>
            <w:tcW w:w="2500" w:type="dxa"/>
            <w:vAlign w:val="center"/>
          </w:tcPr>
          <w:p>
            <w:pPr>
              <w:spacing w:before="0" w:after="0"/>
              <w:jc w:val="right"/>
            </w:pPr>
            <w:r>
              <w:rPr>
                <w:sz w:val="18"/>
                <w:szCs w:val="18"/>
              </w:rPr>
              <w:t xml:space="preserve">20,179</w:t>
            </w:r>
          </w:p>
        </w:tc>
      </w:tr>
      <w:tr>
        <w:tc>
          <w:tcPr>
            <w:tcW w:w="4072" w:type="dxa"/>
            <w:vAlign w:val="center"/>
          </w:tcPr>
          <w:p>
            <w:pPr>
              <w:spacing w:before="0" w:after="0"/>
              <w:jc w:val="left"/>
            </w:pPr>
            <w:r>
              <w:rPr>
                <w:sz w:val="18"/>
                <w:szCs w:val="18"/>
              </w:rPr>
              <w:t xml:space="preserve">Cash and cash equivalents</w:t>
            </w:r>
          </w:p>
        </w:tc>
        <w:tc>
          <w:tcPr>
            <w:tcW w:w="2500" w:type="dxa"/>
            <w:vAlign w:val="center"/>
          </w:tcPr>
          <w:p>
            <w:pPr>
              <w:spacing w:before="0" w:after="0"/>
              <w:jc w:val="right"/>
            </w:pPr>
            <w:r>
              <w:rPr>
                <w:sz w:val="18"/>
                <w:szCs w:val="18"/>
              </w:rPr>
              <w:t xml:space="preserve">4,098</w:t>
            </w:r>
          </w:p>
        </w:tc>
        <w:tc>
          <w:tcPr>
            <w:tcW w:w="2500" w:type="dxa"/>
            <w:vAlign w:val="center"/>
          </w:tcPr>
          <w:p>
            <w:pPr>
              <w:spacing w:before="0" w:after="0"/>
              <w:jc w:val="right"/>
            </w:pPr>
            <w:r>
              <w:rPr>
                <w:sz w:val="18"/>
                <w:szCs w:val="18"/>
              </w:rPr>
              <w:t xml:space="preserve">4,700</w:t>
            </w:r>
          </w:p>
        </w:tc>
      </w:tr>
      <w:tr>
        <w:tc>
          <w:tcPr>
            <w:tcW w:w="4072" w:type="dxa"/>
            <w:vAlign w:val="center"/>
          </w:tcPr>
          <w:p>
            <w:pPr>
              <w:spacing w:before="0" w:after="0"/>
              <w:jc w:val="left"/>
            </w:pPr>
            <w:r>
              <w:rPr>
                <w:sz w:val="18"/>
                <w:szCs w:val="18"/>
              </w:rPr>
              <w:t xml:space="preserve">Deferred income taxes</w:t>
            </w:r>
          </w:p>
        </w:tc>
        <w:tc>
          <w:tcPr>
            <w:tcW w:w="2500" w:type="dxa"/>
            <w:vAlign w:val="center"/>
          </w:tcPr>
          <w:p>
            <w:pPr>
              <w:spacing w:before="0" w:after="0"/>
              <w:jc w:val="right"/>
            </w:pPr>
            <w:r>
              <w:rPr>
                <w:sz w:val="18"/>
                <w:szCs w:val="18"/>
              </w:rPr>
              <w:t xml:space="preserve">7,328</w:t>
            </w:r>
          </w:p>
        </w:tc>
        <w:tc>
          <w:tcPr>
            <w:tcW w:w="2500" w:type="dxa"/>
            <w:vAlign w:val="center"/>
          </w:tcPr>
          <w:p>
            <w:pPr>
              <w:spacing w:before="0" w:after="0"/>
              <w:jc w:val="right"/>
            </w:pPr>
            <w:r>
              <w:rPr>
                <w:sz w:val="18"/>
                <w:szCs w:val="18"/>
              </w:rPr>
              <w:t xml:space="preserve">7,725</w:t>
            </w:r>
          </w:p>
        </w:tc>
      </w:tr>
      <w:tr>
        <w:tc>
          <w:tcPr>
            <w:tcW w:w="4072" w:type="dxa"/>
            <w:vAlign w:val="center"/>
          </w:tcPr>
          <w:p>
            <w:pPr>
              <w:spacing w:before="0" w:after="0"/>
              <w:jc w:val="left"/>
            </w:pPr>
            <w:r>
              <w:rPr>
                <w:sz w:val="18"/>
                <w:szCs w:val="18"/>
              </w:rPr>
              <w:t xml:space="preserve">Other accrued liabilities</w:t>
            </w:r>
          </w:p>
        </w:tc>
        <w:tc>
          <w:tcPr>
            <w:tcW w:w="2500" w:type="dxa"/>
            <w:vAlign w:val="center"/>
          </w:tcPr>
          <w:p>
            <w:pPr>
              <w:spacing w:before="0" w:after="0"/>
              <w:jc w:val="right"/>
            </w:pPr>
            <w:r>
              <w:rPr>
                <w:sz w:val="18"/>
                <w:szCs w:val="18"/>
              </w:rPr>
              <w:t xml:space="preserve">17,831</w:t>
            </w:r>
          </w:p>
        </w:tc>
        <w:tc>
          <w:tcPr>
            <w:tcW w:w="2500" w:type="dxa"/>
            <w:vAlign w:val="center"/>
          </w:tcPr>
          <w:p>
            <w:pPr>
              <w:spacing w:before="0" w:after="0"/>
              <w:jc w:val="right"/>
            </w:pPr>
            <w:r>
              <w:rPr>
                <w:sz w:val="18"/>
                <w:szCs w:val="18"/>
              </w:rPr>
              <w:t xml:space="preserve">20,532</w:t>
            </w:r>
          </w:p>
        </w:tc>
      </w:tr>
      <w:tr>
        <w:tc>
          <w:tcPr>
            <w:tcW w:w="4072" w:type="dxa"/>
            <w:vAlign w:val="center"/>
          </w:tcPr>
          <w:p>
            <w:pPr>
              <w:spacing w:before="0" w:after="0"/>
              <w:jc w:val="left"/>
            </w:pPr>
            <w:r>
              <w:rPr>
                <w:sz w:val="18"/>
                <w:szCs w:val="18"/>
              </w:rPr>
              <w:t xml:space="preserve">Other accrued liabilities</w:t>
            </w:r>
          </w:p>
        </w:tc>
        <w:tc>
          <w:tcPr>
            <w:tcW w:w="2500" w:type="dxa"/>
            <w:vAlign w:val="center"/>
          </w:tcPr>
          <w:p>
            <w:pPr>
              <w:spacing w:before="0" w:after="0"/>
              <w:jc w:val="right"/>
            </w:pPr>
            <w:r>
              <w:rPr>
                <w:sz w:val="18"/>
                <w:szCs w:val="18"/>
              </w:rPr>
              <w:t xml:space="preserve">27,684</w:t>
            </w:r>
          </w:p>
        </w:tc>
        <w:tc>
          <w:tcPr>
            <w:tcW w:w="2500" w:type="dxa"/>
            <w:vAlign w:val="center"/>
          </w:tcPr>
          <w:p>
            <w:pPr>
              <w:spacing w:before="0" w:after="0"/>
              <w:jc w:val="right"/>
            </w:pPr>
            <w:r>
              <w:rPr>
                <w:sz w:val="18"/>
                <w:szCs w:val="18"/>
              </w:rPr>
              <w:t xml:space="preserve">29,689</w:t>
            </w:r>
          </w:p>
        </w:tc>
      </w:tr>
      <w:tr>
        <w:tc>
          <w:tcPr>
            <w:tcW w:w="4072" w:type="dxa"/>
            <w:vAlign w:val="center"/>
          </w:tcPr>
          <w:p>
            <w:pPr>
              <w:spacing w:before="0" w:after="0"/>
              <w:jc w:val="left"/>
            </w:pPr>
            <w:r>
              <w:rPr>
                <w:sz w:val="18"/>
                <w:szCs w:val="18"/>
              </w:rPr>
              <w:t xml:space="preserve">Security deposits</w:t>
            </w:r>
          </w:p>
        </w:tc>
        <w:tc>
          <w:tcPr>
            <w:tcW w:w="2500" w:type="dxa"/>
            <w:vAlign w:val="center"/>
          </w:tcPr>
          <w:p>
            <w:pPr>
              <w:spacing w:before="0" w:after="0"/>
              <w:jc w:val="right"/>
            </w:pPr>
            <w:r>
              <w:rPr>
                <w:sz w:val="18"/>
                <w:szCs w:val="18"/>
              </w:rPr>
              <w:t xml:space="preserve">31,241</w:t>
            </w:r>
          </w:p>
        </w:tc>
        <w:tc>
          <w:tcPr>
            <w:tcW w:w="2500" w:type="dxa"/>
            <w:vAlign w:val="center"/>
          </w:tcPr>
          <w:p>
            <w:pPr>
              <w:spacing w:before="0" w:after="0"/>
              <w:jc w:val="right"/>
            </w:pPr>
            <w:r>
              <w:rPr>
                <w:sz w:val="18"/>
                <w:szCs w:val="18"/>
              </w:rPr>
              <w:t xml:space="preserve">32,181</w:t>
            </w:r>
          </w:p>
        </w:tc>
      </w:tr>
    </w:tbl>
    <w:p>
      <w:pPr/>
    </w:p>
    <w:p>
      <w:pPr>
        <w:keepNext/>
      </w:pPr>
      <w:r>
        <w:rPr>
          <w:b/>
        </w:rPr>
        <w:t xml:space="preserve">2. Revenue recognition</w:t>
      </w:r>
    </w:p>
    <w:p>
      <w:pPr>
        <w:ind w:left="0" w:firstLine="360"/>
      </w:pPr>
      <w:r>
        <w:t xml:space="preserve">Comparable store sales increased 1.4%, driven by a 2.2% increase in average ticket and a 3.0% increase in transactions. Nimbus Coffee operates specialty coffee shops under the Nimbus Coffee name and roasts all of the coffee it serves at its own roastery in Northfield. Revenue from the Merchandise category was $21,034 thousand, or 48.7% of total revenue. The Company leases all of its store premises under operating leases with initial terms of ten years, most of which include options to renew. Energy use per store decreased 4.5% compared with the prior year, as older espresso machines and refrigerators were replaced with more efficient models. Weather affects customer traffic: cold drinks sell best in summer, while hot beverages and whole beans sell best from October through February.</w:t>
      </w:r>
    </w:p>
    <w:p>
      <w:pPr>
        <w:ind w:left="0" w:firstLine="360"/>
      </w:pPr>
      <w:r>
        <w:t xml:space="preserve">Net cash provided by operating activities was $151,268 thousand, mainly reflecting net income and depreciation and amortization. New stores generally reach the sales level of a mature store within eighteen to twenty-four months of opening. Net cash used in financing activities was $1,802 thousand, reflecting repayments of the term loan and dividends paid. These forward-looking statements are based on information available as of the date of this statement, and actual results may differ materially because of many factors. The Company depends on a small number of dairy and bakery suppliers in each region, and an interruption in their deliveries could affect sales at the stores they serve. Labor costs are affected by minimum wage laws in the regions where the stores are located, and further increases could reduce store margins.</w:t>
      </w:r>
    </w:p>
    <w:p>
      <w:pPr>
        <w:keepNext/>
      </w:pPr>
      <w:r>
        <w:rPr>
          <w:b/>
        </w:rPr>
        <w:t xml:space="preserve">3. Leases</w:t>
      </w:r>
    </w:p>
    <w:p>
      <w:pPr>
        <w:ind w:left="0" w:firstLine="360"/>
      </w:pPr>
      <w:r>
        <w:t xml:space="preserve">Total assets at the end of the fiscal year were $130,547 thousand, an increase of $36,745 thousand from the end of the prior fiscal year. Capital expenditures totaled $25,017 thousand and consisted mainly of the build-out of new stores, the remodeling of existing stores and a second roasting line at the Northfield roastery. Comparable store sales increased 2.2%, driven by a 0.8% increase in average ticket and a 1.2% increase in transactions. The Company depends on a small number of dairy and bakery suppliers in each region, and an interruption in their deliveries could affect sales at the stores they serve.</w:t>
      </w:r>
    </w:p>
    <w:p>
      <w:pPr>
        <w:ind w:left="0" w:firstLine="360"/>
      </w:pPr>
      <w:r>
        <w:t xml:space="preserve">Revenue from the Beans category increased 11.6% compared with the prior year, while its share of total revenue was little changed. The ability of the Company to open new stores depends on finding suitable sites on acceptable lease terms and on hiring and training store managers. The Group buys 51.2% of its green coffee by volume from farms certified under recognized sustainability standards. Wholesale revenue comes from sales of roasted beans to restaurants, hotels and grocery stores in the regions where the Company operates.</w:t>
      </w:r>
    </w:p>
    <w:tbl>
      <w:tblPr>
        <w:tblW w:w="907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72" w:type="dxa"/>
          <w:right w:w="72" w:type="dxa"/>
        </w:tblCellMar>
      </w:tblPr>
      <w:tblGrid>
        <w:gridCol w:w="4072"/>
        <w:gridCol w:w="2500"/>
        <w:gridCol w:w="2500"/>
      </w:tblGrid>
      <w:tr>
        <w:trPr>
          <w:tblHeader/>
        </w:trPr>
        <w:tc>
          <w:tcPr>
            <w:tcW w:w="4072" w:type="dxa"/>
            <w:shd w:val="clear" w:color="auto" w:fill="DDEBF7"/>
            <w:vAlign w:val="center"/>
          </w:tcPr>
          <w:p>
            <w:pPr>
              <w:spacing w:before="0" w:after="0"/>
              <w:jc w:val="center"/>
            </w:pPr>
            <w:r>
              <w:rPr>
                <w:b/>
                <w:sz w:val="18"/>
                <w:szCs w:val="18"/>
              </w:rPr>
              <w:t xml:space="preserve">Item</w:t>
            </w:r>
          </w:p>
        </w:tc>
        <w:tc>
          <w:tcPr>
            <w:tcW w:w="2500" w:type="dxa"/>
            <w:shd w:val="clear" w:color="auto" w:fill="DDEBF7"/>
            <w:vAlign w:val="center"/>
          </w:tcPr>
          <w:p>
            <w:pPr>
              <w:spacing w:before="0" w:after="0"/>
              <w:jc w:val="center"/>
            </w:pPr>
            <w:r>
              <w:rPr>
                <w:b/>
                <w:sz w:val="18"/>
                <w:szCs w:val="18"/>
              </w:rPr>
              <w:t xml:space="preserve">Q2 2025</w:t>
            </w:r>
          </w:p>
        </w:tc>
        <w:tc>
          <w:tcPr>
            <w:tcW w:w="2500" w:type="dxa"/>
            <w:shd w:val="clear" w:color="auto" w:fill="DDEBF7"/>
            <w:vAlign w:val="center"/>
          </w:tcPr>
          <w:p>
            <w:pPr>
              <w:spacing w:before="0" w:after="0"/>
              <w:jc w:val="center"/>
            </w:pPr>
            <w:r>
              <w:rPr>
                <w:b/>
                <w:sz w:val="18"/>
                <w:szCs w:val="18"/>
              </w:rPr>
              <w:t xml:space="preserve">Q2 2026</w:t>
            </w:r>
          </w:p>
        </w:tc>
      </w:tr>
      <w:tr>
        <w:tc>
          <w:tcPr>
            <w:tcW w:w="4072" w:type="dxa"/>
            <w:vAlign w:val="center"/>
          </w:tcPr>
          <w:p>
            <w:pPr>
              <w:spacing w:before="0" w:after="0"/>
              <w:jc w:val="left"/>
            </w:pPr>
            <w:r>
              <w:rPr>
                <w:sz w:val="18"/>
                <w:szCs w:val="18"/>
              </w:rPr>
              <w:t xml:space="preserve">Other intangible assets, net</w:t>
            </w:r>
          </w:p>
        </w:tc>
        <w:tc>
          <w:tcPr>
            <w:tcW w:w="2500" w:type="dxa"/>
            <w:vAlign w:val="center"/>
          </w:tcPr>
          <w:p>
            <w:pPr>
              <w:spacing w:before="0" w:after="0"/>
              <w:jc w:val="right"/>
            </w:pPr>
            <w:r>
              <w:rPr>
                <w:sz w:val="18"/>
                <w:szCs w:val="18"/>
              </w:rPr>
              <w:t xml:space="preserve">28,672</w:t>
            </w:r>
          </w:p>
        </w:tc>
        <w:tc>
          <w:tcPr>
            <w:tcW w:w="2500" w:type="dxa"/>
            <w:vAlign w:val="center"/>
          </w:tcPr>
          <w:p>
            <w:pPr>
              <w:spacing w:before="0" w:after="0"/>
              <w:jc w:val="right"/>
            </w:pPr>
            <w:r>
              <w:rPr>
                <w:sz w:val="18"/>
                <w:szCs w:val="18"/>
              </w:rPr>
              <w:t xml:space="preserve">29,544</w:t>
            </w:r>
          </w:p>
        </w:tc>
      </w:tr>
      <w:tr>
        <w:tc>
          <w:tcPr>
            <w:tcW w:w="4072" w:type="dxa"/>
            <w:vAlign w:val="center"/>
          </w:tcPr>
          <w:p>
            <w:pPr>
              <w:spacing w:before="0" w:after="0"/>
              <w:jc w:val="left"/>
            </w:pPr>
            <w:r>
              <w:rPr>
                <w:sz w:val="18"/>
                <w:szCs w:val="18"/>
              </w:rPr>
              <w:t xml:space="preserve">Operating lease liabilities, net of current portion</w:t>
            </w:r>
          </w:p>
        </w:tc>
        <w:tc>
          <w:tcPr>
            <w:tcW w:w="2500" w:type="dxa"/>
            <w:vAlign w:val="center"/>
          </w:tcPr>
          <w:p>
            <w:pPr>
              <w:spacing w:before="0" w:after="0"/>
              <w:jc w:val="right"/>
            </w:pPr>
            <w:r>
              <w:rPr>
                <w:sz w:val="18"/>
                <w:szCs w:val="18"/>
              </w:rPr>
              <w:t xml:space="preserve">22,256</w:t>
            </w:r>
          </w:p>
        </w:tc>
        <w:tc>
          <w:tcPr>
            <w:tcW w:w="2500" w:type="dxa"/>
            <w:vAlign w:val="center"/>
          </w:tcPr>
          <w:p>
            <w:pPr>
              <w:spacing w:before="0" w:after="0"/>
              <w:jc w:val="right"/>
            </w:pPr>
            <w:r>
              <w:rPr>
                <w:sz w:val="18"/>
                <w:szCs w:val="18"/>
              </w:rPr>
              <w:t xml:space="preserve">25,373</w:t>
            </w:r>
          </w:p>
        </w:tc>
      </w:tr>
      <w:tr>
        <w:tc>
          <w:tcPr>
            <w:tcW w:w="4072" w:type="dxa"/>
            <w:vAlign w:val="center"/>
          </w:tcPr>
          <w:p>
            <w:pPr>
              <w:spacing w:before="0" w:after="0"/>
              <w:jc w:val="left"/>
            </w:pPr>
            <w:r>
              <w:rPr>
                <w:sz w:val="18"/>
                <w:szCs w:val="18"/>
              </w:rPr>
              <w:t xml:space="preserve">Operating lease liabilities, net of current portion</w:t>
            </w:r>
          </w:p>
        </w:tc>
        <w:tc>
          <w:tcPr>
            <w:tcW w:w="2500" w:type="dxa"/>
            <w:vAlign w:val="center"/>
          </w:tcPr>
          <w:p>
            <w:pPr>
              <w:spacing w:before="0" w:after="0"/>
              <w:jc w:val="right"/>
            </w:pPr>
            <w:r>
              <w:rPr>
                <w:sz w:val="18"/>
                <w:szCs w:val="18"/>
              </w:rPr>
              <w:t xml:space="preserve">12,208</w:t>
            </w:r>
          </w:p>
        </w:tc>
        <w:tc>
          <w:tcPr>
            <w:tcW w:w="2500" w:type="dxa"/>
            <w:vAlign w:val="center"/>
          </w:tcPr>
          <w:p>
            <w:pPr>
              <w:spacing w:before="0" w:after="0"/>
              <w:jc w:val="right"/>
            </w:pPr>
            <w:r>
              <w:rPr>
                <w:sz w:val="18"/>
                <w:szCs w:val="18"/>
              </w:rPr>
              <w:t xml:space="preserve">13,963</w:t>
            </w:r>
          </w:p>
        </w:tc>
      </w:tr>
      <w:tr>
        <w:tc>
          <w:tcPr>
            <w:tcW w:w="4072" w:type="dxa"/>
            <w:vAlign w:val="center"/>
          </w:tcPr>
          <w:p>
            <w:pPr>
              <w:spacing w:before="0" w:after="0"/>
              <w:jc w:val="left"/>
            </w:pPr>
            <w:r>
              <w:rPr>
                <w:sz w:val="18"/>
                <w:szCs w:val="18"/>
              </w:rPr>
              <w:t xml:space="preserve">Income taxes payable</w:t>
            </w:r>
          </w:p>
        </w:tc>
        <w:tc>
          <w:tcPr>
            <w:tcW w:w="2500" w:type="dxa"/>
            <w:vAlign w:val="center"/>
          </w:tcPr>
          <w:p>
            <w:pPr>
              <w:spacing w:before="0" w:after="0"/>
              <w:jc w:val="right"/>
            </w:pPr>
            <w:r>
              <w:rPr>
                <w:sz w:val="18"/>
                <w:szCs w:val="18"/>
              </w:rPr>
              <w:t xml:space="preserve">19,618</w:t>
            </w:r>
          </w:p>
        </w:tc>
        <w:tc>
          <w:tcPr>
            <w:tcW w:w="2500" w:type="dxa"/>
            <w:vAlign w:val="center"/>
          </w:tcPr>
          <w:p>
            <w:pPr>
              <w:spacing w:before="0" w:after="0"/>
              <w:jc w:val="right"/>
            </w:pPr>
            <w:r>
              <w:rPr>
                <w:sz w:val="18"/>
                <w:szCs w:val="18"/>
              </w:rPr>
              <w:t xml:space="preserve">20,981</w:t>
            </w:r>
          </w:p>
        </w:tc>
      </w:tr>
      <w:tr>
        <w:tc>
          <w:tcPr>
            <w:tcW w:w="4072" w:type="dxa"/>
            <w:vAlign w:val="center"/>
          </w:tcPr>
          <w:p>
            <w:pPr>
              <w:spacing w:before="0" w:after="0"/>
              <w:jc w:val="left"/>
            </w:pPr>
            <w:r>
              <w:rPr>
                <w:sz w:val="18"/>
                <w:szCs w:val="18"/>
              </w:rPr>
              <w:t xml:space="preserve">Other long-term assets</w:t>
            </w:r>
          </w:p>
        </w:tc>
        <w:tc>
          <w:tcPr>
            <w:tcW w:w="2500" w:type="dxa"/>
            <w:vAlign w:val="center"/>
          </w:tcPr>
          <w:p>
            <w:pPr>
              <w:spacing w:before="0" w:after="0"/>
              <w:jc w:val="right"/>
            </w:pPr>
            <w:r>
              <w:rPr>
                <w:sz w:val="18"/>
                <w:szCs w:val="18"/>
              </w:rPr>
              <w:t xml:space="preserve">25,599</w:t>
            </w:r>
          </w:p>
        </w:tc>
        <w:tc>
          <w:tcPr>
            <w:tcW w:w="2500" w:type="dxa"/>
            <w:vAlign w:val="center"/>
          </w:tcPr>
          <w:p>
            <w:pPr>
              <w:spacing w:before="0" w:after="0"/>
              <w:jc w:val="right"/>
            </w:pPr>
            <w:r>
              <w:rPr>
                <w:sz w:val="18"/>
                <w:szCs w:val="18"/>
              </w:rPr>
              <w:t xml:space="preserve">29,553</w:t>
            </w:r>
          </w:p>
        </w:tc>
      </w:tr>
      <w:tr>
        <w:tc>
          <w:tcPr>
            <w:tcW w:w="4072" w:type="dxa"/>
            <w:vAlign w:val="center"/>
          </w:tcPr>
          <w:p>
            <w:pPr>
              <w:spacing w:before="0" w:after="0"/>
              <w:jc w:val="left"/>
            </w:pPr>
            <w:r>
              <w:rPr>
                <w:sz w:val="18"/>
                <w:szCs w:val="18"/>
              </w:rPr>
              <w:t xml:space="preserve">Other long-term assets</w:t>
            </w:r>
          </w:p>
        </w:tc>
        <w:tc>
          <w:tcPr>
            <w:tcW w:w="2500" w:type="dxa"/>
            <w:vAlign w:val="center"/>
          </w:tcPr>
          <w:p>
            <w:pPr>
              <w:spacing w:before="0" w:after="0"/>
              <w:jc w:val="right"/>
            </w:pPr>
            <w:r>
              <w:rPr>
                <w:sz w:val="18"/>
                <w:szCs w:val="18"/>
              </w:rPr>
              <w:t xml:space="preserve">30,569</w:t>
            </w:r>
          </w:p>
        </w:tc>
        <w:tc>
          <w:tcPr>
            <w:tcW w:w="2500" w:type="dxa"/>
            <w:vAlign w:val="center"/>
          </w:tcPr>
          <w:p>
            <w:pPr>
              <w:spacing w:before="0" w:after="0"/>
              <w:jc w:val="right"/>
            </w:pPr>
            <w:r>
              <w:rPr>
                <w:sz w:val="18"/>
                <w:szCs w:val="18"/>
              </w:rPr>
              <w:t xml:space="preserve">30,984</w:t>
            </w:r>
          </w:p>
        </w:tc>
      </w:tr>
    </w:tbl>
    <w:p>
      <w:pPr/>
    </w:p>
    <w:p>
      <w:pPr>
        <w:keepNext/>
      </w:pPr>
      <w:r>
        <w:rPr>
          <w:b/>
        </w:rPr>
        <w:t xml:space="preserve">4. Fair value measurements</w:t>
      </w:r>
    </w:p>
    <w:p>
      <w:pPr>
        <w:ind w:left="0" w:firstLine="360"/>
      </w:pPr>
      <w:r>
        <w:t xml:space="preserve">The Group operates specialty coffee shops under the Nimbus Coffee name and roasts all of the coffee it serves at its own roastery in Northfield. Green coffee is purchased from exporters and cooperatives in Central America, South America and East Africa under fixed-price contracts that generally cover the next nine to twelve months of expected needs. Net cash used in financing activities was $15,481 thousand, reflecting repayments of the term loan and dividends paid.</w:t>
      </w:r>
    </w:p>
    <w:p>
      <w:pPr>
        <w:ind w:left="0" w:firstLine="360"/>
      </w:pPr>
      <w:r>
        <w:t xml:space="preserve">Weather affects customer traffic: cold drinks sell best in summer, while hot beverages and whole beans sell best from October through February. Merchandise sales, consisting of mugs, brewing equipment and seasonal gift sets, are highest in the fourth quarter of each year. Net cash provided by operating activities was $72,299 thousand, mainly reflecting net income and depreciation and amortization. Labor costs are affected by minimum wage laws in the regions where the stores are located, and further increases could reduce store margins. The Company operates specialty coffee shops under the Nimbus Coffee name and roasts all of the coffee it serves at its own roastery in Northfield. The ability of Nimbus Coffee to open new stores depends on finding suitable sites on acceptable lease terms and on hiring and training store managers.</w:t>
      </w:r>
    </w:p>
    <w:p>
      <w:pPr>
        <w:keepNext/>
      </w:pPr>
      <w:r>
        <w:rPr>
          <w:b/>
        </w:rPr>
        <w:t xml:space="preserve">5. Inventories</w:t>
      </w:r>
    </w:p>
    <w:p>
      <w:pPr>
        <w:ind w:left="0" w:firstLine="360"/>
      </w:pPr>
      <w:r>
        <w:t xml:space="preserve">Green coffee is purchased from exporters and cooperatives in Central America, South America and East Africa under fixed-price contracts that generally cover the next nine to twelve months of expected needs. Nimbus Coffee holds no derivatives other than coffee futures contracts used to fix the price of part of its future green coffee purchases. Net cash used in financing activities was $15,879 thousand, reflecting repayments of the term loan and dividends paid. Store operating expenses, which consist mainly of wages, benefits and supplies, were 29.4% of revenue, compared with 34.7% in the prior year. Net cash used in financing activities was $9,124 thousand, reflecting repayments of the term loan and dividends paid.</w:t>
      </w:r>
    </w:p>
    <w:p>
      <w:pPr>
        <w:ind w:left="0" w:firstLine="360"/>
      </w:pPr>
      <w:r>
        <w:t xml:space="preserve">At the end of the fiscal year, Nimbus Coffee operated 192 company-operated stores in eight regions: Northfield, Eastbay, Southport, Westridge, Lakeside, Hillcrest, Riverside and Harborview. Net cash used in investing activities was $3,323 thousand, primarily for purchases of property and equipment. Nimbus Coffee intends to pay dividends out of retained earnings while keeping sufficient funds to finance the opening of new stores. The ability of Nimbus Coffee to open new stores depends on finding suitable sites on acceptable lease terms and on hiring and training store managers. Labor costs are affected by minimum wage laws in the regions where the stores are located, and further increases could reduce store margins. Energy use per store decreased 7.1% compared with the prior year, as older espresso machines and refrigerators were replaced with more efficient models.</w:t>
      </w:r>
    </w:p>
    <w:p>
      <w:pPr>
        <w:ind w:left="0" w:firstLine="360"/>
      </w:pPr>
      <w:r>
        <w:t xml:space="preserve">These forward-looking statements are based on information available as of the date of this statement, and actual results may differ materially because of many factors. The price of green coffee is volatile, and a sustained increase could reduce gross margin if the Group is unable to pass the cost on to customers through menu prices. The Company holds no derivatives other than coffee futures contracts used to fix the price of part of its future green coffee purchases.</w:t>
      </w:r>
    </w:p>
    <w:tbl>
      <w:tblPr>
        <w:tblW w:w="907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72" w:type="dxa"/>
          <w:right w:w="72" w:type="dxa"/>
        </w:tblCellMar>
      </w:tblPr>
      <w:tblGrid>
        <w:gridCol w:w="4072"/>
        <w:gridCol w:w="2500"/>
        <w:gridCol w:w="2500"/>
      </w:tblGrid>
      <w:tr>
        <w:trPr>
          <w:tblHeader/>
        </w:trPr>
        <w:tc>
          <w:tcPr>
            <w:tcW w:w="4072" w:type="dxa"/>
            <w:shd w:val="clear" w:color="auto" w:fill="DDEBF7"/>
            <w:vAlign w:val="center"/>
          </w:tcPr>
          <w:p>
            <w:pPr>
              <w:spacing w:before="0" w:after="0"/>
              <w:jc w:val="center"/>
            </w:pPr>
            <w:r>
              <w:rPr>
                <w:b/>
                <w:sz w:val="18"/>
                <w:szCs w:val="18"/>
              </w:rPr>
              <w:t xml:space="preserve">Item</w:t>
            </w:r>
          </w:p>
        </w:tc>
        <w:tc>
          <w:tcPr>
            <w:tcW w:w="2500" w:type="dxa"/>
            <w:shd w:val="clear" w:color="auto" w:fill="DDEBF7"/>
            <w:vAlign w:val="center"/>
          </w:tcPr>
          <w:p>
            <w:pPr>
              <w:spacing w:before="0" w:after="0"/>
              <w:jc w:val="center"/>
            </w:pPr>
            <w:r>
              <w:rPr>
                <w:b/>
                <w:sz w:val="18"/>
                <w:szCs w:val="18"/>
              </w:rPr>
              <w:t xml:space="preserve">Q2 2025</w:t>
            </w:r>
          </w:p>
        </w:tc>
        <w:tc>
          <w:tcPr>
            <w:tcW w:w="2500" w:type="dxa"/>
            <w:shd w:val="clear" w:color="auto" w:fill="DDEBF7"/>
            <w:vAlign w:val="center"/>
          </w:tcPr>
          <w:p>
            <w:pPr>
              <w:spacing w:before="0" w:after="0"/>
              <w:jc w:val="center"/>
            </w:pPr>
            <w:r>
              <w:rPr>
                <w:b/>
                <w:sz w:val="18"/>
                <w:szCs w:val="18"/>
              </w:rPr>
              <w:t xml:space="preserve">Q2 2026</w:t>
            </w:r>
          </w:p>
        </w:tc>
      </w:tr>
      <w:tr>
        <w:tc>
          <w:tcPr>
            <w:tcW w:w="4072" w:type="dxa"/>
            <w:vAlign w:val="center"/>
          </w:tcPr>
          <w:p>
            <w:pPr>
              <w:spacing w:before="0" w:after="0"/>
              <w:jc w:val="left"/>
            </w:pPr>
            <w:r>
              <w:rPr>
                <w:sz w:val="18"/>
                <w:szCs w:val="18"/>
              </w:rPr>
              <w:t xml:space="preserve">Short-term investments</w:t>
            </w:r>
          </w:p>
        </w:tc>
        <w:tc>
          <w:tcPr>
            <w:tcW w:w="2500" w:type="dxa"/>
            <w:vAlign w:val="center"/>
          </w:tcPr>
          <w:p>
            <w:pPr>
              <w:spacing w:before="0" w:after="0"/>
              <w:jc w:val="right"/>
            </w:pPr>
            <w:r>
              <w:rPr>
                <w:sz w:val="18"/>
                <w:szCs w:val="18"/>
              </w:rPr>
              <w:t xml:space="preserve">9,902</w:t>
            </w:r>
          </w:p>
        </w:tc>
        <w:tc>
          <w:tcPr>
            <w:tcW w:w="2500" w:type="dxa"/>
            <w:vAlign w:val="center"/>
          </w:tcPr>
          <w:p>
            <w:pPr>
              <w:spacing w:before="0" w:after="0"/>
              <w:jc w:val="right"/>
            </w:pPr>
            <w:r>
              <w:rPr>
                <w:sz w:val="18"/>
                <w:szCs w:val="18"/>
              </w:rPr>
              <w:t xml:space="preserve">11,523</w:t>
            </w:r>
          </w:p>
        </w:tc>
      </w:tr>
      <w:tr>
        <w:tc>
          <w:tcPr>
            <w:tcW w:w="4072" w:type="dxa"/>
            <w:vAlign w:val="center"/>
          </w:tcPr>
          <w:p>
            <w:pPr>
              <w:spacing w:before="0" w:after="0"/>
              <w:jc w:val="left"/>
            </w:pPr>
            <w:r>
              <w:rPr>
                <w:sz w:val="18"/>
                <w:szCs w:val="18"/>
              </w:rPr>
              <w:t xml:space="preserve">Accrued payroll and benefits</w:t>
            </w:r>
          </w:p>
        </w:tc>
        <w:tc>
          <w:tcPr>
            <w:tcW w:w="2500" w:type="dxa"/>
            <w:vAlign w:val="center"/>
          </w:tcPr>
          <w:p>
            <w:pPr>
              <w:spacing w:before="0" w:after="0"/>
              <w:jc w:val="right"/>
            </w:pPr>
            <w:r>
              <w:rPr>
                <w:sz w:val="18"/>
                <w:szCs w:val="18"/>
              </w:rPr>
              <w:t xml:space="preserve">17,358</w:t>
            </w:r>
          </w:p>
        </w:tc>
        <w:tc>
          <w:tcPr>
            <w:tcW w:w="2500" w:type="dxa"/>
            <w:vAlign w:val="center"/>
          </w:tcPr>
          <w:p>
            <w:pPr>
              <w:spacing w:before="0" w:after="0"/>
              <w:jc w:val="right"/>
            </w:pPr>
            <w:r>
              <w:rPr>
                <w:sz w:val="18"/>
                <w:szCs w:val="18"/>
              </w:rPr>
              <w:t xml:space="preserve">19,114</w:t>
            </w:r>
          </w:p>
        </w:tc>
      </w:tr>
      <w:tr>
        <w:tc>
          <w:tcPr>
            <w:tcW w:w="4072" w:type="dxa"/>
            <w:vAlign w:val="center"/>
          </w:tcPr>
          <w:p>
            <w:pPr>
              <w:spacing w:before="0" w:after="0"/>
              <w:jc w:val="left"/>
            </w:pPr>
            <w:r>
              <w:rPr>
                <w:sz w:val="18"/>
                <w:szCs w:val="18"/>
              </w:rPr>
              <w:t xml:space="preserve">Long-term debt, net of current portion</w:t>
            </w:r>
          </w:p>
        </w:tc>
        <w:tc>
          <w:tcPr>
            <w:tcW w:w="2500" w:type="dxa"/>
            <w:vAlign w:val="center"/>
          </w:tcPr>
          <w:p>
            <w:pPr>
              <w:spacing w:before="0" w:after="0"/>
              <w:jc w:val="right"/>
            </w:pPr>
            <w:r>
              <w:rPr>
                <w:sz w:val="18"/>
                <w:szCs w:val="18"/>
              </w:rPr>
              <w:t xml:space="preserve">32,360</w:t>
            </w:r>
          </w:p>
        </w:tc>
        <w:tc>
          <w:tcPr>
            <w:tcW w:w="2500" w:type="dxa"/>
            <w:vAlign w:val="center"/>
          </w:tcPr>
          <w:p>
            <w:pPr>
              <w:spacing w:before="0" w:after="0"/>
              <w:jc w:val="right"/>
            </w:pPr>
            <w:r>
              <w:rPr>
                <w:sz w:val="18"/>
                <w:szCs w:val="18"/>
              </w:rPr>
              <w:t xml:space="preserve">35,500</w:t>
            </w:r>
          </w:p>
        </w:tc>
      </w:tr>
      <w:tr>
        <w:tc>
          <w:tcPr>
            <w:tcW w:w="4072" w:type="dxa"/>
            <w:vAlign w:val="center"/>
          </w:tcPr>
          <w:p>
            <w:pPr>
              <w:spacing w:before="0" w:after="0"/>
              <w:jc w:val="left"/>
            </w:pPr>
            <w:r>
              <w:rPr>
                <w:sz w:val="18"/>
                <w:szCs w:val="18"/>
              </w:rPr>
              <w:t xml:space="preserve">Cash and cash equivalents</w:t>
            </w:r>
          </w:p>
        </w:tc>
        <w:tc>
          <w:tcPr>
            <w:tcW w:w="2500" w:type="dxa"/>
            <w:vAlign w:val="center"/>
          </w:tcPr>
          <w:p>
            <w:pPr>
              <w:spacing w:before="0" w:after="0"/>
              <w:jc w:val="right"/>
            </w:pPr>
            <w:r>
              <w:rPr>
                <w:sz w:val="18"/>
                <w:szCs w:val="18"/>
              </w:rPr>
              <w:t xml:space="preserve">8,141</w:t>
            </w:r>
          </w:p>
        </w:tc>
        <w:tc>
          <w:tcPr>
            <w:tcW w:w="2500" w:type="dxa"/>
            <w:vAlign w:val="center"/>
          </w:tcPr>
          <w:p>
            <w:pPr>
              <w:spacing w:before="0" w:after="0"/>
              <w:jc w:val="right"/>
            </w:pPr>
            <w:r>
              <w:rPr>
                <w:sz w:val="18"/>
                <w:szCs w:val="18"/>
              </w:rPr>
              <w:t xml:space="preserve">8,357</w:t>
            </w:r>
          </w:p>
        </w:tc>
      </w:tr>
      <w:tr>
        <w:tc>
          <w:tcPr>
            <w:tcW w:w="4072" w:type="dxa"/>
            <w:vAlign w:val="center"/>
          </w:tcPr>
          <w:p>
            <w:pPr>
              <w:spacing w:before="0" w:after="0"/>
              <w:jc w:val="left"/>
            </w:pPr>
            <w:r>
              <w:rPr>
                <w:sz w:val="18"/>
                <w:szCs w:val="18"/>
              </w:rPr>
              <w:t xml:space="preserve">Long-term debt, net of current portion</w:t>
            </w:r>
          </w:p>
        </w:tc>
        <w:tc>
          <w:tcPr>
            <w:tcW w:w="2500" w:type="dxa"/>
            <w:vAlign w:val="center"/>
          </w:tcPr>
          <w:p>
            <w:pPr>
              <w:spacing w:before="0" w:after="0"/>
              <w:jc w:val="right"/>
            </w:pPr>
            <w:r>
              <w:rPr>
                <w:sz w:val="18"/>
                <w:szCs w:val="18"/>
              </w:rPr>
              <w:t xml:space="preserve">25,152</w:t>
            </w:r>
          </w:p>
        </w:tc>
        <w:tc>
          <w:tcPr>
            <w:tcW w:w="2500" w:type="dxa"/>
            <w:vAlign w:val="center"/>
          </w:tcPr>
          <w:p>
            <w:pPr>
              <w:spacing w:before="0" w:after="0"/>
              <w:jc w:val="right"/>
            </w:pPr>
            <w:r>
              <w:rPr>
                <w:sz w:val="18"/>
                <w:szCs w:val="18"/>
              </w:rPr>
              <w:t xml:space="preserve">27,927</w:t>
            </w:r>
          </w:p>
        </w:tc>
      </w:tr>
      <w:tr>
        <w:tc>
          <w:tcPr>
            <w:tcW w:w="4072" w:type="dxa"/>
            <w:vAlign w:val="center"/>
          </w:tcPr>
          <w:p>
            <w:pPr>
              <w:spacing w:before="0" w:after="0"/>
              <w:jc w:val="left"/>
            </w:pPr>
            <w:r>
              <w:rPr>
                <w:sz w:val="18"/>
                <w:szCs w:val="18"/>
              </w:rPr>
              <w:t xml:space="preserve">Other accrued liabilities</w:t>
            </w:r>
          </w:p>
        </w:tc>
        <w:tc>
          <w:tcPr>
            <w:tcW w:w="2500" w:type="dxa"/>
            <w:vAlign w:val="center"/>
          </w:tcPr>
          <w:p>
            <w:pPr>
              <w:spacing w:before="0" w:after="0"/>
              <w:jc w:val="right"/>
            </w:pPr>
            <w:r>
              <w:rPr>
                <w:sz w:val="18"/>
                <w:szCs w:val="18"/>
              </w:rPr>
              <w:t xml:space="preserve">35,987</w:t>
            </w:r>
          </w:p>
        </w:tc>
        <w:tc>
          <w:tcPr>
            <w:tcW w:w="2500" w:type="dxa"/>
            <w:vAlign w:val="center"/>
          </w:tcPr>
          <w:p>
            <w:pPr>
              <w:spacing w:before="0" w:after="0"/>
              <w:jc w:val="right"/>
            </w:pPr>
            <w:r>
              <w:rPr>
                <w:sz w:val="18"/>
                <w:szCs w:val="18"/>
              </w:rPr>
              <w:t xml:space="preserve">38,408</w:t>
            </w:r>
          </w:p>
        </w:tc>
      </w:tr>
    </w:tbl>
    <w:p>
      <w:pPr/>
    </w:p>
    <w:p>
      <w:pPr>
        <w:keepNext/>
      </w:pPr>
      <w:r>
        <w:rPr>
          <w:b/>
        </w:rPr>
        <w:t xml:space="preserve">6. Property and equipment</w:t>
      </w:r>
    </w:p>
    <w:p>
      <w:pPr>
        <w:ind w:left="0" w:firstLine="360"/>
      </w:pPr>
      <w:r>
        <w:t xml:space="preserve">Revenue from stores in the Harborview region increased 17.0% compared with the prior year, while its share of total revenue was little changed. Food safety incidents, whether or not they occur at our stores, could harm the reputation of the Nimbus Coffee brand and reduce customer traffic. Total assets at the end of the fiscal year were $201,828 thousand, an increase of $25,129 thousand from the end of the prior fiscal year. Merchandise sales, consisting of mugs, brewing equipment and seasonal gift sets, are highest in the fourth quarter of each year. Net cash used in financing activities was $2,484 thousand, reflecting repayments of the term loan and dividends paid. The roastery produced 861 thousand pounds of roasted coffee during the fiscal year, of which 54.4% was sold through company-operated stores.</w:t>
      </w:r>
    </w:p>
    <w:p>
      <w:pPr>
        <w:ind w:left="0" w:firstLine="360"/>
      </w:pPr>
      <w:r>
        <w:t xml:space="preserve">New stores generally reach the sales level of a mature store within eighteen to twenty-four months of opening. Green coffee is purchased from exporters and cooperatives in Central America, South America and East Africa under fixed-price contracts that generally cover the next nine to twelve months of expected needs. Net cash provided by operating activities was $161,394 thousand, mainly reflecting net income and depreciation and amortization. Each store is managed by a store manager who reports to a district manager, and district managers report to the director for their region. These forward-looking statements are based on information available as of the date of this statement, and actual results may differ materially because of many factors.</w:t>
      </w:r>
    </w:p>
    <w:p>
      <w:pPr>
        <w:keepNext/>
      </w:pPr>
      <w:r>
        <w:rPr>
          <w:b/>
        </w:rPr>
        <w:t xml:space="preserve">7. Goodwill and other intangible assets</w:t>
      </w:r>
    </w:p>
    <w:p>
      <w:pPr>
        <w:ind w:left="0" w:firstLine="360"/>
      </w:pPr>
      <w:r>
        <w:t xml:space="preserve">Net cash used in financing activities was $12,733 thousand, reflecting repayments of the term loan and dividends paid. At the end of the fiscal year, Nimbus Coffee operated 190 company-operated stores in eight regions: Northfield, Eastbay, Southport, Westridge, Lakeside, Hillcrest, Riverside and Harborview. Labor costs are affected by minimum wage laws in the regions where the stores are located, and further increases could reduce store margins. The Company operates specialty coffee shops under the Nimbus Coffee name and roasts all of the coffee it serves at its own roastery in Northfield. Occupancy costs increased to $22,824 thousand, reflecting rent for new stores and scheduled rent increases at existing locations. Total assets at the end of the fiscal year were $113,099 thousand, an increase of $17,242 thousand from the end of the prior fiscal year.</w:t>
      </w:r>
    </w:p>
    <w:p>
      <w:pPr>
        <w:ind w:left="0" w:firstLine="360"/>
      </w:pPr>
      <w:r>
        <w:t xml:space="preserve">Total assets at the end of the fiscal year were $241,616 thousand, an increase of $16,224 thousand from the end of the prior fiscal year. The ability of Nimbus Coffee to open new stores depends on finding suitable sites on acceptable lease terms and on hiring and training store managers. Green coffee is purchased from exporters and cooperatives in Central America, South America and East Africa under fixed-price contracts that generally cover the next nine to twelve months of expected needs.</w:t>
      </w:r>
    </w:p>
    <w:tbl>
      <w:tblPr>
        <w:tblW w:w="907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72" w:type="dxa"/>
          <w:right w:w="72" w:type="dxa"/>
        </w:tblCellMar>
      </w:tblPr>
      <w:tblGrid>
        <w:gridCol w:w="4072"/>
        <w:gridCol w:w="2500"/>
        <w:gridCol w:w="2500"/>
      </w:tblGrid>
      <w:tr>
        <w:trPr>
          <w:tblHeader/>
        </w:trPr>
        <w:tc>
          <w:tcPr>
            <w:tcW w:w="4072" w:type="dxa"/>
            <w:shd w:val="clear" w:color="auto" w:fill="DDEBF7"/>
            <w:vAlign w:val="center"/>
          </w:tcPr>
          <w:p>
            <w:pPr>
              <w:spacing w:before="0" w:after="0"/>
              <w:jc w:val="center"/>
            </w:pPr>
            <w:r>
              <w:rPr>
                <w:b/>
                <w:sz w:val="18"/>
                <w:szCs w:val="18"/>
              </w:rPr>
              <w:t xml:space="preserve">Item</w:t>
            </w:r>
          </w:p>
        </w:tc>
        <w:tc>
          <w:tcPr>
            <w:tcW w:w="2500" w:type="dxa"/>
            <w:shd w:val="clear" w:color="auto" w:fill="DDEBF7"/>
            <w:vAlign w:val="center"/>
          </w:tcPr>
          <w:p>
            <w:pPr>
              <w:spacing w:before="0" w:after="0"/>
              <w:jc w:val="center"/>
            </w:pPr>
            <w:r>
              <w:rPr>
                <w:b/>
                <w:sz w:val="18"/>
                <w:szCs w:val="18"/>
              </w:rPr>
              <w:t xml:space="preserve">Q2 2025</w:t>
            </w:r>
          </w:p>
        </w:tc>
        <w:tc>
          <w:tcPr>
            <w:tcW w:w="2500" w:type="dxa"/>
            <w:shd w:val="clear" w:color="auto" w:fill="DDEBF7"/>
            <w:vAlign w:val="center"/>
          </w:tcPr>
          <w:p>
            <w:pPr>
              <w:spacing w:before="0" w:after="0"/>
              <w:jc w:val="center"/>
            </w:pPr>
            <w:r>
              <w:rPr>
                <w:b/>
                <w:sz w:val="18"/>
                <w:szCs w:val="18"/>
              </w:rPr>
              <w:t xml:space="preserve">Q2 2026</w:t>
            </w:r>
          </w:p>
        </w:tc>
      </w:tr>
      <w:tr>
        <w:tc>
          <w:tcPr>
            <w:tcW w:w="4072" w:type="dxa"/>
            <w:vAlign w:val="center"/>
          </w:tcPr>
          <w:p>
            <w:pPr>
              <w:spacing w:before="0" w:after="0"/>
              <w:jc w:val="left"/>
            </w:pPr>
            <w:r>
              <w:rPr>
                <w:sz w:val="18"/>
                <w:szCs w:val="18"/>
              </w:rPr>
              <w:t xml:space="preserve">Operating lease right-of-use assets</w:t>
            </w:r>
          </w:p>
        </w:tc>
        <w:tc>
          <w:tcPr>
            <w:tcW w:w="2500" w:type="dxa"/>
            <w:vAlign w:val="center"/>
          </w:tcPr>
          <w:p>
            <w:pPr>
              <w:spacing w:before="0" w:after="0"/>
              <w:jc w:val="right"/>
            </w:pPr>
            <w:r>
              <w:rPr>
                <w:sz w:val="18"/>
                <w:szCs w:val="18"/>
              </w:rPr>
              <w:t xml:space="preserve">20,099</w:t>
            </w:r>
          </w:p>
        </w:tc>
        <w:tc>
          <w:tcPr>
            <w:tcW w:w="2500" w:type="dxa"/>
            <w:vAlign w:val="center"/>
          </w:tcPr>
          <w:p>
            <w:pPr>
              <w:spacing w:before="0" w:after="0"/>
              <w:jc w:val="right"/>
            </w:pPr>
            <w:r>
              <w:rPr>
                <w:sz w:val="18"/>
                <w:szCs w:val="18"/>
              </w:rPr>
              <w:t xml:space="preserve">22,123</w:t>
            </w:r>
          </w:p>
        </w:tc>
      </w:tr>
      <w:tr>
        <w:tc>
          <w:tcPr>
            <w:tcW w:w="4072" w:type="dxa"/>
            <w:vAlign w:val="center"/>
          </w:tcPr>
          <w:p>
            <w:pPr>
              <w:spacing w:before="0" w:after="0"/>
              <w:jc w:val="left"/>
            </w:pPr>
            <w:r>
              <w:rPr>
                <w:sz w:val="18"/>
                <w:szCs w:val="18"/>
              </w:rPr>
              <w:t xml:space="preserve">Current portion of long-term debt</w:t>
            </w:r>
          </w:p>
        </w:tc>
        <w:tc>
          <w:tcPr>
            <w:tcW w:w="2500" w:type="dxa"/>
            <w:vAlign w:val="center"/>
          </w:tcPr>
          <w:p>
            <w:pPr>
              <w:spacing w:before="0" w:after="0"/>
              <w:jc w:val="right"/>
            </w:pPr>
            <w:r>
              <w:rPr>
                <w:sz w:val="18"/>
                <w:szCs w:val="18"/>
              </w:rPr>
              <w:t xml:space="preserve">19,961</w:t>
            </w:r>
          </w:p>
        </w:tc>
        <w:tc>
          <w:tcPr>
            <w:tcW w:w="2500" w:type="dxa"/>
            <w:vAlign w:val="center"/>
          </w:tcPr>
          <w:p>
            <w:pPr>
              <w:spacing w:before="0" w:after="0"/>
              <w:jc w:val="right"/>
            </w:pPr>
            <w:r>
              <w:rPr>
                <w:sz w:val="18"/>
                <w:szCs w:val="18"/>
              </w:rPr>
              <w:t xml:space="preserve">22,308</w:t>
            </w:r>
          </w:p>
        </w:tc>
      </w:tr>
      <w:tr>
        <w:tc>
          <w:tcPr>
            <w:tcW w:w="4072" w:type="dxa"/>
            <w:vAlign w:val="center"/>
          </w:tcPr>
          <w:p>
            <w:pPr>
              <w:spacing w:before="0" w:after="0"/>
              <w:jc w:val="left"/>
            </w:pPr>
            <w:r>
              <w:rPr>
                <w:sz w:val="18"/>
                <w:szCs w:val="18"/>
              </w:rPr>
              <w:t xml:space="preserve">Deferred income taxes</w:t>
            </w:r>
          </w:p>
        </w:tc>
        <w:tc>
          <w:tcPr>
            <w:tcW w:w="2500" w:type="dxa"/>
            <w:vAlign w:val="center"/>
          </w:tcPr>
          <w:p>
            <w:pPr>
              <w:spacing w:before="0" w:after="0"/>
              <w:jc w:val="right"/>
            </w:pPr>
            <w:r>
              <w:rPr>
                <w:sz w:val="18"/>
                <w:szCs w:val="18"/>
              </w:rPr>
              <w:t xml:space="preserve">12,348</w:t>
            </w:r>
          </w:p>
        </w:tc>
        <w:tc>
          <w:tcPr>
            <w:tcW w:w="2500" w:type="dxa"/>
            <w:vAlign w:val="center"/>
          </w:tcPr>
          <w:p>
            <w:pPr>
              <w:spacing w:before="0" w:after="0"/>
              <w:jc w:val="right"/>
            </w:pPr>
            <w:r>
              <w:rPr>
                <w:sz w:val="18"/>
                <w:szCs w:val="18"/>
              </w:rPr>
              <w:t xml:space="preserve">12,535</w:t>
            </w:r>
          </w:p>
        </w:tc>
      </w:tr>
      <w:tr>
        <w:tc>
          <w:tcPr>
            <w:tcW w:w="4072" w:type="dxa"/>
            <w:vAlign w:val="center"/>
          </w:tcPr>
          <w:p>
            <w:pPr>
              <w:spacing w:before="0" w:after="0"/>
              <w:jc w:val="left"/>
            </w:pPr>
            <w:r>
              <w:rPr>
                <w:sz w:val="18"/>
                <w:szCs w:val="18"/>
              </w:rPr>
              <w:t xml:space="preserve">Accrued payroll and benefits</w:t>
            </w:r>
          </w:p>
        </w:tc>
        <w:tc>
          <w:tcPr>
            <w:tcW w:w="2500" w:type="dxa"/>
            <w:vAlign w:val="center"/>
          </w:tcPr>
          <w:p>
            <w:pPr>
              <w:spacing w:before="0" w:after="0"/>
              <w:jc w:val="right"/>
            </w:pPr>
            <w:r>
              <w:rPr>
                <w:sz w:val="18"/>
                <w:szCs w:val="18"/>
              </w:rPr>
              <w:t xml:space="preserve">17,887</w:t>
            </w:r>
          </w:p>
        </w:tc>
        <w:tc>
          <w:tcPr>
            <w:tcW w:w="2500" w:type="dxa"/>
            <w:vAlign w:val="center"/>
          </w:tcPr>
          <w:p>
            <w:pPr>
              <w:spacing w:before="0" w:after="0"/>
              <w:jc w:val="right"/>
            </w:pPr>
            <w:r>
              <w:rPr>
                <w:sz w:val="18"/>
                <w:szCs w:val="18"/>
              </w:rPr>
              <w:t xml:space="preserve">18,915</w:t>
            </w:r>
          </w:p>
        </w:tc>
      </w:tr>
      <w:tr>
        <w:tc>
          <w:tcPr>
            <w:tcW w:w="4072" w:type="dxa"/>
            <w:vAlign w:val="center"/>
          </w:tcPr>
          <w:p>
            <w:pPr>
              <w:spacing w:before="0" w:after="0"/>
              <w:jc w:val="left"/>
            </w:pPr>
            <w:r>
              <w:rPr>
                <w:sz w:val="18"/>
                <w:szCs w:val="18"/>
              </w:rPr>
              <w:t xml:space="preserve">Operating lease liabilities, net of current portion</w:t>
            </w:r>
          </w:p>
        </w:tc>
        <w:tc>
          <w:tcPr>
            <w:tcW w:w="2500" w:type="dxa"/>
            <w:vAlign w:val="center"/>
          </w:tcPr>
          <w:p>
            <w:pPr>
              <w:spacing w:before="0" w:after="0"/>
              <w:jc w:val="right"/>
            </w:pPr>
            <w:r>
              <w:rPr>
                <w:sz w:val="18"/>
                <w:szCs w:val="18"/>
              </w:rPr>
              <w:t xml:space="preserve">28,832</w:t>
            </w:r>
          </w:p>
        </w:tc>
        <w:tc>
          <w:tcPr>
            <w:tcW w:w="2500" w:type="dxa"/>
            <w:vAlign w:val="center"/>
          </w:tcPr>
          <w:p>
            <w:pPr>
              <w:spacing w:before="0" w:after="0"/>
              <w:jc w:val="right"/>
            </w:pPr>
            <w:r>
              <w:rPr>
                <w:sz w:val="18"/>
                <w:szCs w:val="18"/>
              </w:rPr>
              <w:t xml:space="preserve">34,090</w:t>
            </w:r>
          </w:p>
        </w:tc>
      </w:tr>
      <w:tr>
        <w:tc>
          <w:tcPr>
            <w:tcW w:w="4072" w:type="dxa"/>
            <w:vAlign w:val="center"/>
          </w:tcPr>
          <w:p>
            <w:pPr>
              <w:spacing w:before="0" w:after="0"/>
              <w:jc w:val="left"/>
            </w:pPr>
            <w:r>
              <w:rPr>
                <w:sz w:val="18"/>
                <w:szCs w:val="18"/>
              </w:rPr>
              <w:t xml:space="preserve">Accounts payable</w:t>
            </w:r>
          </w:p>
        </w:tc>
        <w:tc>
          <w:tcPr>
            <w:tcW w:w="2500" w:type="dxa"/>
            <w:vAlign w:val="center"/>
          </w:tcPr>
          <w:p>
            <w:pPr>
              <w:spacing w:before="0" w:after="0"/>
              <w:jc w:val="right"/>
            </w:pPr>
            <w:r>
              <w:rPr>
                <w:sz w:val="18"/>
                <w:szCs w:val="18"/>
              </w:rPr>
              <w:t xml:space="preserve">29,960</w:t>
            </w:r>
          </w:p>
        </w:tc>
        <w:tc>
          <w:tcPr>
            <w:tcW w:w="2500" w:type="dxa"/>
            <w:vAlign w:val="center"/>
          </w:tcPr>
          <w:p>
            <w:pPr>
              <w:spacing w:before="0" w:after="0"/>
              <w:jc w:val="right"/>
            </w:pPr>
            <w:r>
              <w:rPr>
                <w:sz w:val="18"/>
                <w:szCs w:val="18"/>
              </w:rPr>
              <w:t xml:space="preserve">32,110</w:t>
            </w:r>
          </w:p>
        </w:tc>
      </w:tr>
    </w:tbl>
    <w:p>
      <w:pPr/>
    </w:p>
    <w:p>
      <w:pPr>
        <w:keepNext/>
      </w:pPr>
      <w:r>
        <w:rPr>
          <w:b/>
        </w:rPr>
        <w:t xml:space="preserve">8. Debt</w:t>
      </w:r>
    </w:p>
    <w:p>
      <w:pPr>
        <w:ind w:left="0" w:firstLine="360"/>
      </w:pPr>
      <w:r>
        <w:t xml:space="preserve">At the end of the fiscal year, Nimbus Coffee operated 182 company-operated stores in eight regions: Northfield, Eastbay, Southport, Westridge, Lakeside, Hillcrest, Riverside and Harborview. Net cash provided by operating activities was $233,407 thousand, mainly reflecting net income and depreciation and amortization. Capital expenditures totaled $11,612 thousand and consisted mainly of the build-out of new stores, the remodeling of existing stores and a second roasting line at the Northfield roastery.</w:t>
      </w:r>
    </w:p>
    <w:p>
      <w:pPr>
        <w:ind w:left="0" w:firstLine="360"/>
      </w:pPr>
      <w:r>
        <w:t xml:space="preserve">The ability of Nimbus Coffee to open new stores depends on finding suitable sites on acceptable lease terms and on hiring and training store managers. The ability of the Group to open new stores depends on finding suitable sites on acceptable lease terms and on hiring and training store managers. Orders placed through the online store, including orders for pickup in store and home delivery of whole beans, accounted for 41.8% of revenue in the Beverages and Beans categories.</w:t>
      </w:r>
    </w:p>
    <w:p>
      <w:pPr>
        <w:keepNext/>
      </w:pPr>
      <w:r>
        <w:rPr>
          <w:b/>
        </w:rPr>
        <w:t xml:space="preserve">9. Stock-based compensation</w:t>
      </w:r>
    </w:p>
    <w:p>
      <w:pPr>
        <w:ind w:left="0" w:firstLine="360"/>
      </w:pPr>
      <w:r>
        <w:t xml:space="preserve">Revenue from stores in the Westridge region increased 15.7% compared with the prior year, while its share of total revenue was little changed. Orders placed through the online store, including orders for pickup in store and home delivery of whole beans, accounted for 25.9% of revenue in the Beverages and Beans categories. The Group holds no derivatives other than coffee futures contracts used to fix the price of part of its future green coffee purchases. The Group holds no derivatives other than coffee futures contracts used to fix the price of part of its future green coffee purchases.</w:t>
      </w:r>
    </w:p>
    <w:p>
      <w:pPr>
        <w:ind w:left="0" w:firstLine="360"/>
      </w:pPr>
      <w:r>
        <w:t xml:space="preserve">Net cash used in investing activities was $16,110 thousand, primarily for purchases of property and equipment. At the end of the fiscal year, Nimbus Coffee operated 163 company-operated stores in eight regions: Northfield, Eastbay, Southport, Westridge, Lakeside, Hillcrest, Riverside and Harborview. At the end of the fiscal year, Nimbus Coffee operated 186 company-operated stores in eight regions: Northfield, Eastbay, Southport, Westridge, Lakeside, Hillcrest, Riverside and Harborview. The roastery produced 859 thousand pounds of roasted coffee during the fiscal year, of which 4.8% was sold through company-operated stores. The Company leases all of its store premises under operating leases with initial terms of ten years, most of which include options to renew.</w:t>
      </w:r>
    </w:p>
    <w:p>
      <w:pPr>
        <w:ind w:left="0" w:firstLine="360"/>
      </w:pPr>
      <w:r>
        <w:t xml:space="preserve">Total revenue for the fiscal year was $74,470 thousand, an increase of 12.8% over the prior year, and operating income was $11,031 thousand, an increase of 8.8%. Occupancy costs increased to $27,477 thousand, reflecting rent for new stores and scheduled rent increases at existing locations. Baristas complete a four-week training course before working on the floor, and store managers complete a further course at the Northfield training center. The Group leases all of its store premises under operating leases with initial terms of ten years, most of which include options to renew. The roastery produced 508 thousand pounds of roasted coffee during the fiscal year, of which 45.3% was sold through company-operated stores.</w:t>
      </w:r>
    </w:p>
    <w:tbl>
      <w:tblPr>
        <w:tblW w:w="907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72" w:type="dxa"/>
          <w:right w:w="72" w:type="dxa"/>
        </w:tblCellMar>
      </w:tblPr>
      <w:tblGrid>
        <w:gridCol w:w="4072"/>
        <w:gridCol w:w="2500"/>
        <w:gridCol w:w="2500"/>
      </w:tblGrid>
      <w:tr>
        <w:trPr>
          <w:tblHeader/>
        </w:trPr>
        <w:tc>
          <w:tcPr>
            <w:tcW w:w="4072" w:type="dxa"/>
            <w:shd w:val="clear" w:color="auto" w:fill="DDEBF7"/>
            <w:vAlign w:val="center"/>
          </w:tcPr>
          <w:p>
            <w:pPr>
              <w:spacing w:before="0" w:after="0"/>
              <w:jc w:val="center"/>
            </w:pPr>
            <w:r>
              <w:rPr>
                <w:b/>
                <w:sz w:val="18"/>
                <w:szCs w:val="18"/>
              </w:rPr>
              <w:t xml:space="preserve">Item</w:t>
            </w:r>
          </w:p>
        </w:tc>
        <w:tc>
          <w:tcPr>
            <w:tcW w:w="2500" w:type="dxa"/>
            <w:shd w:val="clear" w:color="auto" w:fill="DDEBF7"/>
            <w:vAlign w:val="center"/>
          </w:tcPr>
          <w:p>
            <w:pPr>
              <w:spacing w:before="0" w:after="0"/>
              <w:jc w:val="center"/>
            </w:pPr>
            <w:r>
              <w:rPr>
                <w:b/>
                <w:sz w:val="18"/>
                <w:szCs w:val="18"/>
              </w:rPr>
              <w:t xml:space="preserve">Q2 2025</w:t>
            </w:r>
          </w:p>
        </w:tc>
        <w:tc>
          <w:tcPr>
            <w:tcW w:w="2500" w:type="dxa"/>
            <w:shd w:val="clear" w:color="auto" w:fill="DDEBF7"/>
            <w:vAlign w:val="center"/>
          </w:tcPr>
          <w:p>
            <w:pPr>
              <w:spacing w:before="0" w:after="0"/>
              <w:jc w:val="center"/>
            </w:pPr>
            <w:r>
              <w:rPr>
                <w:b/>
                <w:sz w:val="18"/>
                <w:szCs w:val="18"/>
              </w:rPr>
              <w:t xml:space="preserve">Q2 2026</w:t>
            </w:r>
          </w:p>
        </w:tc>
      </w:tr>
      <w:tr>
        <w:tc>
          <w:tcPr>
            <w:tcW w:w="4072" w:type="dxa"/>
            <w:vAlign w:val="center"/>
          </w:tcPr>
          <w:p>
            <w:pPr>
              <w:spacing w:before="0" w:after="0"/>
              <w:jc w:val="left"/>
            </w:pPr>
            <w:r>
              <w:rPr>
                <w:sz w:val="18"/>
                <w:szCs w:val="18"/>
              </w:rPr>
              <w:t xml:space="preserve">Operating lease right-of-use assets</w:t>
            </w:r>
          </w:p>
        </w:tc>
        <w:tc>
          <w:tcPr>
            <w:tcW w:w="2500" w:type="dxa"/>
            <w:vAlign w:val="center"/>
          </w:tcPr>
          <w:p>
            <w:pPr>
              <w:spacing w:before="0" w:after="0"/>
              <w:jc w:val="right"/>
            </w:pPr>
            <w:r>
              <w:rPr>
                <w:sz w:val="18"/>
                <w:szCs w:val="18"/>
              </w:rPr>
              <w:t xml:space="preserve">25,944</w:t>
            </w:r>
          </w:p>
        </w:tc>
        <w:tc>
          <w:tcPr>
            <w:tcW w:w="2500" w:type="dxa"/>
            <w:vAlign w:val="center"/>
          </w:tcPr>
          <w:p>
            <w:pPr>
              <w:spacing w:before="0" w:after="0"/>
              <w:jc w:val="right"/>
            </w:pPr>
            <w:r>
              <w:rPr>
                <w:sz w:val="18"/>
                <w:szCs w:val="18"/>
              </w:rPr>
              <w:t xml:space="preserve">28,983</w:t>
            </w:r>
          </w:p>
        </w:tc>
      </w:tr>
      <w:tr>
        <w:tc>
          <w:tcPr>
            <w:tcW w:w="4072" w:type="dxa"/>
            <w:vAlign w:val="center"/>
          </w:tcPr>
          <w:p>
            <w:pPr>
              <w:spacing w:before="0" w:after="0"/>
              <w:jc w:val="left"/>
            </w:pPr>
            <w:r>
              <w:rPr>
                <w:sz w:val="18"/>
                <w:szCs w:val="18"/>
              </w:rPr>
              <w:t xml:space="preserve">Other accrued liabilities</w:t>
            </w:r>
          </w:p>
        </w:tc>
        <w:tc>
          <w:tcPr>
            <w:tcW w:w="2500" w:type="dxa"/>
            <w:vAlign w:val="center"/>
          </w:tcPr>
          <w:p>
            <w:pPr>
              <w:spacing w:before="0" w:after="0"/>
              <w:jc w:val="right"/>
            </w:pPr>
            <w:r>
              <w:rPr>
                <w:sz w:val="18"/>
                <w:szCs w:val="18"/>
              </w:rPr>
              <w:t xml:space="preserve">32,377</w:t>
            </w:r>
          </w:p>
        </w:tc>
        <w:tc>
          <w:tcPr>
            <w:tcW w:w="2500" w:type="dxa"/>
            <w:vAlign w:val="center"/>
          </w:tcPr>
          <w:p>
            <w:pPr>
              <w:spacing w:before="0" w:after="0"/>
              <w:jc w:val="right"/>
            </w:pPr>
            <w:r>
              <w:rPr>
                <w:sz w:val="18"/>
                <w:szCs w:val="18"/>
              </w:rPr>
              <w:t xml:space="preserve">35,929</w:t>
            </w:r>
          </w:p>
        </w:tc>
      </w:tr>
      <w:tr>
        <w:tc>
          <w:tcPr>
            <w:tcW w:w="4072" w:type="dxa"/>
            <w:vAlign w:val="center"/>
          </w:tcPr>
          <w:p>
            <w:pPr>
              <w:spacing w:before="0" w:after="0"/>
              <w:jc w:val="left"/>
            </w:pPr>
            <w:r>
              <w:rPr>
                <w:sz w:val="18"/>
                <w:szCs w:val="18"/>
              </w:rPr>
              <w:t xml:space="preserve">Cash and cash equivalents</w:t>
            </w:r>
          </w:p>
        </w:tc>
        <w:tc>
          <w:tcPr>
            <w:tcW w:w="2500" w:type="dxa"/>
            <w:vAlign w:val="center"/>
          </w:tcPr>
          <w:p>
            <w:pPr>
              <w:spacing w:before="0" w:after="0"/>
              <w:jc w:val="right"/>
            </w:pPr>
            <w:r>
              <w:rPr>
                <w:sz w:val="18"/>
                <w:szCs w:val="18"/>
              </w:rPr>
              <w:t xml:space="preserve">24,528</w:t>
            </w:r>
          </w:p>
        </w:tc>
        <w:tc>
          <w:tcPr>
            <w:tcW w:w="2500" w:type="dxa"/>
            <w:vAlign w:val="center"/>
          </w:tcPr>
          <w:p>
            <w:pPr>
              <w:spacing w:before="0" w:after="0"/>
              <w:jc w:val="right"/>
            </w:pPr>
            <w:r>
              <w:rPr>
                <w:sz w:val="18"/>
                <w:szCs w:val="18"/>
              </w:rPr>
              <w:t xml:space="preserve">28,660</w:t>
            </w:r>
          </w:p>
        </w:tc>
      </w:tr>
      <w:tr>
        <w:tc>
          <w:tcPr>
            <w:tcW w:w="4072" w:type="dxa"/>
            <w:vAlign w:val="center"/>
          </w:tcPr>
          <w:p>
            <w:pPr>
              <w:spacing w:before="0" w:after="0"/>
              <w:jc w:val="left"/>
            </w:pPr>
            <w:r>
              <w:rPr>
                <w:sz w:val="18"/>
                <w:szCs w:val="18"/>
              </w:rPr>
              <w:t xml:space="preserve">Income taxes payable</w:t>
            </w:r>
          </w:p>
        </w:tc>
        <w:tc>
          <w:tcPr>
            <w:tcW w:w="2500" w:type="dxa"/>
            <w:vAlign w:val="center"/>
          </w:tcPr>
          <w:p>
            <w:pPr>
              <w:spacing w:before="0" w:after="0"/>
              <w:jc w:val="right"/>
            </w:pPr>
            <w:r>
              <w:rPr>
                <w:sz w:val="18"/>
                <w:szCs w:val="18"/>
              </w:rPr>
              <w:t xml:space="preserve">29,263</w:t>
            </w:r>
          </w:p>
        </w:tc>
        <w:tc>
          <w:tcPr>
            <w:tcW w:w="2500" w:type="dxa"/>
            <w:vAlign w:val="center"/>
          </w:tcPr>
          <w:p>
            <w:pPr>
              <w:spacing w:before="0" w:after="0"/>
              <w:jc w:val="right"/>
            </w:pPr>
            <w:r>
              <w:rPr>
                <w:sz w:val="18"/>
                <w:szCs w:val="18"/>
              </w:rPr>
              <w:t xml:space="preserve">33,769</w:t>
            </w:r>
          </w:p>
        </w:tc>
      </w:tr>
      <w:tr>
        <w:tc>
          <w:tcPr>
            <w:tcW w:w="4072" w:type="dxa"/>
            <w:vAlign w:val="center"/>
          </w:tcPr>
          <w:p>
            <w:pPr>
              <w:spacing w:before="0" w:after="0"/>
              <w:jc w:val="left"/>
            </w:pPr>
            <w:r>
              <w:rPr>
                <w:sz w:val="18"/>
                <w:szCs w:val="18"/>
              </w:rPr>
              <w:t xml:space="preserve">Accounts receivable, net</w:t>
            </w:r>
          </w:p>
        </w:tc>
        <w:tc>
          <w:tcPr>
            <w:tcW w:w="2500" w:type="dxa"/>
            <w:vAlign w:val="center"/>
          </w:tcPr>
          <w:p>
            <w:pPr>
              <w:spacing w:before="0" w:after="0"/>
              <w:jc w:val="right"/>
            </w:pPr>
            <w:r>
              <w:rPr>
                <w:sz w:val="18"/>
                <w:szCs w:val="18"/>
              </w:rPr>
              <w:t xml:space="preserve">7,626</w:t>
            </w:r>
          </w:p>
        </w:tc>
        <w:tc>
          <w:tcPr>
            <w:tcW w:w="2500" w:type="dxa"/>
            <w:vAlign w:val="center"/>
          </w:tcPr>
          <w:p>
            <w:pPr>
              <w:spacing w:before="0" w:after="0"/>
              <w:jc w:val="right"/>
            </w:pPr>
            <w:r>
              <w:rPr>
                <w:sz w:val="18"/>
                <w:szCs w:val="18"/>
              </w:rPr>
              <w:t xml:space="preserve">7,865</w:t>
            </w:r>
          </w:p>
        </w:tc>
      </w:tr>
      <w:tr>
        <w:tc>
          <w:tcPr>
            <w:tcW w:w="4072" w:type="dxa"/>
            <w:vAlign w:val="center"/>
          </w:tcPr>
          <w:p>
            <w:pPr>
              <w:spacing w:before="0" w:after="0"/>
              <w:jc w:val="left"/>
            </w:pPr>
            <w:r>
              <w:rPr>
                <w:sz w:val="18"/>
                <w:szCs w:val="18"/>
              </w:rPr>
              <w:t xml:space="preserve">Operating lease right-of-use assets</w:t>
            </w:r>
          </w:p>
        </w:tc>
        <w:tc>
          <w:tcPr>
            <w:tcW w:w="2500" w:type="dxa"/>
            <w:vAlign w:val="center"/>
          </w:tcPr>
          <w:p>
            <w:pPr>
              <w:spacing w:before="0" w:after="0"/>
              <w:jc w:val="right"/>
            </w:pPr>
            <w:r>
              <w:rPr>
                <w:sz w:val="18"/>
                <w:szCs w:val="18"/>
              </w:rPr>
              <w:t xml:space="preserve">24,647</w:t>
            </w:r>
          </w:p>
        </w:tc>
        <w:tc>
          <w:tcPr>
            <w:tcW w:w="2500" w:type="dxa"/>
            <w:vAlign w:val="center"/>
          </w:tcPr>
          <w:p>
            <w:pPr>
              <w:spacing w:before="0" w:after="0"/>
              <w:jc w:val="right"/>
            </w:pPr>
            <w:r>
              <w:rPr>
                <w:sz w:val="18"/>
                <w:szCs w:val="18"/>
              </w:rPr>
              <w:t xml:space="preserve">28,961</w:t>
            </w:r>
          </w:p>
        </w:tc>
      </w:tr>
    </w:tbl>
    <w:p>
      <w:pPr/>
    </w:p>
    <w:p>
      <w:pPr>
        <w:keepNext/>
      </w:pPr>
      <w:r>
        <w:rPr>
          <w:b/>
        </w:rPr>
        <w:t xml:space="preserve">10. Income taxes</w:t>
      </w:r>
    </w:p>
    <w:p>
      <w:pPr>
        <w:ind w:left="0" w:firstLine="360"/>
      </w:pPr>
      <w:r>
        <w:t xml:space="preserve">Baristas complete a four-week training course before working on the floor, and store managers complete a further course at the Northfield training center. The price of green coffee is volatile, and a sustained increase could reduce gross margin if the Company is unable to pass the cost on to customers through menu prices. Food safety incidents, whether or not they occur at our stores, could harm the reputation of the Nimbus Coffee brand and reduce customer traffic. The Group buys 48.4% of its green coffee by volume from farms certified under recognized sustainability standards. The price of green coffee is volatile, and a sustained increase could reduce gross margin if the Group is unable to pass the cost on to customers through menu prices.</w:t>
      </w:r>
    </w:p>
    <w:p>
      <w:pPr>
        <w:ind w:left="0" w:firstLine="360"/>
      </w:pPr>
      <w:r>
        <w:t xml:space="preserve">Inventories consist of green coffee, roasted coffee, packaging, food and merchandise, and are stated at the lower of cost and net realizable value. At the end of the fiscal year, Nimbus Coffee operated 158 company-operated stores in eight regions: Northfield, Eastbay, Southport, Westridge, Lakeside, Hillcrest, Riverside and Harborview. Nimbus Coffee depends on a small number of dairy and bakery suppliers in each region, and an interruption in their deliveries could affect sales at the stores they serve. The Company operates specialty coffee shops under the Nimbus Coffee name and roasts all of the coffee it serves at its own roastery in Northfield. Each store is managed by a store manager who reports to a district manager, and district managers report to the director for their region.</w:t>
      </w:r>
    </w:p>
    <w:p>
      <w:pPr>
        <w:keepNext/>
      </w:pPr>
      <w:r>
        <w:rPr>
          <w:b/>
        </w:rPr>
        <w:t xml:space="preserve">11. Segment reporting</w:t>
      </w:r>
    </w:p>
    <w:p>
      <w:pPr>
        <w:ind w:left="0" w:firstLine="360"/>
      </w:pPr>
      <w:r>
        <w:t xml:space="preserve">The Company intends to pay dividends out of retained earnings while keeping sufficient funds to finance the opening of new stores. During the fiscal year, the Company opened 12 new stores and closed 1 stores whose leases expired. Nimbus Coffee leases all of its store premises under operating leases with initial terms of ten years, most of which include options to renew. The loyalty program had 669 thousand active members at the end of the fiscal year, and purchases by members accounted for 61.8% of store revenue.</w:t>
      </w:r>
    </w:p>
    <w:p>
      <w:pPr>
        <w:ind w:left="0" w:firstLine="360"/>
      </w:pPr>
      <w:r>
        <w:t xml:space="preserve">Merchandise sales, consisting of mugs, brewing equipment and seasonal gift sets, are highest in the fourth quarter of each year. Store operating expenses, which consist mainly of wages, benefits and supplies, were 31.9% of revenue, compared with 33.5% in the prior year. The Group operates specialty coffee shops under the Nimbus Coffee name and roasts all of the coffee it serves at its own roastery in Northfield. Capital expenditures totaled $21,099 thousand and consisted mainly of the build-out of new stores, the remodeling of existing stores and a second roasting line at the Northfield roastery. During the fiscal year, the Company opened 13 new stores and closed 5 stores whose leases expired. Revenue from company-operated stores was $17,217 thousand, or 37.5% of total revenue.</w:t>
      </w:r>
    </w:p>
    <w:tbl>
      <w:tblPr>
        <w:tblW w:w="907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72" w:type="dxa"/>
          <w:right w:w="72" w:type="dxa"/>
        </w:tblCellMar>
      </w:tblPr>
      <w:tblGrid>
        <w:gridCol w:w="4072"/>
        <w:gridCol w:w="2500"/>
        <w:gridCol w:w="2500"/>
      </w:tblGrid>
      <w:tr>
        <w:trPr>
          <w:tblHeader/>
        </w:trPr>
        <w:tc>
          <w:tcPr>
            <w:tcW w:w="4072" w:type="dxa"/>
            <w:shd w:val="clear" w:color="auto" w:fill="DDEBF7"/>
            <w:vAlign w:val="center"/>
          </w:tcPr>
          <w:p>
            <w:pPr>
              <w:spacing w:before="0" w:after="0"/>
              <w:jc w:val="center"/>
            </w:pPr>
            <w:r>
              <w:rPr>
                <w:b/>
                <w:sz w:val="18"/>
                <w:szCs w:val="18"/>
              </w:rPr>
              <w:t xml:space="preserve">Item</w:t>
            </w:r>
          </w:p>
        </w:tc>
        <w:tc>
          <w:tcPr>
            <w:tcW w:w="2500" w:type="dxa"/>
            <w:shd w:val="clear" w:color="auto" w:fill="DDEBF7"/>
            <w:vAlign w:val="center"/>
          </w:tcPr>
          <w:p>
            <w:pPr>
              <w:spacing w:before="0" w:after="0"/>
              <w:jc w:val="center"/>
            </w:pPr>
            <w:r>
              <w:rPr>
                <w:b/>
                <w:sz w:val="18"/>
                <w:szCs w:val="18"/>
              </w:rPr>
              <w:t xml:space="preserve">Q2 2025</w:t>
            </w:r>
          </w:p>
        </w:tc>
        <w:tc>
          <w:tcPr>
            <w:tcW w:w="2500" w:type="dxa"/>
            <w:shd w:val="clear" w:color="auto" w:fill="DDEBF7"/>
            <w:vAlign w:val="center"/>
          </w:tcPr>
          <w:p>
            <w:pPr>
              <w:spacing w:before="0" w:after="0"/>
              <w:jc w:val="center"/>
            </w:pPr>
            <w:r>
              <w:rPr>
                <w:b/>
                <w:sz w:val="18"/>
                <w:szCs w:val="18"/>
              </w:rPr>
              <w:t xml:space="preserve">Q2 2026</w:t>
            </w:r>
          </w:p>
        </w:tc>
      </w:tr>
      <w:tr>
        <w:tc>
          <w:tcPr>
            <w:tcW w:w="4072" w:type="dxa"/>
            <w:vAlign w:val="center"/>
          </w:tcPr>
          <w:p>
            <w:pPr>
              <w:spacing w:before="0" w:after="0"/>
              <w:jc w:val="left"/>
            </w:pPr>
            <w:r>
              <w:rPr>
                <w:sz w:val="18"/>
                <w:szCs w:val="18"/>
              </w:rPr>
              <w:t xml:space="preserve">Property and equipment, net</w:t>
            </w:r>
          </w:p>
        </w:tc>
        <w:tc>
          <w:tcPr>
            <w:tcW w:w="2500" w:type="dxa"/>
            <w:vAlign w:val="center"/>
          </w:tcPr>
          <w:p>
            <w:pPr>
              <w:spacing w:before="0" w:after="0"/>
              <w:jc w:val="right"/>
            </w:pPr>
            <w:r>
              <w:rPr>
                <w:sz w:val="18"/>
                <w:szCs w:val="18"/>
              </w:rPr>
              <w:t xml:space="preserve">35,732</w:t>
            </w:r>
          </w:p>
        </w:tc>
        <w:tc>
          <w:tcPr>
            <w:tcW w:w="2500" w:type="dxa"/>
            <w:vAlign w:val="center"/>
          </w:tcPr>
          <w:p>
            <w:pPr>
              <w:spacing w:before="0" w:after="0"/>
              <w:jc w:val="right"/>
            </w:pPr>
            <w:r>
              <w:rPr>
                <w:sz w:val="18"/>
                <w:szCs w:val="18"/>
              </w:rPr>
              <w:t xml:space="preserve">41,450</w:t>
            </w:r>
          </w:p>
        </w:tc>
      </w:tr>
      <w:tr>
        <w:tc>
          <w:tcPr>
            <w:tcW w:w="4072" w:type="dxa"/>
            <w:vAlign w:val="center"/>
          </w:tcPr>
          <w:p>
            <w:pPr>
              <w:spacing w:before="0" w:after="0"/>
              <w:jc w:val="left"/>
            </w:pPr>
            <w:r>
              <w:rPr>
                <w:sz w:val="18"/>
                <w:szCs w:val="18"/>
              </w:rPr>
              <w:t xml:space="preserve">Accounts receivable, net</w:t>
            </w:r>
          </w:p>
        </w:tc>
        <w:tc>
          <w:tcPr>
            <w:tcW w:w="2500" w:type="dxa"/>
            <w:vAlign w:val="center"/>
          </w:tcPr>
          <w:p>
            <w:pPr>
              <w:spacing w:before="0" w:after="0"/>
              <w:jc w:val="right"/>
            </w:pPr>
            <w:r>
              <w:rPr>
                <w:sz w:val="18"/>
                <w:szCs w:val="18"/>
              </w:rPr>
              <w:t xml:space="preserve">27,253</w:t>
            </w:r>
          </w:p>
        </w:tc>
        <w:tc>
          <w:tcPr>
            <w:tcW w:w="2500" w:type="dxa"/>
            <w:vAlign w:val="center"/>
          </w:tcPr>
          <w:p>
            <w:pPr>
              <w:spacing w:before="0" w:after="0"/>
              <w:jc w:val="right"/>
            </w:pPr>
            <w:r>
              <w:rPr>
                <w:sz w:val="18"/>
                <w:szCs w:val="18"/>
              </w:rPr>
              <w:t xml:space="preserve">28,862</w:t>
            </w:r>
          </w:p>
        </w:tc>
      </w:tr>
      <w:tr>
        <w:tc>
          <w:tcPr>
            <w:tcW w:w="4072" w:type="dxa"/>
            <w:vAlign w:val="center"/>
          </w:tcPr>
          <w:p>
            <w:pPr>
              <w:spacing w:before="0" w:after="0"/>
              <w:jc w:val="left"/>
            </w:pPr>
            <w:r>
              <w:rPr>
                <w:sz w:val="18"/>
                <w:szCs w:val="18"/>
              </w:rPr>
              <w:t xml:space="preserve">Deferred revenue (gift cards and loyalty)</w:t>
            </w:r>
          </w:p>
        </w:tc>
        <w:tc>
          <w:tcPr>
            <w:tcW w:w="2500" w:type="dxa"/>
            <w:vAlign w:val="center"/>
          </w:tcPr>
          <w:p>
            <w:pPr>
              <w:spacing w:before="0" w:after="0"/>
              <w:jc w:val="right"/>
            </w:pPr>
            <w:r>
              <w:rPr>
                <w:sz w:val="18"/>
                <w:szCs w:val="18"/>
              </w:rPr>
              <w:t xml:space="preserve">34,379</w:t>
            </w:r>
          </w:p>
        </w:tc>
        <w:tc>
          <w:tcPr>
            <w:tcW w:w="2500" w:type="dxa"/>
            <w:vAlign w:val="center"/>
          </w:tcPr>
          <w:p>
            <w:pPr>
              <w:spacing w:before="0" w:after="0"/>
              <w:jc w:val="right"/>
            </w:pPr>
            <w:r>
              <w:rPr>
                <w:sz w:val="18"/>
                <w:szCs w:val="18"/>
              </w:rPr>
              <w:t xml:space="preserve">39,345</w:t>
            </w:r>
          </w:p>
        </w:tc>
      </w:tr>
      <w:tr>
        <w:tc>
          <w:tcPr>
            <w:tcW w:w="4072" w:type="dxa"/>
            <w:vAlign w:val="center"/>
          </w:tcPr>
          <w:p>
            <w:pPr>
              <w:spacing w:before="0" w:after="0"/>
              <w:jc w:val="left"/>
            </w:pPr>
            <w:r>
              <w:rPr>
                <w:sz w:val="18"/>
                <w:szCs w:val="18"/>
              </w:rPr>
              <w:t xml:space="preserve">Accounts payable</w:t>
            </w:r>
          </w:p>
        </w:tc>
        <w:tc>
          <w:tcPr>
            <w:tcW w:w="2500" w:type="dxa"/>
            <w:vAlign w:val="center"/>
          </w:tcPr>
          <w:p>
            <w:pPr>
              <w:spacing w:before="0" w:after="0"/>
              <w:jc w:val="right"/>
            </w:pPr>
            <w:r>
              <w:rPr>
                <w:sz w:val="18"/>
                <w:szCs w:val="18"/>
              </w:rPr>
              <w:t xml:space="preserve">24,932</w:t>
            </w:r>
          </w:p>
        </w:tc>
        <w:tc>
          <w:tcPr>
            <w:tcW w:w="2500" w:type="dxa"/>
            <w:vAlign w:val="center"/>
          </w:tcPr>
          <w:p>
            <w:pPr>
              <w:spacing w:before="0" w:after="0"/>
              <w:jc w:val="right"/>
            </w:pPr>
            <w:r>
              <w:rPr>
                <w:sz w:val="18"/>
                <w:szCs w:val="18"/>
              </w:rPr>
              <w:t xml:space="preserve">25,530</w:t>
            </w:r>
          </w:p>
        </w:tc>
      </w:tr>
      <w:tr>
        <w:tc>
          <w:tcPr>
            <w:tcW w:w="4072" w:type="dxa"/>
            <w:vAlign w:val="center"/>
          </w:tcPr>
          <w:p>
            <w:pPr>
              <w:spacing w:before="0" w:after="0"/>
              <w:jc w:val="left"/>
            </w:pPr>
            <w:r>
              <w:rPr>
                <w:sz w:val="18"/>
                <w:szCs w:val="18"/>
              </w:rPr>
              <w:t xml:space="preserve">Income taxes payable</w:t>
            </w:r>
          </w:p>
        </w:tc>
        <w:tc>
          <w:tcPr>
            <w:tcW w:w="2500" w:type="dxa"/>
            <w:vAlign w:val="center"/>
          </w:tcPr>
          <w:p>
            <w:pPr>
              <w:spacing w:before="0" w:after="0"/>
              <w:jc w:val="right"/>
            </w:pPr>
            <w:r>
              <w:rPr>
                <w:sz w:val="18"/>
                <w:szCs w:val="18"/>
              </w:rPr>
              <w:t xml:space="preserve">3,691</w:t>
            </w:r>
          </w:p>
        </w:tc>
        <w:tc>
          <w:tcPr>
            <w:tcW w:w="2500" w:type="dxa"/>
            <w:vAlign w:val="center"/>
          </w:tcPr>
          <w:p>
            <w:pPr>
              <w:spacing w:before="0" w:after="0"/>
              <w:jc w:val="right"/>
            </w:pPr>
            <w:r>
              <w:rPr>
                <w:sz w:val="18"/>
                <w:szCs w:val="18"/>
              </w:rPr>
              <w:t xml:space="preserve">4,208</w:t>
            </w:r>
          </w:p>
        </w:tc>
      </w:tr>
      <w:tr>
        <w:tc>
          <w:tcPr>
            <w:tcW w:w="4072" w:type="dxa"/>
            <w:vAlign w:val="center"/>
          </w:tcPr>
          <w:p>
            <w:pPr>
              <w:spacing w:before="0" w:after="0"/>
              <w:jc w:val="left"/>
            </w:pPr>
            <w:r>
              <w:rPr>
                <w:sz w:val="18"/>
                <w:szCs w:val="18"/>
              </w:rPr>
              <w:t xml:space="preserve">Deferred rent and asset retirement obligations</w:t>
            </w:r>
          </w:p>
        </w:tc>
        <w:tc>
          <w:tcPr>
            <w:tcW w:w="2500" w:type="dxa"/>
            <w:vAlign w:val="center"/>
          </w:tcPr>
          <w:p>
            <w:pPr>
              <w:spacing w:before="0" w:after="0"/>
              <w:jc w:val="right"/>
            </w:pPr>
            <w:r>
              <w:rPr>
                <w:sz w:val="18"/>
                <w:szCs w:val="18"/>
              </w:rPr>
              <w:t xml:space="preserve">13,183</w:t>
            </w:r>
          </w:p>
        </w:tc>
        <w:tc>
          <w:tcPr>
            <w:tcW w:w="2500" w:type="dxa"/>
            <w:vAlign w:val="center"/>
          </w:tcPr>
          <w:p>
            <w:pPr>
              <w:spacing w:before="0" w:after="0"/>
              <w:jc w:val="right"/>
            </w:pPr>
            <w:r>
              <w:rPr>
                <w:sz w:val="18"/>
                <w:szCs w:val="18"/>
              </w:rPr>
              <w:t xml:space="preserve">13,439</w:t>
            </w:r>
          </w:p>
        </w:tc>
      </w:tr>
    </w:tbl>
    <w:p>
      <w:pPr/>
    </w:p>
    <w:p>
      <w:pPr>
        <w:keepNext/>
      </w:pPr>
      <w:r>
        <w:rPr>
          <w:b/>
        </w:rPr>
        <w:t xml:space="preserve">12. Related-party transactions</w:t>
      </w:r>
    </w:p>
    <w:p>
      <w:pPr>
        <w:ind w:left="0" w:firstLine="360"/>
      </w:pPr>
      <w:r>
        <w:t xml:space="preserve">At the end of the fiscal year, Nimbus Coffee operated 188 company-operated stores in eight regions: Northfield, Eastbay, Southport, Westridge, Lakeside, Hillcrest, Riverside and Harborview. Inventories consist of green coffee, roasted coffee, packaging, food and merchandise, and are stated at the lower of cost and net realizable value. Capital expenditures totaled $2,999 thousand and consisted mainly of the build-out of new stores, the remodeling of existing stores and a second roasting line at the Northfield roastery.</w:t>
      </w:r>
    </w:p>
    <w:p>
      <w:pPr>
        <w:ind w:left="0" w:firstLine="360"/>
      </w:pPr>
      <w:r>
        <w:t xml:space="preserve">Total revenue for the fiscal year was $173,599 thousand, an increase of 3.1% over the prior year, and operating income was $23,587 thousand, an increase of 22.3%. The Company depends on a small number of dairy and bakery suppliers in each region, and an interruption in their deliveries could affect sales at the stores they serve. Nimbus Coffee depends on a small number of dairy and bakery suppliers in each region, and an interruption in their deliveries could affect sales at the stores they serve. The ability of the Company to open new stores depends on finding suitable sites on acceptable lease terms and on hiring and training store managers. Comparable store sales increased 5.8%, driven by a 4.0% increase in average ticket and a 1.0% increase in transactions. Each store is managed by a store manager who reports to a district manager, and district managers report to the director for their region.</w:t>
      </w:r>
    </w:p>
    <w:p>
      <w:pPr>
        <w:keepNext/>
      </w:pPr>
      <w:r>
        <w:rPr>
          <w:b/>
        </w:rPr>
        <w:t xml:space="preserve">13. Earnings per share</w:t>
      </w:r>
    </w:p>
    <w:p>
      <w:pPr>
        <w:ind w:left="0" w:firstLine="360"/>
      </w:pPr>
      <w:r>
        <w:t xml:space="preserve">Occupancy costs increased to $1,210 thousand, reflecting rent for new stores and scheduled rent increases at existing locations. Orders placed through the online store, including orders for pickup in store and home delivery of whole beans, accounted for 32.5% of revenue in the Beverages and Beans categories. Store operating expenses, which consist mainly of wages, benefits and supplies, were 30.0% of revenue, compared with 30.1% in the prior year. The price of green coffee is volatile, and a sustained increase could reduce gross margin if the Company is unable to pass the cost on to customers through menu prices. Wholesale revenue comes from sales of roasted beans to restaurants, hotels and grocery stores in the regions where the Company operates. Total revenue for the fiscal year was $205,481 thousand, an increase of 14.9% over the prior year, and operating income was $35,045 thousand, an increase of 17.2%.</w:t>
      </w:r>
    </w:p>
    <w:p>
      <w:pPr>
        <w:ind w:left="0" w:firstLine="360"/>
      </w:pPr>
      <w:r>
        <w:t xml:space="preserve">Capital expenditures totaled $24,835 thousand and consisted mainly of the build-out of new stores, the remodeling of existing stores and a second roasting line at the Northfield roastery. Store operating expenses, which consist mainly of wages, benefits and supplies, were 34.0% of revenue, compared with 31.5% in the prior year. Green coffee is purchased from exporters and cooperatives in Central America, South America and East Africa under fixed-price contracts that generally cover the next nine to twelve months of expected needs.</w:t>
      </w:r>
    </w:p>
    <w:p>
      <w:pPr>
        <w:ind w:left="0" w:firstLine="360"/>
      </w:pPr>
      <w:r>
        <w:t xml:space="preserve">Orders placed through the online store, including orders for pickup in store and home delivery of whole beans, accounted for 59.5% of revenue in the Beverages and Beans categories. Net cash used in investing activities was $16,248 thousand, primarily for purchases of property and equipment. Revenue from loyalty rewards is deferred until the reward is redeemed or expires. Merchandise sales, consisting of mugs, brewing equipment and seasonal gift sets, are highest in the fourth quarter of each year. Labor costs are affected by minimum wage laws in the regions where the stores are located, and further increases could reduce store margins.</w:t>
      </w:r>
    </w:p>
    <w:tbl>
      <w:tblPr>
        <w:tblW w:w="907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72" w:type="dxa"/>
          <w:right w:w="72" w:type="dxa"/>
        </w:tblCellMar>
      </w:tblPr>
      <w:tblGrid>
        <w:gridCol w:w="4072"/>
        <w:gridCol w:w="2500"/>
        <w:gridCol w:w="2500"/>
      </w:tblGrid>
      <w:tr>
        <w:trPr>
          <w:tblHeader/>
        </w:trPr>
        <w:tc>
          <w:tcPr>
            <w:tcW w:w="4072" w:type="dxa"/>
            <w:shd w:val="clear" w:color="auto" w:fill="DDEBF7"/>
            <w:vAlign w:val="center"/>
          </w:tcPr>
          <w:p>
            <w:pPr>
              <w:spacing w:before="0" w:after="0"/>
              <w:jc w:val="center"/>
            </w:pPr>
            <w:r>
              <w:rPr>
                <w:b/>
                <w:sz w:val="18"/>
                <w:szCs w:val="18"/>
              </w:rPr>
              <w:t xml:space="preserve">Item</w:t>
            </w:r>
          </w:p>
        </w:tc>
        <w:tc>
          <w:tcPr>
            <w:tcW w:w="2500" w:type="dxa"/>
            <w:shd w:val="clear" w:color="auto" w:fill="DDEBF7"/>
            <w:vAlign w:val="center"/>
          </w:tcPr>
          <w:p>
            <w:pPr>
              <w:spacing w:before="0" w:after="0"/>
              <w:jc w:val="center"/>
            </w:pPr>
            <w:r>
              <w:rPr>
                <w:b/>
                <w:sz w:val="18"/>
                <w:szCs w:val="18"/>
              </w:rPr>
              <w:t xml:space="preserve">Q2 2025</w:t>
            </w:r>
          </w:p>
        </w:tc>
        <w:tc>
          <w:tcPr>
            <w:tcW w:w="2500" w:type="dxa"/>
            <w:shd w:val="clear" w:color="auto" w:fill="DDEBF7"/>
            <w:vAlign w:val="center"/>
          </w:tcPr>
          <w:p>
            <w:pPr>
              <w:spacing w:before="0" w:after="0"/>
              <w:jc w:val="center"/>
            </w:pPr>
            <w:r>
              <w:rPr>
                <w:b/>
                <w:sz w:val="18"/>
                <w:szCs w:val="18"/>
              </w:rPr>
              <w:t xml:space="preserve">Q2 2026</w:t>
            </w:r>
          </w:p>
        </w:tc>
      </w:tr>
      <w:tr>
        <w:tc>
          <w:tcPr>
            <w:tcW w:w="4072" w:type="dxa"/>
            <w:vAlign w:val="center"/>
          </w:tcPr>
          <w:p>
            <w:pPr>
              <w:spacing w:before="0" w:after="0"/>
              <w:jc w:val="left"/>
            </w:pPr>
            <w:r>
              <w:rPr>
                <w:sz w:val="18"/>
                <w:szCs w:val="18"/>
              </w:rPr>
              <w:t xml:space="preserve">Property and equipment, net</w:t>
            </w:r>
          </w:p>
        </w:tc>
        <w:tc>
          <w:tcPr>
            <w:tcW w:w="2500" w:type="dxa"/>
            <w:vAlign w:val="center"/>
          </w:tcPr>
          <w:p>
            <w:pPr>
              <w:spacing w:before="0" w:after="0"/>
              <w:jc w:val="right"/>
            </w:pPr>
            <w:r>
              <w:rPr>
                <w:sz w:val="18"/>
                <w:szCs w:val="18"/>
              </w:rPr>
              <w:t xml:space="preserve">17,300</w:t>
            </w:r>
          </w:p>
        </w:tc>
        <w:tc>
          <w:tcPr>
            <w:tcW w:w="2500" w:type="dxa"/>
            <w:vAlign w:val="center"/>
          </w:tcPr>
          <w:p>
            <w:pPr>
              <w:spacing w:before="0" w:after="0"/>
              <w:jc w:val="right"/>
            </w:pPr>
            <w:r>
              <w:rPr>
                <w:sz w:val="18"/>
                <w:szCs w:val="18"/>
              </w:rPr>
              <w:t xml:space="preserve">19,889</w:t>
            </w:r>
          </w:p>
        </w:tc>
      </w:tr>
      <w:tr>
        <w:tc>
          <w:tcPr>
            <w:tcW w:w="4072" w:type="dxa"/>
            <w:vAlign w:val="center"/>
          </w:tcPr>
          <w:p>
            <w:pPr>
              <w:spacing w:before="0" w:after="0"/>
              <w:jc w:val="left"/>
            </w:pPr>
            <w:r>
              <w:rPr>
                <w:sz w:val="18"/>
                <w:szCs w:val="18"/>
              </w:rPr>
              <w:t xml:space="preserve">Accounts payable</w:t>
            </w:r>
          </w:p>
        </w:tc>
        <w:tc>
          <w:tcPr>
            <w:tcW w:w="2500" w:type="dxa"/>
            <w:vAlign w:val="center"/>
          </w:tcPr>
          <w:p>
            <w:pPr>
              <w:spacing w:before="0" w:after="0"/>
              <w:jc w:val="right"/>
            </w:pPr>
            <w:r>
              <w:rPr>
                <w:sz w:val="18"/>
                <w:szCs w:val="18"/>
              </w:rPr>
              <w:t xml:space="preserve">22,401</w:t>
            </w:r>
          </w:p>
        </w:tc>
        <w:tc>
          <w:tcPr>
            <w:tcW w:w="2500" w:type="dxa"/>
            <w:vAlign w:val="center"/>
          </w:tcPr>
          <w:p>
            <w:pPr>
              <w:spacing w:before="0" w:after="0"/>
              <w:jc w:val="right"/>
            </w:pPr>
            <w:r>
              <w:rPr>
                <w:sz w:val="18"/>
                <w:szCs w:val="18"/>
              </w:rPr>
              <w:t xml:space="preserve">25,602</w:t>
            </w:r>
          </w:p>
        </w:tc>
      </w:tr>
      <w:tr>
        <w:tc>
          <w:tcPr>
            <w:tcW w:w="4072" w:type="dxa"/>
            <w:vAlign w:val="center"/>
          </w:tcPr>
          <w:p>
            <w:pPr>
              <w:spacing w:before="0" w:after="0"/>
              <w:jc w:val="left"/>
            </w:pPr>
            <w:r>
              <w:rPr>
                <w:sz w:val="18"/>
                <w:szCs w:val="18"/>
              </w:rPr>
              <w:t xml:space="preserve">Property and equipment, net</w:t>
            </w:r>
          </w:p>
        </w:tc>
        <w:tc>
          <w:tcPr>
            <w:tcW w:w="2500" w:type="dxa"/>
            <w:vAlign w:val="center"/>
          </w:tcPr>
          <w:p>
            <w:pPr>
              <w:spacing w:before="0" w:after="0"/>
              <w:jc w:val="right"/>
            </w:pPr>
            <w:r>
              <w:rPr>
                <w:sz w:val="18"/>
                <w:szCs w:val="18"/>
              </w:rPr>
              <w:t xml:space="preserve">18,076</w:t>
            </w:r>
          </w:p>
        </w:tc>
        <w:tc>
          <w:tcPr>
            <w:tcW w:w="2500" w:type="dxa"/>
            <w:vAlign w:val="center"/>
          </w:tcPr>
          <w:p>
            <w:pPr>
              <w:spacing w:before="0" w:after="0"/>
              <w:jc w:val="right"/>
            </w:pPr>
            <w:r>
              <w:rPr>
                <w:sz w:val="18"/>
                <w:szCs w:val="18"/>
              </w:rPr>
              <w:t xml:space="preserve">18,905</w:t>
            </w:r>
          </w:p>
        </w:tc>
      </w:tr>
      <w:tr>
        <w:tc>
          <w:tcPr>
            <w:tcW w:w="4072" w:type="dxa"/>
            <w:vAlign w:val="center"/>
          </w:tcPr>
          <w:p>
            <w:pPr>
              <w:spacing w:before="0" w:after="0"/>
              <w:jc w:val="left"/>
            </w:pPr>
            <w:r>
              <w:rPr>
                <w:sz w:val="18"/>
                <w:szCs w:val="18"/>
              </w:rPr>
              <w:t xml:space="preserve">Current portion of long-term debt</w:t>
            </w:r>
          </w:p>
        </w:tc>
        <w:tc>
          <w:tcPr>
            <w:tcW w:w="2500" w:type="dxa"/>
            <w:vAlign w:val="center"/>
          </w:tcPr>
          <w:p>
            <w:pPr>
              <w:spacing w:before="0" w:after="0"/>
              <w:jc w:val="right"/>
            </w:pPr>
            <w:r>
              <w:rPr>
                <w:sz w:val="18"/>
                <w:szCs w:val="18"/>
              </w:rPr>
              <w:t xml:space="preserve">29,109</w:t>
            </w:r>
          </w:p>
        </w:tc>
        <w:tc>
          <w:tcPr>
            <w:tcW w:w="2500" w:type="dxa"/>
            <w:vAlign w:val="center"/>
          </w:tcPr>
          <w:p>
            <w:pPr>
              <w:spacing w:before="0" w:after="0"/>
              <w:jc w:val="right"/>
            </w:pPr>
            <w:r>
              <w:rPr>
                <w:sz w:val="18"/>
                <w:szCs w:val="18"/>
              </w:rPr>
              <w:t xml:space="preserve">30,373</w:t>
            </w:r>
          </w:p>
        </w:tc>
      </w:tr>
      <w:tr>
        <w:tc>
          <w:tcPr>
            <w:tcW w:w="4072" w:type="dxa"/>
            <w:vAlign w:val="center"/>
          </w:tcPr>
          <w:p>
            <w:pPr>
              <w:spacing w:before="0" w:after="0"/>
              <w:jc w:val="left"/>
            </w:pPr>
            <w:r>
              <w:rPr>
                <w:sz w:val="18"/>
                <w:szCs w:val="18"/>
              </w:rPr>
              <w:t xml:space="preserve">Security deposits</w:t>
            </w:r>
          </w:p>
        </w:tc>
        <w:tc>
          <w:tcPr>
            <w:tcW w:w="2500" w:type="dxa"/>
            <w:vAlign w:val="center"/>
          </w:tcPr>
          <w:p>
            <w:pPr>
              <w:spacing w:before="0" w:after="0"/>
              <w:jc w:val="right"/>
            </w:pPr>
            <w:r>
              <w:rPr>
                <w:sz w:val="18"/>
                <w:szCs w:val="18"/>
              </w:rPr>
              <w:t xml:space="preserve">14,611</w:t>
            </w:r>
          </w:p>
        </w:tc>
        <w:tc>
          <w:tcPr>
            <w:tcW w:w="2500" w:type="dxa"/>
            <w:vAlign w:val="center"/>
          </w:tcPr>
          <w:p>
            <w:pPr>
              <w:spacing w:before="0" w:after="0"/>
              <w:jc w:val="right"/>
            </w:pPr>
            <w:r>
              <w:rPr>
                <w:sz w:val="18"/>
                <w:szCs w:val="18"/>
              </w:rPr>
              <w:t xml:space="preserve">16,868</w:t>
            </w:r>
          </w:p>
        </w:tc>
      </w:tr>
      <w:tr>
        <w:tc>
          <w:tcPr>
            <w:tcW w:w="4072" w:type="dxa"/>
            <w:vAlign w:val="center"/>
          </w:tcPr>
          <w:p>
            <w:pPr>
              <w:spacing w:before="0" w:after="0"/>
              <w:jc w:val="left"/>
            </w:pPr>
            <w:r>
              <w:rPr>
                <w:sz w:val="18"/>
                <w:szCs w:val="18"/>
              </w:rPr>
              <w:t xml:space="preserve">Deferred rent and asset retirement obligations</w:t>
            </w:r>
          </w:p>
        </w:tc>
        <w:tc>
          <w:tcPr>
            <w:tcW w:w="2500" w:type="dxa"/>
            <w:vAlign w:val="center"/>
          </w:tcPr>
          <w:p>
            <w:pPr>
              <w:spacing w:before="0" w:after="0"/>
              <w:jc w:val="right"/>
            </w:pPr>
            <w:r>
              <w:rPr>
                <w:sz w:val="18"/>
                <w:szCs w:val="18"/>
              </w:rPr>
              <w:t xml:space="preserve">25,549</w:t>
            </w:r>
          </w:p>
        </w:tc>
        <w:tc>
          <w:tcPr>
            <w:tcW w:w="2500" w:type="dxa"/>
            <w:vAlign w:val="center"/>
          </w:tcPr>
          <w:p>
            <w:pPr>
              <w:spacing w:before="0" w:after="0"/>
              <w:jc w:val="right"/>
            </w:pPr>
            <w:r>
              <w:rPr>
                <w:sz w:val="18"/>
                <w:szCs w:val="18"/>
              </w:rPr>
              <w:t xml:space="preserve">28,692</w:t>
            </w:r>
          </w:p>
        </w:tc>
      </w:tr>
    </w:tbl>
    <w:p>
      <w:pPr/>
    </w:p>
    <w:p>
      <w:pPr>
        <w:keepNext/>
      </w:pPr>
      <w:r>
        <w:rPr>
          <w:b/>
        </w:rPr>
        <w:t xml:space="preserve">14. Commitments and contingencies</w:t>
      </w:r>
    </w:p>
    <w:p>
      <w:pPr>
        <w:ind w:left="0" w:firstLine="360"/>
      </w:pPr>
      <w:r>
        <w:t xml:space="preserve">These forward-looking statements are based on information available as of the date of this statement, and actual results may differ materially because of many factors. These forward-looking statements are based on information available as of the date of this statement, and actual results may differ materially because of many factors. Energy use per store decreased 13.4% compared with the prior year, as older espresso machines and refrigerators were replaced with more efficient models. Revenue from loyalty rewards is deferred until the reward is redeemed or expires.</w:t>
      </w:r>
    </w:p>
    <w:p>
      <w:pPr>
        <w:ind w:left="0" w:firstLine="360"/>
      </w:pPr>
      <w:r>
        <w:t xml:space="preserve">Store operating expenses, which consist mainly of wages, benefits and supplies, were 28.5% of revenue, compared with 32.3% in the prior year. These forward-looking statements are based on information available as of the date of this statement, and actual results may differ materially because of many factors. These forward-looking statements are based on information available as of the date of this statement, and actual results may differ materially because of many factors. Revenue from stores in the Harborview region was $47,646 thousand, or 28.4% of total revenue. Net cash provided by operating activities was $276,038 thousand, mainly reflecting net income and depreciation and amortization.</w:t>
      </w:r>
    </w:p>
    <w:p>
      <w:pPr>
        <w:keepNext/>
      </w:pPr>
      <w:r>
        <w:rPr>
          <w:b/>
        </w:rPr>
        <w:t xml:space="preserve">15. Gift cards and the loyalty program</w:t>
      </w:r>
    </w:p>
    <w:p>
      <w:pPr>
        <w:ind w:left="0" w:firstLine="360"/>
      </w:pPr>
      <w:r>
        <w:t xml:space="preserve">Revenue from stores in the Harborview region increased 15.2% compared with the prior year, while its share of total revenue was little changed. Inventories consist of green coffee, roasted coffee, packaging, food and merchandise, and are stated at the lower of cost and net realizable value. The loyalty program had 1,126 thousand active members at the end of the fiscal year, and purchases by members accounted for 23.8% of store revenue. Labor costs are affected by minimum wage laws in the regions where the stores are located, and further increases could reduce store margins.</w:t>
      </w:r>
    </w:p>
    <w:p>
      <w:pPr>
        <w:ind w:left="0" w:firstLine="360"/>
      </w:pPr>
      <w:r>
        <w:t xml:space="preserve">Nimbus Coffee operates specialty coffee shops under the Nimbus Coffee name and roasts all of the coffee it serves at its own roastery in Northfield. Occupancy costs increased to $14,344 thousand, reflecting rent for new stores and scheduled rent increases at existing locations. Net cash used in investing activities was $10,573 thousand, primarily for purchases of property and equipment. Food safety incidents, whether or not they occur at our stores, could harm the reputation of the Nimbus Coffee brand and reduce customer traffic. The Group holds no derivatives other than coffee futures contracts used to fix the price of part of its future green coffee purchases.</w:t>
      </w:r>
    </w:p>
    <w:tbl>
      <w:tblPr>
        <w:tblW w:w="907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72" w:type="dxa"/>
          <w:right w:w="72" w:type="dxa"/>
        </w:tblCellMar>
      </w:tblPr>
      <w:tblGrid>
        <w:gridCol w:w="4072"/>
        <w:gridCol w:w="2500"/>
        <w:gridCol w:w="2500"/>
      </w:tblGrid>
      <w:tr>
        <w:trPr>
          <w:tblHeader/>
        </w:trPr>
        <w:tc>
          <w:tcPr>
            <w:tcW w:w="4072" w:type="dxa"/>
            <w:shd w:val="clear" w:color="auto" w:fill="DDEBF7"/>
            <w:vAlign w:val="center"/>
          </w:tcPr>
          <w:p>
            <w:pPr>
              <w:spacing w:before="0" w:after="0"/>
              <w:jc w:val="center"/>
            </w:pPr>
            <w:r>
              <w:rPr>
                <w:b/>
                <w:sz w:val="18"/>
                <w:szCs w:val="18"/>
              </w:rPr>
              <w:t xml:space="preserve">Item</w:t>
            </w:r>
          </w:p>
        </w:tc>
        <w:tc>
          <w:tcPr>
            <w:tcW w:w="2500" w:type="dxa"/>
            <w:shd w:val="clear" w:color="auto" w:fill="DDEBF7"/>
            <w:vAlign w:val="center"/>
          </w:tcPr>
          <w:p>
            <w:pPr>
              <w:spacing w:before="0" w:after="0"/>
              <w:jc w:val="center"/>
            </w:pPr>
            <w:r>
              <w:rPr>
                <w:b/>
                <w:sz w:val="18"/>
                <w:szCs w:val="18"/>
              </w:rPr>
              <w:t xml:space="preserve">Q2 2025</w:t>
            </w:r>
          </w:p>
        </w:tc>
        <w:tc>
          <w:tcPr>
            <w:tcW w:w="2500" w:type="dxa"/>
            <w:shd w:val="clear" w:color="auto" w:fill="DDEBF7"/>
            <w:vAlign w:val="center"/>
          </w:tcPr>
          <w:p>
            <w:pPr>
              <w:spacing w:before="0" w:after="0"/>
              <w:jc w:val="center"/>
            </w:pPr>
            <w:r>
              <w:rPr>
                <w:b/>
                <w:sz w:val="18"/>
                <w:szCs w:val="18"/>
              </w:rPr>
              <w:t xml:space="preserve">Q2 2026</w:t>
            </w:r>
          </w:p>
        </w:tc>
      </w:tr>
      <w:tr>
        <w:tc>
          <w:tcPr>
            <w:tcW w:w="4072" w:type="dxa"/>
            <w:vAlign w:val="center"/>
          </w:tcPr>
          <w:p>
            <w:pPr>
              <w:spacing w:before="0" w:after="0"/>
              <w:jc w:val="left"/>
            </w:pPr>
            <w:r>
              <w:rPr>
                <w:sz w:val="18"/>
                <w:szCs w:val="18"/>
              </w:rPr>
              <w:t xml:space="preserve">Deferred revenue (gift cards and loyalty)</w:t>
            </w:r>
          </w:p>
        </w:tc>
        <w:tc>
          <w:tcPr>
            <w:tcW w:w="2500" w:type="dxa"/>
            <w:vAlign w:val="center"/>
          </w:tcPr>
          <w:p>
            <w:pPr>
              <w:spacing w:before="0" w:after="0"/>
              <w:jc w:val="right"/>
            </w:pPr>
            <w:r>
              <w:rPr>
                <w:sz w:val="18"/>
                <w:szCs w:val="18"/>
              </w:rPr>
              <w:t xml:space="preserve">21,299</w:t>
            </w:r>
          </w:p>
        </w:tc>
        <w:tc>
          <w:tcPr>
            <w:tcW w:w="2500" w:type="dxa"/>
            <w:vAlign w:val="center"/>
          </w:tcPr>
          <w:p>
            <w:pPr>
              <w:spacing w:before="0" w:after="0"/>
              <w:jc w:val="right"/>
            </w:pPr>
            <w:r>
              <w:rPr>
                <w:sz w:val="18"/>
                <w:szCs w:val="18"/>
              </w:rPr>
              <w:t xml:space="preserve">23,838</w:t>
            </w:r>
          </w:p>
        </w:tc>
      </w:tr>
      <w:tr>
        <w:tc>
          <w:tcPr>
            <w:tcW w:w="4072" w:type="dxa"/>
            <w:vAlign w:val="center"/>
          </w:tcPr>
          <w:p>
            <w:pPr>
              <w:spacing w:before="0" w:after="0"/>
              <w:jc w:val="left"/>
            </w:pPr>
            <w:r>
              <w:rPr>
                <w:sz w:val="18"/>
                <w:szCs w:val="18"/>
              </w:rPr>
              <w:t xml:space="preserve">Other accrued liabilities</w:t>
            </w:r>
          </w:p>
        </w:tc>
        <w:tc>
          <w:tcPr>
            <w:tcW w:w="2500" w:type="dxa"/>
            <w:vAlign w:val="center"/>
          </w:tcPr>
          <w:p>
            <w:pPr>
              <w:spacing w:before="0" w:after="0"/>
              <w:jc w:val="right"/>
            </w:pPr>
            <w:r>
              <w:rPr>
                <w:sz w:val="18"/>
                <w:szCs w:val="18"/>
              </w:rPr>
              <w:t xml:space="preserve">12,131</w:t>
            </w:r>
          </w:p>
        </w:tc>
        <w:tc>
          <w:tcPr>
            <w:tcW w:w="2500" w:type="dxa"/>
            <w:vAlign w:val="center"/>
          </w:tcPr>
          <w:p>
            <w:pPr>
              <w:spacing w:before="0" w:after="0"/>
              <w:jc w:val="right"/>
            </w:pPr>
            <w:r>
              <w:rPr>
                <w:sz w:val="18"/>
                <w:szCs w:val="18"/>
              </w:rPr>
              <w:t xml:space="preserve">13,764</w:t>
            </w:r>
          </w:p>
        </w:tc>
      </w:tr>
      <w:tr>
        <w:tc>
          <w:tcPr>
            <w:tcW w:w="4072" w:type="dxa"/>
            <w:vAlign w:val="center"/>
          </w:tcPr>
          <w:p>
            <w:pPr>
              <w:spacing w:before="0" w:after="0"/>
              <w:jc w:val="left"/>
            </w:pPr>
            <w:r>
              <w:rPr>
                <w:sz w:val="18"/>
                <w:szCs w:val="18"/>
              </w:rPr>
              <w:t xml:space="preserve">Accounts receivable, net</w:t>
            </w:r>
          </w:p>
        </w:tc>
        <w:tc>
          <w:tcPr>
            <w:tcW w:w="2500" w:type="dxa"/>
            <w:vAlign w:val="center"/>
          </w:tcPr>
          <w:p>
            <w:pPr>
              <w:spacing w:before="0" w:after="0"/>
              <w:jc w:val="right"/>
            </w:pPr>
            <w:r>
              <w:rPr>
                <w:sz w:val="18"/>
                <w:szCs w:val="18"/>
              </w:rPr>
              <w:t xml:space="preserve">4,908</w:t>
            </w:r>
          </w:p>
        </w:tc>
        <w:tc>
          <w:tcPr>
            <w:tcW w:w="2500" w:type="dxa"/>
            <w:vAlign w:val="center"/>
          </w:tcPr>
          <w:p>
            <w:pPr>
              <w:spacing w:before="0" w:after="0"/>
              <w:jc w:val="right"/>
            </w:pPr>
            <w:r>
              <w:rPr>
                <w:sz w:val="18"/>
                <w:szCs w:val="18"/>
              </w:rPr>
              <w:t xml:space="preserve">5,341</w:t>
            </w:r>
          </w:p>
        </w:tc>
      </w:tr>
      <w:tr>
        <w:tc>
          <w:tcPr>
            <w:tcW w:w="4072" w:type="dxa"/>
            <w:vAlign w:val="center"/>
          </w:tcPr>
          <w:p>
            <w:pPr>
              <w:spacing w:before="0" w:after="0"/>
              <w:jc w:val="left"/>
            </w:pPr>
            <w:r>
              <w:rPr>
                <w:sz w:val="18"/>
                <w:szCs w:val="18"/>
              </w:rPr>
              <w:t xml:space="preserve">Current portion of operating lease liabilities</w:t>
            </w:r>
          </w:p>
        </w:tc>
        <w:tc>
          <w:tcPr>
            <w:tcW w:w="2500" w:type="dxa"/>
            <w:vAlign w:val="center"/>
          </w:tcPr>
          <w:p>
            <w:pPr>
              <w:spacing w:before="0" w:after="0"/>
              <w:jc w:val="right"/>
            </w:pPr>
            <w:r>
              <w:rPr>
                <w:sz w:val="18"/>
                <w:szCs w:val="18"/>
              </w:rPr>
              <w:t xml:space="preserve">18,077</w:t>
            </w:r>
          </w:p>
        </w:tc>
        <w:tc>
          <w:tcPr>
            <w:tcW w:w="2500" w:type="dxa"/>
            <w:vAlign w:val="center"/>
          </w:tcPr>
          <w:p>
            <w:pPr>
              <w:spacing w:before="0" w:after="0"/>
              <w:jc w:val="right"/>
            </w:pPr>
            <w:r>
              <w:rPr>
                <w:sz w:val="18"/>
                <w:szCs w:val="18"/>
              </w:rPr>
              <w:t xml:space="preserve">19,509</w:t>
            </w:r>
          </w:p>
        </w:tc>
      </w:tr>
      <w:tr>
        <w:tc>
          <w:tcPr>
            <w:tcW w:w="4072" w:type="dxa"/>
            <w:vAlign w:val="center"/>
          </w:tcPr>
          <w:p>
            <w:pPr>
              <w:spacing w:before="0" w:after="0"/>
              <w:jc w:val="left"/>
            </w:pPr>
            <w:r>
              <w:rPr>
                <w:sz w:val="18"/>
                <w:szCs w:val="18"/>
              </w:rPr>
              <w:t xml:space="preserve">Property and equipment, net</w:t>
            </w:r>
          </w:p>
        </w:tc>
        <w:tc>
          <w:tcPr>
            <w:tcW w:w="2500" w:type="dxa"/>
            <w:vAlign w:val="center"/>
          </w:tcPr>
          <w:p>
            <w:pPr>
              <w:spacing w:before="0" w:after="0"/>
              <w:jc w:val="right"/>
            </w:pPr>
            <w:r>
              <w:rPr>
                <w:sz w:val="18"/>
                <w:szCs w:val="18"/>
              </w:rPr>
              <w:t xml:space="preserve">3,651</w:t>
            </w:r>
          </w:p>
        </w:tc>
        <w:tc>
          <w:tcPr>
            <w:tcW w:w="2500" w:type="dxa"/>
            <w:vAlign w:val="center"/>
          </w:tcPr>
          <w:p>
            <w:pPr>
              <w:spacing w:before="0" w:after="0"/>
              <w:jc w:val="right"/>
            </w:pPr>
            <w:r>
              <w:rPr>
                <w:sz w:val="18"/>
                <w:szCs w:val="18"/>
              </w:rPr>
              <w:t xml:space="preserve">3,738</w:t>
            </w:r>
          </w:p>
        </w:tc>
      </w:tr>
      <w:tr>
        <w:tc>
          <w:tcPr>
            <w:tcW w:w="4072" w:type="dxa"/>
            <w:vAlign w:val="center"/>
          </w:tcPr>
          <w:p>
            <w:pPr>
              <w:spacing w:before="0" w:after="0"/>
              <w:jc w:val="left"/>
            </w:pPr>
            <w:r>
              <w:rPr>
                <w:sz w:val="18"/>
                <w:szCs w:val="18"/>
              </w:rPr>
              <w:t xml:space="preserve">Other long-term liabilities</w:t>
            </w:r>
          </w:p>
        </w:tc>
        <w:tc>
          <w:tcPr>
            <w:tcW w:w="2500" w:type="dxa"/>
            <w:vAlign w:val="center"/>
          </w:tcPr>
          <w:p>
            <w:pPr>
              <w:spacing w:before="0" w:after="0"/>
              <w:jc w:val="right"/>
            </w:pPr>
            <w:r>
              <w:rPr>
                <w:sz w:val="18"/>
                <w:szCs w:val="18"/>
              </w:rPr>
              <w:t xml:space="preserve">25,705</w:t>
            </w:r>
          </w:p>
        </w:tc>
        <w:tc>
          <w:tcPr>
            <w:tcW w:w="2500" w:type="dxa"/>
            <w:vAlign w:val="center"/>
          </w:tcPr>
          <w:p>
            <w:pPr>
              <w:spacing w:before="0" w:after="0"/>
              <w:jc w:val="right"/>
            </w:pPr>
            <w:r>
              <w:rPr>
                <w:sz w:val="18"/>
                <w:szCs w:val="18"/>
              </w:rPr>
              <w:t xml:space="preserve">28,270</w:t>
            </w:r>
          </w:p>
        </w:tc>
      </w:tr>
    </w:tbl>
    <w:p>
      <w:pPr/>
    </w:p>
    <w:p>
      <w:pPr>
        <w:keepNext/>
      </w:pPr>
      <w:r>
        <w:rPr>
          <w:b/>
        </w:rPr>
        <w:t xml:space="preserve">16. Subsequent events</w:t>
      </w:r>
    </w:p>
    <w:p>
      <w:pPr>
        <w:ind w:left="0" w:firstLine="360"/>
      </w:pPr>
      <w:r>
        <w:t xml:space="preserve">The Company operates specialty coffee shops under the Nimbus Coffee name and roasts all of the coffee it serves at its own roastery in Northfield. Net cash used in investing activities was $22,329 thousand, primarily for purchases of property and equipment. Store operating expenses, which consist mainly of wages, benefits and supplies, were 32.5% of revenue, compared with 29.8% in the prior year. Occupancy costs increased to $26,092 thousand, reflecting rent for new stores and scheduled rent increases at existing locations. Inventories consist of green coffee, roasted coffee, packaging, food and merchandise, and are stated at the lower of cost and net realizable value.</w:t>
      </w:r>
    </w:p>
    <w:p>
      <w:pPr>
        <w:ind w:left="0" w:firstLine="360"/>
      </w:pPr>
      <w:r>
        <w:t xml:space="preserve">Food safety incidents, whether or not they occur at our stores, could harm the reputation of the Nimbus Coffee brand and reduce customer traffic. Capital expenditures totaled $25,296 thousand and consisted mainly of the build-out of new stores, the remodeling of existing stores and a second roasting line at the Northfield roastery. Occupancy costs increased to $32,327 thousand, reflecting rent for new stores and scheduled rent increases at existing locations. Weather affects customer traffic: cold drinks sell best in summer, while hot beverages and whole beans sell best from October through February. During the fiscal year, Nimbus Coffee opened 12 new stores and closed 2 stores whose leases expired.</w:t>
      </w:r>
    </w:p>
    <w:p>
      <w:r>
        <w:br w:type="page"/>
      </w:r>
    </w:p>
    <w:p>
      <w:pPr>
        <w:pStyle w:val="Heading2"/>
        <w:keepNext/>
      </w:pPr>
      <w:r>
        <w:t xml:space="preserve">Item 6. Share Handling</w:t>
      </w:r>
    </w:p>
    <w:tbl>
      <w:tblPr>
        <w:tblW w:w="907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72" w:type="dxa"/>
          <w:right w:w="72" w:type="dxa"/>
        </w:tblCellMar>
      </w:tblPr>
      <w:tblGrid>
        <w:gridCol w:w="3000"/>
        <w:gridCol w:w="6072"/>
      </w:tblGrid>
      <w:tr>
        <w:tc>
          <w:tcPr>
            <w:tcW w:w="3000" w:type="dxa"/>
            <w:vAlign w:val="center"/>
          </w:tcPr>
          <w:p>
            <w:pPr>
              <w:spacing w:before="0" w:after="0"/>
              <w:jc w:val="left"/>
            </w:pPr>
            <w:r>
              <w:rPr>
                <w:sz w:val="18"/>
                <w:szCs w:val="18"/>
              </w:rPr>
              <w:t xml:space="preserve">Fiscal year</w:t>
            </w:r>
          </w:p>
        </w:tc>
        <w:tc>
          <w:tcPr>
            <w:tcW w:w="6072" w:type="dxa"/>
            <w:vAlign w:val="center"/>
          </w:tcPr>
          <w:p>
            <w:pPr>
              <w:spacing w:before="0" w:after="0"/>
              <w:jc w:val="left"/>
            </w:pPr>
            <w:r>
              <w:rPr>
                <w:sz w:val="18"/>
                <w:szCs w:val="18"/>
              </w:rPr>
              <w:t xml:space="preserve">January 1 to December 31</w:t>
            </w:r>
          </w:p>
        </w:tc>
      </w:tr>
      <w:tr>
        <w:tc>
          <w:tcPr>
            <w:tcW w:w="3000" w:type="dxa"/>
            <w:vAlign w:val="center"/>
          </w:tcPr>
          <w:p>
            <w:pPr>
              <w:spacing w:before="0" w:after="0"/>
              <w:jc w:val="left"/>
            </w:pPr>
            <w:r>
              <w:rPr>
                <w:sz w:val="18"/>
                <w:szCs w:val="18"/>
              </w:rPr>
              <w:t xml:space="preserve">Annual meeting of stockholders</w:t>
            </w:r>
          </w:p>
        </w:tc>
        <w:tc>
          <w:tcPr>
            <w:tcW w:w="6072" w:type="dxa"/>
            <w:vAlign w:val="center"/>
          </w:tcPr>
          <w:p>
            <w:pPr>
              <w:spacing w:before="0" w:after="0"/>
              <w:jc w:val="left"/>
            </w:pPr>
            <w:r>
              <w:rPr>
                <w:sz w:val="18"/>
                <w:szCs w:val="18"/>
              </w:rPr>
              <w:t xml:space="preserve">Within three months after the end of each fiscal year</w:t>
            </w:r>
          </w:p>
        </w:tc>
      </w:tr>
      <w:tr>
        <w:tc>
          <w:tcPr>
            <w:tcW w:w="3000" w:type="dxa"/>
            <w:vAlign w:val="center"/>
          </w:tcPr>
          <w:p>
            <w:pPr>
              <w:spacing w:before="0" w:after="0"/>
              <w:jc w:val="left"/>
            </w:pPr>
            <w:r>
              <w:rPr>
                <w:sz w:val="18"/>
                <w:szCs w:val="18"/>
              </w:rPr>
              <w:t xml:space="preserve">Record date</w:t>
            </w:r>
          </w:p>
        </w:tc>
        <w:tc>
          <w:tcPr>
            <w:tcW w:w="6072" w:type="dxa"/>
            <w:vAlign w:val="center"/>
          </w:tcPr>
          <w:p>
            <w:pPr>
              <w:spacing w:before="0" w:after="0"/>
              <w:jc w:val="left"/>
            </w:pPr>
            <w:r>
              <w:rPr>
                <w:sz w:val="18"/>
                <w:szCs w:val="18"/>
              </w:rPr>
              <w:t xml:space="preserve">December 31</w:t>
            </w:r>
          </w:p>
        </w:tc>
      </w:tr>
      <w:tr>
        <w:tc>
          <w:tcPr>
            <w:tcW w:w="3000" w:type="dxa"/>
            <w:vAlign w:val="center"/>
          </w:tcPr>
          <w:p>
            <w:pPr>
              <w:spacing w:before="0" w:after="0"/>
              <w:jc w:val="left"/>
            </w:pPr>
            <w:r>
              <w:rPr>
                <w:sz w:val="18"/>
                <w:szCs w:val="18"/>
              </w:rPr>
              <w:t xml:space="preserve">Trading unit</w:t>
            </w:r>
          </w:p>
        </w:tc>
        <w:tc>
          <w:tcPr>
            <w:tcW w:w="6072" w:type="dxa"/>
            <w:vAlign w:val="center"/>
          </w:tcPr>
          <w:p>
            <w:pPr>
              <w:spacing w:before="0" w:after="0"/>
              <w:jc w:val="left"/>
            </w:pPr>
            <w:r>
              <w:rPr>
                <w:sz w:val="18"/>
                <w:szCs w:val="18"/>
              </w:rPr>
              <w:t xml:space="preserve">100 shares</w:t>
            </w:r>
          </w:p>
        </w:tc>
      </w:tr>
      <w:tr>
        <w:tc>
          <w:tcPr>
            <w:tcW w:w="3000" w:type="dxa"/>
            <w:vAlign w:val="center"/>
          </w:tcPr>
          <w:p>
            <w:pPr>
              <w:spacing w:before="0" w:after="0"/>
              <w:jc w:val="left"/>
            </w:pPr>
            <w:r>
              <w:rPr>
                <w:sz w:val="18"/>
                <w:szCs w:val="18"/>
              </w:rPr>
              <w:t xml:space="preserve">Transfer agent</w:t>
            </w:r>
          </w:p>
        </w:tc>
        <w:tc>
          <w:tcPr>
            <w:tcW w:w="6072" w:type="dxa"/>
            <w:vAlign w:val="center"/>
          </w:tcPr>
          <w:p>
            <w:pPr>
              <w:spacing w:before="0" w:after="0"/>
              <w:jc w:val="left"/>
            </w:pPr>
            <w:r>
              <w:rPr>
                <w:sz w:val="18"/>
                <w:szCs w:val="18"/>
              </w:rPr>
              <w:t xml:space="preserve">Kestrel Bay Stock Transfer Company (fictional)</w:t>
            </w:r>
          </w:p>
        </w:tc>
      </w:tr>
      <w:tr>
        <w:tc>
          <w:tcPr>
            <w:tcW w:w="3000" w:type="dxa"/>
            <w:vAlign w:val="center"/>
          </w:tcPr>
          <w:p>
            <w:pPr>
              <w:spacing w:before="0" w:after="0"/>
              <w:jc w:val="left"/>
            </w:pPr>
            <w:r>
              <w:rPr>
                <w:sz w:val="18"/>
                <w:szCs w:val="18"/>
              </w:rPr>
              <w:t xml:space="preserve">Public notices</w:t>
            </w:r>
          </w:p>
        </w:tc>
        <w:tc>
          <w:tcPr>
            <w:tcW w:w="6072" w:type="dxa"/>
            <w:vAlign w:val="center"/>
          </w:tcPr>
          <w:p>
            <w:pPr>
              <w:spacing w:before="0" w:after="0"/>
              <w:jc w:val="left"/>
            </w:pPr>
            <w:r>
              <w:rPr>
                <w:sz w:val="18"/>
                <w:szCs w:val="18"/>
              </w:rPr>
              <w:t xml:space="preserve">Electronic public notice (fictional)</w:t>
            </w:r>
          </w:p>
        </w:tc>
      </w:tr>
    </w:tbl>
    <w:p>
      <w:pPr/>
    </w:p>
    <w:p>
      <w:pPr>
        <w:pStyle w:val="Heading1"/>
        <w:keepNext/>
      </w:pPr>
      <w:r>
        <w:t xml:space="preserve">Part III — Special Information</w:t>
      </w:r>
    </w:p>
    <w:p>
      <w:pPr>
        <w:ind w:left="0" w:firstLine="360"/>
      </w:pPr>
      <w:r>
        <w:t xml:space="preserve">These forward-looking statements are based on information available as of the date of this statement, and actual results may differ materially because of many factors. Food safety incidents, whether or not they occur at our stores, could harm the reputation of the Nimbus Coffee brand and reduce customer traffic. Wholesale revenue comes from sales of roasted beans to restaurants, hotels and grocery stores in the regions where the Group operates.</w:t>
      </w:r>
    </w:p>
    <w:p>
      <w:pPr>
        <w:ind w:left="0" w:firstLine="360"/>
      </w:pPr>
      <w:r>
        <w:t xml:space="preserve">During the fiscal year, Nimbus Coffee opened 18 new stores and closed 1 stores whose leases expired. Net cash used in financing activities was $10,725 thousand, reflecting repayments of the term loan and dividends paid. The Group operates specialty coffee shops under the Nimbus Coffee name and roasts all of the coffee it serves at its own roastery in Northfield. Occupancy costs increased to $18,503 thousand, reflecting rent for new stores and scheduled rent increases at existing locations. Orders placed through the online store, including orders for pickup in store and home delivery of whole beans, accounted for 27.3% of revenue in the Beverages and Beans categories. The roastery produced 919 thousand pounds of roasted coffee during the fiscal year, of which 52.6% was sold through company-operated stores.</w:t>
      </w:r>
    </w:p>
    <w:p>
      <w:pPr>
        <w:ind w:left="0" w:firstLine="360"/>
      </w:pPr>
      <w:r>
        <w:t xml:space="preserve">Revenue from stores in the Southport region was $42,894 thousand, or 27.2% of total revenue. The price of green coffee is volatile, and a sustained increase could reduce gross margin if the Group is unable to pass the cost on to customers through menu prices. Food safety incidents, whether or not they occur at our stores, could harm the reputation of the Nimbus Coffee brand and reduce customer traffic.</w:t>
      </w:r>
    </w:p>
    <w:p>
      <w:pPr>
        <w:ind w:left="0" w:firstLine="360"/>
      </w:pPr>
      <w:r>
        <w:t xml:space="preserve">Wholesale revenue comes from sales of roasted beans to restaurants, hotels and grocery stores in the regions where the Group operates. Net cash used in financing activities was $6,621 thousand, reflecting repayments of the term loan and dividends paid. The ability of Nimbus Coffee to open new stores depends on finding suitable sites on acceptable lease terms and on hiring and training store managers.</w:t>
      </w:r>
    </w:p>
    <w:p>
      <w:pPr>
        <w:pStyle w:val="Heading1"/>
        <w:keepNext/>
      </w:pPr>
      <w:r>
        <w:t xml:space="preserve">Part IV — Information on the Listing of Shares</w:t>
      </w:r>
    </w:p>
    <w:p>
      <w:r>
        <w:br w:type="page"/>
      </w:r>
    </w:p>
    <w:p>
      <w:pPr>
        <w:pStyle w:val="Heading2"/>
        <w:keepNext/>
      </w:pPr>
      <w:r>
        <w:t xml:space="preserve">Item 1. Transfers of Shares by Related Parties</w:t>
      </w:r>
    </w:p>
    <w:p>
      <w:pPr>
        <w:ind w:left="0" w:firstLine="360"/>
      </w:pPr>
      <w:r>
        <w:t xml:space="preserve">During the fiscal year, the Group opened 6 new stores and closed 5 stores whose leases expired. Nimbus Coffee operates specialty coffee shops under the Nimbus Coffee name and roasts all of the coffee it serves at its own roastery in Northfield. Food safety incidents, whether or not they occur at our stores, could harm the reputation of the Nimbus Coffee brand and reduce customer traffic. Net cash used in financing activities was $24,788 thousand, reflecting repayments of the term loan and dividends paid. Wholesale revenue comes from sales of roasted beans to restaurants, hotels and grocery stores in the regions where the Company operates.</w:t>
      </w:r>
    </w:p>
    <w:p>
      <w:pPr>
        <w:ind w:left="0" w:firstLine="360"/>
      </w:pPr>
      <w:r>
        <w:t xml:space="preserve">Energy use per store decreased 1.3% compared with the prior year, as older espresso machines and refrigerators were replaced with more efficient models. Baristas complete a four-week training course before working on the floor, and store managers complete a further course at the Northfield training center. Occupancy costs increased to $16,148 thousand, reflecting rent for new stores and scheduled rent increases at existing locations. At the end of the fiscal year, Nimbus Coffee operated 190 company-operated stores in eight regions: Northfield, Eastbay, Southport, Westridge, Lakeside, Hillcrest, Riverside and Harborview.</w:t>
      </w:r>
    </w:p>
    <w:p>
      <w:pPr>
        <w:ind w:left="0" w:firstLine="360"/>
      </w:pPr>
      <w:r>
        <w:t xml:space="preserve">Comparable store sales increased 2.8%, driven by a 4.5% increase in average ticket and a 3.6% increase in transactions. Green coffee is purchased from exporters and cooperatives in Central America, South America and East Africa under fixed-price contracts that generally cover the next nine to twelve months of expected needs. Each store is managed by a store manager who reports to a district manager, and district managers report to the director for their region.</w:t>
      </w:r>
    </w:p>
    <w:tbl>
      <w:tblPr>
        <w:tblW w:w="907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72" w:type="dxa"/>
          <w:right w:w="72" w:type="dxa"/>
        </w:tblCellMar>
      </w:tblPr>
      <w:tblGrid>
        <w:gridCol w:w="2872"/>
        <w:gridCol w:w="2400"/>
        <w:gridCol w:w="1900"/>
        <w:gridCol w:w="1900"/>
      </w:tblGrid>
      <w:tr>
        <w:trPr>
          <w:tblHeader/>
        </w:trPr>
        <w:tc>
          <w:tcPr>
            <w:tcW w:w="2872" w:type="dxa"/>
            <w:shd w:val="clear" w:color="auto" w:fill="DDEBF7"/>
            <w:vAlign w:val="center"/>
          </w:tcPr>
          <w:p>
            <w:pPr>
              <w:spacing w:before="0" w:after="0"/>
              <w:jc w:val="center"/>
            </w:pPr>
            <w:r>
              <w:rPr>
                <w:b/>
                <w:sz w:val="18"/>
                <w:szCs w:val="18"/>
              </w:rPr>
              <w:t xml:space="preserve">Name</w:t>
            </w:r>
          </w:p>
        </w:tc>
        <w:tc>
          <w:tcPr>
            <w:tcW w:w="2400" w:type="dxa"/>
            <w:shd w:val="clear" w:color="auto" w:fill="DDEBF7"/>
            <w:vAlign w:val="center"/>
          </w:tcPr>
          <w:p>
            <w:pPr>
              <w:spacing w:before="0" w:after="0"/>
              <w:jc w:val="center"/>
            </w:pPr>
            <w:r>
              <w:rPr>
                <w:b/>
                <w:sz w:val="18"/>
                <w:szCs w:val="18"/>
              </w:rPr>
              <w:t xml:space="preserve">Address</w:t>
            </w:r>
          </w:p>
        </w:tc>
        <w:tc>
          <w:tcPr>
            <w:tcW w:w="1900" w:type="dxa"/>
            <w:shd w:val="clear" w:color="auto" w:fill="DDEBF7"/>
            <w:vAlign w:val="center"/>
          </w:tcPr>
          <w:p>
            <w:pPr>
              <w:spacing w:before="0" w:after="0"/>
              <w:jc w:val="center"/>
            </w:pPr>
            <w:r>
              <w:rPr>
                <w:b/>
                <w:sz w:val="18"/>
                <w:szCs w:val="18"/>
              </w:rPr>
              <w:t xml:space="preserve">Shares held</w:t>
            </w:r>
          </w:p>
        </w:tc>
        <w:tc>
          <w:tcPr>
            <w:tcW w:w="1900" w:type="dxa"/>
            <w:shd w:val="clear" w:color="auto" w:fill="DDEBF7"/>
            <w:vAlign w:val="center"/>
          </w:tcPr>
          <w:p>
            <w:pPr>
              <w:spacing w:before="0" w:after="0"/>
              <w:jc w:val="center"/>
            </w:pPr>
            <w:r>
              <w:rPr>
                <w:b/>
                <w:sz w:val="18"/>
                <w:szCs w:val="18"/>
              </w:rPr>
              <w:t xml:space="preserve">Ownership of total shares outstanding (%)</w:t>
            </w:r>
          </w:p>
        </w:tc>
      </w:tr>
      <w:tr>
        <w:tc>
          <w:tcPr>
            <w:tcW w:w="2872" w:type="dxa"/>
            <w:vAlign w:val="center"/>
          </w:tcPr>
          <w:p>
            <w:pPr>
              <w:spacing w:before="0" w:after="0"/>
              <w:jc w:val="left"/>
            </w:pPr>
            <w:r>
              <w:rPr>
                <w:sz w:val="18"/>
                <w:szCs w:val="18"/>
              </w:rPr>
              <w:t xml:space="preserve">Juniper Field Capital LP</w:t>
            </w:r>
          </w:p>
        </w:tc>
        <w:tc>
          <w:tcPr>
            <w:tcW w:w="2400" w:type="dxa"/>
            <w:vAlign w:val="center"/>
          </w:tcPr>
          <w:p>
            <w:pPr>
              <w:spacing w:before="0" w:after="0"/>
              <w:jc w:val="left"/>
            </w:pPr>
            <w:r>
              <w:rPr>
                <w:sz w:val="18"/>
                <w:szCs w:val="18"/>
              </w:rPr>
              <w:t xml:space="preserve">494 Station Street, Riverside</w:t>
            </w:r>
          </w:p>
        </w:tc>
        <w:tc>
          <w:tcPr>
            <w:tcW w:w="1900" w:type="dxa"/>
            <w:vAlign w:val="center"/>
          </w:tcPr>
          <w:p>
            <w:pPr>
              <w:spacing w:before="0" w:after="0"/>
              <w:jc w:val="right"/>
            </w:pPr>
            <w:r>
              <w:rPr>
                <w:sz w:val="18"/>
                <w:szCs w:val="18"/>
              </w:rPr>
              <w:t xml:space="preserve">11,000</w:t>
            </w:r>
          </w:p>
        </w:tc>
        <w:tc>
          <w:tcPr>
            <w:tcW w:w="1900" w:type="dxa"/>
            <w:vAlign w:val="center"/>
          </w:tcPr>
          <w:p>
            <w:pPr>
              <w:spacing w:before="0" w:after="0"/>
              <w:jc w:val="right"/>
            </w:pPr>
            <w:r>
              <w:rPr>
                <w:sz w:val="18"/>
                <w:szCs w:val="18"/>
              </w:rPr>
              <w:t xml:space="preserve">7.81</w:t>
            </w:r>
          </w:p>
        </w:tc>
      </w:tr>
      <w:tr>
        <w:tc>
          <w:tcPr>
            <w:tcW w:w="2872" w:type="dxa"/>
            <w:vAlign w:val="center"/>
          </w:tcPr>
          <w:p>
            <w:pPr>
              <w:spacing w:before="0" w:after="0"/>
              <w:jc w:val="left"/>
            </w:pPr>
            <w:r>
              <w:rPr>
                <w:sz w:val="18"/>
                <w:szCs w:val="18"/>
              </w:rPr>
              <w:t xml:space="preserve">Cobalt Hollow Capital LP</w:t>
            </w:r>
          </w:p>
        </w:tc>
        <w:tc>
          <w:tcPr>
            <w:tcW w:w="2400" w:type="dxa"/>
            <w:vAlign w:val="center"/>
          </w:tcPr>
          <w:p>
            <w:pPr>
              <w:spacing w:before="0" w:after="0"/>
              <w:jc w:val="left"/>
            </w:pPr>
            <w:r>
              <w:rPr>
                <w:sz w:val="18"/>
                <w:szCs w:val="18"/>
              </w:rPr>
              <w:t xml:space="preserve">399 Market Street, Riverside</w:t>
            </w:r>
          </w:p>
        </w:tc>
        <w:tc>
          <w:tcPr>
            <w:tcW w:w="1900" w:type="dxa"/>
            <w:vAlign w:val="center"/>
          </w:tcPr>
          <w:p>
            <w:pPr>
              <w:spacing w:before="0" w:after="0"/>
              <w:jc w:val="right"/>
            </w:pPr>
            <w:r>
              <w:rPr>
                <w:sz w:val="18"/>
                <w:szCs w:val="18"/>
              </w:rPr>
              <w:t xml:space="preserve">19,000</w:t>
            </w:r>
          </w:p>
        </w:tc>
        <w:tc>
          <w:tcPr>
            <w:tcW w:w="1900" w:type="dxa"/>
            <w:vAlign w:val="center"/>
          </w:tcPr>
          <w:p>
            <w:pPr>
              <w:spacing w:before="0" w:after="0"/>
              <w:jc w:val="right"/>
            </w:pPr>
            <w:r>
              <w:rPr>
                <w:sz w:val="18"/>
                <w:szCs w:val="18"/>
              </w:rPr>
              <w:t xml:space="preserve">11.80</w:t>
            </w:r>
          </w:p>
        </w:tc>
      </w:tr>
      <w:tr>
        <w:tc>
          <w:tcPr>
            <w:tcW w:w="2872" w:type="dxa"/>
            <w:vAlign w:val="center"/>
          </w:tcPr>
          <w:p>
            <w:pPr>
              <w:spacing w:before="0" w:after="0"/>
              <w:jc w:val="left"/>
            </w:pPr>
            <w:r>
              <w:rPr>
                <w:sz w:val="18"/>
                <w:szCs w:val="18"/>
              </w:rPr>
              <w:t xml:space="preserve">Cobalt Ridge Investments LP</w:t>
            </w:r>
          </w:p>
        </w:tc>
        <w:tc>
          <w:tcPr>
            <w:tcW w:w="2400" w:type="dxa"/>
            <w:vAlign w:val="center"/>
          </w:tcPr>
          <w:p>
            <w:pPr>
              <w:spacing w:before="0" w:after="0"/>
              <w:jc w:val="left"/>
            </w:pPr>
            <w:r>
              <w:rPr>
                <w:sz w:val="18"/>
                <w:szCs w:val="18"/>
              </w:rPr>
              <w:t xml:space="preserve">973 Market Street, Eastbay</w:t>
            </w:r>
          </w:p>
        </w:tc>
        <w:tc>
          <w:tcPr>
            <w:tcW w:w="1900" w:type="dxa"/>
            <w:vAlign w:val="center"/>
          </w:tcPr>
          <w:p>
            <w:pPr>
              <w:spacing w:before="0" w:after="0"/>
              <w:jc w:val="right"/>
            </w:pPr>
            <w:r>
              <w:rPr>
                <w:sz w:val="18"/>
                <w:szCs w:val="18"/>
              </w:rPr>
              <w:t xml:space="preserve">3,033,000</w:t>
            </w:r>
          </w:p>
        </w:tc>
        <w:tc>
          <w:tcPr>
            <w:tcW w:w="1900" w:type="dxa"/>
            <w:vAlign w:val="center"/>
          </w:tcPr>
          <w:p>
            <w:pPr>
              <w:spacing w:before="0" w:after="0"/>
              <w:jc w:val="right"/>
            </w:pPr>
            <w:r>
              <w:rPr>
                <w:sz w:val="18"/>
                <w:szCs w:val="18"/>
              </w:rPr>
              <w:t xml:space="preserve">7.94</w:t>
            </w:r>
          </w:p>
        </w:tc>
      </w:tr>
      <w:tr>
        <w:tc>
          <w:tcPr>
            <w:tcW w:w="2872" w:type="dxa"/>
            <w:vAlign w:val="center"/>
          </w:tcPr>
          <w:p>
            <w:pPr>
              <w:spacing w:before="0" w:after="0"/>
              <w:jc w:val="left"/>
            </w:pPr>
            <w:r>
              <w:rPr>
                <w:sz w:val="18"/>
                <w:szCs w:val="18"/>
              </w:rPr>
              <w:t xml:space="preserve">Dunmore Stone Investments LP</w:t>
            </w:r>
          </w:p>
        </w:tc>
        <w:tc>
          <w:tcPr>
            <w:tcW w:w="2400" w:type="dxa"/>
            <w:vAlign w:val="center"/>
          </w:tcPr>
          <w:p>
            <w:pPr>
              <w:spacing w:before="0" w:after="0"/>
              <w:jc w:val="left"/>
            </w:pPr>
            <w:r>
              <w:rPr>
                <w:sz w:val="18"/>
                <w:szCs w:val="18"/>
              </w:rPr>
              <w:t xml:space="preserve">140 Chapel Street, Southport</w:t>
            </w:r>
          </w:p>
        </w:tc>
        <w:tc>
          <w:tcPr>
            <w:tcW w:w="1900" w:type="dxa"/>
            <w:vAlign w:val="center"/>
          </w:tcPr>
          <w:p>
            <w:pPr>
              <w:spacing w:before="0" w:after="0"/>
              <w:jc w:val="right"/>
            </w:pPr>
            <w:r>
              <w:rPr>
                <w:sz w:val="18"/>
                <w:szCs w:val="18"/>
              </w:rPr>
              <w:t xml:space="preserve">1,489,000</w:t>
            </w:r>
          </w:p>
        </w:tc>
        <w:tc>
          <w:tcPr>
            <w:tcW w:w="1900" w:type="dxa"/>
            <w:vAlign w:val="center"/>
          </w:tcPr>
          <w:p>
            <w:pPr>
              <w:spacing w:before="0" w:after="0"/>
              <w:jc w:val="right"/>
            </w:pPr>
            <w:r>
              <w:rPr>
                <w:sz w:val="18"/>
                <w:szCs w:val="18"/>
              </w:rPr>
              <w:t xml:space="preserve">11.81</w:t>
            </w:r>
          </w:p>
        </w:tc>
      </w:tr>
      <w:tr>
        <w:tc>
          <w:tcPr>
            <w:tcW w:w="2872" w:type="dxa"/>
            <w:vAlign w:val="center"/>
          </w:tcPr>
          <w:p>
            <w:pPr>
              <w:spacing w:before="0" w:after="0"/>
              <w:jc w:val="left"/>
            </w:pPr>
            <w:r>
              <w:rPr>
                <w:sz w:val="18"/>
                <w:szCs w:val="18"/>
              </w:rPr>
              <w:t xml:space="preserve">Juniper Field Holdings LLC</w:t>
            </w:r>
          </w:p>
        </w:tc>
        <w:tc>
          <w:tcPr>
            <w:tcW w:w="2400" w:type="dxa"/>
            <w:vAlign w:val="center"/>
          </w:tcPr>
          <w:p>
            <w:pPr>
              <w:spacing w:before="0" w:after="0"/>
              <w:jc w:val="left"/>
            </w:pPr>
            <w:r>
              <w:rPr>
                <w:sz w:val="18"/>
                <w:szCs w:val="18"/>
              </w:rPr>
              <w:t xml:space="preserve">443 Orchard Street, Harborview</w:t>
            </w:r>
          </w:p>
        </w:tc>
        <w:tc>
          <w:tcPr>
            <w:tcW w:w="1900" w:type="dxa"/>
            <w:vAlign w:val="center"/>
          </w:tcPr>
          <w:p>
            <w:pPr>
              <w:spacing w:before="0" w:after="0"/>
              <w:jc w:val="right"/>
            </w:pPr>
            <w:r>
              <w:rPr>
                <w:sz w:val="18"/>
                <w:szCs w:val="18"/>
              </w:rPr>
              <w:t xml:space="preserve">308,000</w:t>
            </w:r>
          </w:p>
        </w:tc>
        <w:tc>
          <w:tcPr>
            <w:tcW w:w="1900" w:type="dxa"/>
            <w:vAlign w:val="center"/>
          </w:tcPr>
          <w:p>
            <w:pPr>
              <w:spacing w:before="0" w:after="0"/>
              <w:jc w:val="right"/>
            </w:pPr>
            <w:r>
              <w:rPr>
                <w:sz w:val="18"/>
                <w:szCs w:val="18"/>
              </w:rPr>
              <w:t xml:space="preserve">9.43</w:t>
            </w:r>
          </w:p>
        </w:tc>
      </w:tr>
      <w:tr>
        <w:tc>
          <w:tcPr>
            <w:tcW w:w="2872" w:type="dxa"/>
            <w:vAlign w:val="center"/>
          </w:tcPr>
          <w:p>
            <w:pPr>
              <w:spacing w:before="0" w:after="0"/>
              <w:jc w:val="left"/>
            </w:pPr>
            <w:r>
              <w:rPr>
                <w:sz w:val="18"/>
                <w:szCs w:val="18"/>
              </w:rPr>
              <w:t xml:space="preserve">Larchmont Hollow Partners LLC</w:t>
            </w:r>
          </w:p>
        </w:tc>
        <w:tc>
          <w:tcPr>
            <w:tcW w:w="2400" w:type="dxa"/>
            <w:vAlign w:val="center"/>
          </w:tcPr>
          <w:p>
            <w:pPr>
              <w:spacing w:before="0" w:after="0"/>
              <w:jc w:val="left"/>
            </w:pPr>
            <w:r>
              <w:rPr>
                <w:sz w:val="18"/>
                <w:szCs w:val="18"/>
              </w:rPr>
              <w:t xml:space="preserve">51 Market Street, Eastbay</w:t>
            </w:r>
          </w:p>
        </w:tc>
        <w:tc>
          <w:tcPr>
            <w:tcW w:w="1900" w:type="dxa"/>
            <w:vAlign w:val="center"/>
          </w:tcPr>
          <w:p>
            <w:pPr>
              <w:spacing w:before="0" w:after="0"/>
              <w:jc w:val="right"/>
            </w:pPr>
            <w:r>
              <w:rPr>
                <w:sz w:val="18"/>
                <w:szCs w:val="18"/>
              </w:rPr>
              <w:t xml:space="preserve">1,040,000</w:t>
            </w:r>
          </w:p>
        </w:tc>
        <w:tc>
          <w:tcPr>
            <w:tcW w:w="1900" w:type="dxa"/>
            <w:vAlign w:val="center"/>
          </w:tcPr>
          <w:p>
            <w:pPr>
              <w:spacing w:before="0" w:after="0"/>
              <w:jc w:val="right"/>
            </w:pPr>
            <w:r>
              <w:rPr>
                <w:sz w:val="18"/>
                <w:szCs w:val="18"/>
              </w:rPr>
              <w:t xml:space="preserve">8.92</w:t>
            </w:r>
          </w:p>
        </w:tc>
      </w:tr>
      <w:tr>
        <w:tc>
          <w:tcPr>
            <w:tcW w:w="2872" w:type="dxa"/>
            <w:vAlign w:val="center"/>
          </w:tcPr>
          <w:p>
            <w:pPr>
              <w:spacing w:before="0" w:after="0"/>
              <w:jc w:val="left"/>
            </w:pPr>
            <w:r>
              <w:rPr>
                <w:sz w:val="18"/>
                <w:szCs w:val="18"/>
              </w:rPr>
              <w:t xml:space="preserve">Glenhaven Bay Partners LLC</w:t>
            </w:r>
          </w:p>
        </w:tc>
        <w:tc>
          <w:tcPr>
            <w:tcW w:w="2400" w:type="dxa"/>
            <w:vAlign w:val="center"/>
          </w:tcPr>
          <w:p>
            <w:pPr>
              <w:spacing w:before="0" w:after="0"/>
              <w:jc w:val="left"/>
            </w:pPr>
            <w:r>
              <w:rPr>
                <w:sz w:val="18"/>
                <w:szCs w:val="18"/>
              </w:rPr>
              <w:t xml:space="preserve">322 Market Street, Hillcrest</w:t>
            </w:r>
          </w:p>
        </w:tc>
        <w:tc>
          <w:tcPr>
            <w:tcW w:w="1900" w:type="dxa"/>
            <w:vAlign w:val="center"/>
          </w:tcPr>
          <w:p>
            <w:pPr>
              <w:spacing w:before="0" w:after="0"/>
              <w:jc w:val="right"/>
            </w:pPr>
            <w:r>
              <w:rPr>
                <w:sz w:val="18"/>
                <w:szCs w:val="18"/>
              </w:rPr>
              <w:t xml:space="preserve">532,000</w:t>
            </w:r>
          </w:p>
        </w:tc>
        <w:tc>
          <w:tcPr>
            <w:tcW w:w="1900" w:type="dxa"/>
            <w:vAlign w:val="center"/>
          </w:tcPr>
          <w:p>
            <w:pPr>
              <w:spacing w:before="0" w:after="0"/>
              <w:jc w:val="right"/>
            </w:pPr>
            <w:r>
              <w:rPr>
                <w:sz w:val="18"/>
                <w:szCs w:val="18"/>
              </w:rPr>
              <w:t xml:space="preserve">9.00</w:t>
            </w:r>
          </w:p>
        </w:tc>
      </w:tr>
      <w:tr>
        <w:tc>
          <w:tcPr>
            <w:tcW w:w="2872" w:type="dxa"/>
            <w:vAlign w:val="center"/>
          </w:tcPr>
          <w:p>
            <w:pPr>
              <w:spacing w:before="0" w:after="0"/>
              <w:jc w:val="left"/>
            </w:pPr>
            <w:r>
              <w:rPr>
                <w:sz w:val="18"/>
                <w:szCs w:val="18"/>
              </w:rPr>
              <w:t xml:space="preserve">Larchmont Crest Capital LP</w:t>
            </w:r>
          </w:p>
        </w:tc>
        <w:tc>
          <w:tcPr>
            <w:tcW w:w="2400" w:type="dxa"/>
            <w:vAlign w:val="center"/>
          </w:tcPr>
          <w:p>
            <w:pPr>
              <w:spacing w:before="0" w:after="0"/>
              <w:jc w:val="left"/>
            </w:pPr>
            <w:r>
              <w:rPr>
                <w:sz w:val="18"/>
                <w:szCs w:val="18"/>
              </w:rPr>
              <w:t xml:space="preserve">841 Mill Street, Eastbay</w:t>
            </w:r>
          </w:p>
        </w:tc>
        <w:tc>
          <w:tcPr>
            <w:tcW w:w="1900" w:type="dxa"/>
            <w:vAlign w:val="center"/>
          </w:tcPr>
          <w:p>
            <w:pPr>
              <w:spacing w:before="0" w:after="0"/>
              <w:jc w:val="right"/>
            </w:pPr>
            <w:r>
              <w:rPr>
                <w:sz w:val="18"/>
                <w:szCs w:val="18"/>
              </w:rPr>
              <w:t xml:space="preserve">2,182,000</w:t>
            </w:r>
          </w:p>
        </w:tc>
        <w:tc>
          <w:tcPr>
            <w:tcW w:w="1900" w:type="dxa"/>
            <w:vAlign w:val="center"/>
          </w:tcPr>
          <w:p>
            <w:pPr>
              <w:spacing w:before="0" w:after="0"/>
              <w:jc w:val="right"/>
            </w:pPr>
            <w:r>
              <w:rPr>
                <w:sz w:val="18"/>
                <w:szCs w:val="18"/>
              </w:rPr>
              <w:t xml:space="preserve">0.97</w:t>
            </w:r>
          </w:p>
        </w:tc>
      </w:tr>
      <w:tr>
        <w:tc>
          <w:tcPr>
            <w:tcW w:w="2872" w:type="dxa"/>
            <w:vAlign w:val="center"/>
          </w:tcPr>
          <w:p>
            <w:pPr>
              <w:spacing w:before="0" w:after="0"/>
              <w:jc w:val="left"/>
            </w:pPr>
            <w:r>
              <w:rPr>
                <w:sz w:val="18"/>
                <w:szCs w:val="18"/>
              </w:rPr>
              <w:t xml:space="preserve">Bramble Ridge Partners LLC</w:t>
            </w:r>
          </w:p>
        </w:tc>
        <w:tc>
          <w:tcPr>
            <w:tcW w:w="2400" w:type="dxa"/>
            <w:vAlign w:val="center"/>
          </w:tcPr>
          <w:p>
            <w:pPr>
              <w:spacing w:before="0" w:after="0"/>
              <w:jc w:val="left"/>
            </w:pPr>
            <w:r>
              <w:rPr>
                <w:sz w:val="18"/>
                <w:szCs w:val="18"/>
              </w:rPr>
              <w:t xml:space="preserve">293 Market Street, Westridge</w:t>
            </w:r>
          </w:p>
        </w:tc>
        <w:tc>
          <w:tcPr>
            <w:tcW w:w="1900" w:type="dxa"/>
            <w:vAlign w:val="center"/>
          </w:tcPr>
          <w:p>
            <w:pPr>
              <w:spacing w:before="0" w:after="0"/>
              <w:jc w:val="right"/>
            </w:pPr>
            <w:r>
              <w:rPr>
                <w:sz w:val="18"/>
                <w:szCs w:val="18"/>
              </w:rPr>
              <w:t xml:space="preserve">2,279,000</w:t>
            </w:r>
          </w:p>
        </w:tc>
        <w:tc>
          <w:tcPr>
            <w:tcW w:w="1900" w:type="dxa"/>
            <w:vAlign w:val="center"/>
          </w:tcPr>
          <w:p>
            <w:pPr>
              <w:spacing w:before="0" w:after="0"/>
              <w:jc w:val="right"/>
            </w:pPr>
            <w:r>
              <w:rPr>
                <w:sz w:val="18"/>
                <w:szCs w:val="18"/>
              </w:rPr>
              <w:t xml:space="preserve">8.02</w:t>
            </w:r>
          </w:p>
        </w:tc>
      </w:tr>
      <w:tr>
        <w:tc>
          <w:tcPr>
            <w:tcW w:w="2872" w:type="dxa"/>
            <w:vAlign w:val="center"/>
          </w:tcPr>
          <w:p>
            <w:pPr>
              <w:spacing w:before="0" w:after="0"/>
              <w:jc w:val="left"/>
            </w:pPr>
            <w:r>
              <w:rPr>
                <w:sz w:val="18"/>
                <w:szCs w:val="18"/>
              </w:rPr>
              <w:t xml:space="preserve">Hollis Crest Holdings LLC</w:t>
            </w:r>
          </w:p>
        </w:tc>
        <w:tc>
          <w:tcPr>
            <w:tcW w:w="2400" w:type="dxa"/>
            <w:vAlign w:val="center"/>
          </w:tcPr>
          <w:p>
            <w:pPr>
              <w:spacing w:before="0" w:after="0"/>
              <w:jc w:val="left"/>
            </w:pPr>
            <w:r>
              <w:rPr>
                <w:sz w:val="18"/>
                <w:szCs w:val="18"/>
              </w:rPr>
              <w:t xml:space="preserve">857 Chapel Street, Riverside</w:t>
            </w:r>
          </w:p>
        </w:tc>
        <w:tc>
          <w:tcPr>
            <w:tcW w:w="1900" w:type="dxa"/>
            <w:vAlign w:val="center"/>
          </w:tcPr>
          <w:p>
            <w:pPr>
              <w:spacing w:before="0" w:after="0"/>
              <w:jc w:val="right"/>
            </w:pPr>
            <w:r>
              <w:rPr>
                <w:sz w:val="18"/>
                <w:szCs w:val="18"/>
              </w:rPr>
              <w:t xml:space="preserve">3,219,000</w:t>
            </w:r>
          </w:p>
        </w:tc>
        <w:tc>
          <w:tcPr>
            <w:tcW w:w="1900" w:type="dxa"/>
            <w:vAlign w:val="center"/>
          </w:tcPr>
          <w:p>
            <w:pPr>
              <w:spacing w:before="0" w:after="0"/>
              <w:jc w:val="right"/>
            </w:pPr>
            <w:r>
              <w:rPr>
                <w:sz w:val="18"/>
                <w:szCs w:val="18"/>
              </w:rPr>
              <w:t xml:space="preserve">11.92</w:t>
            </w:r>
          </w:p>
        </w:tc>
      </w:tr>
      <w:tr>
        <w:tc>
          <w:tcPr>
            <w:tcW w:w="2872" w:type="dxa"/>
            <w:vAlign w:val="center"/>
          </w:tcPr>
          <w:p>
            <w:pPr>
              <w:spacing w:before="0" w:after="0"/>
              <w:jc w:val="left"/>
            </w:pPr>
            <w:r>
              <w:rPr>
                <w:sz w:val="18"/>
                <w:szCs w:val="18"/>
              </w:rPr>
              <w:t xml:space="preserve">Fenwick Ridge Growth Fund LP</w:t>
            </w:r>
          </w:p>
        </w:tc>
        <w:tc>
          <w:tcPr>
            <w:tcW w:w="2400" w:type="dxa"/>
            <w:vAlign w:val="center"/>
          </w:tcPr>
          <w:p>
            <w:pPr>
              <w:spacing w:before="0" w:after="0"/>
              <w:jc w:val="left"/>
            </w:pPr>
            <w:r>
              <w:rPr>
                <w:sz w:val="18"/>
                <w:szCs w:val="18"/>
              </w:rPr>
              <w:t xml:space="preserve">492 Mill Street, Southport</w:t>
            </w:r>
          </w:p>
        </w:tc>
        <w:tc>
          <w:tcPr>
            <w:tcW w:w="1900" w:type="dxa"/>
            <w:vAlign w:val="center"/>
          </w:tcPr>
          <w:p>
            <w:pPr>
              <w:spacing w:before="0" w:after="0"/>
              <w:jc w:val="right"/>
            </w:pPr>
            <w:r>
              <w:rPr>
                <w:sz w:val="18"/>
                <w:szCs w:val="18"/>
              </w:rPr>
              <w:t xml:space="preserve">665,000</w:t>
            </w:r>
          </w:p>
        </w:tc>
        <w:tc>
          <w:tcPr>
            <w:tcW w:w="1900" w:type="dxa"/>
            <w:vAlign w:val="center"/>
          </w:tcPr>
          <w:p>
            <w:pPr>
              <w:spacing w:before="0" w:after="0"/>
              <w:jc w:val="right"/>
            </w:pPr>
            <w:r>
              <w:rPr>
                <w:sz w:val="18"/>
                <w:szCs w:val="18"/>
              </w:rPr>
              <w:t xml:space="preserve">4.01</w:t>
            </w:r>
          </w:p>
        </w:tc>
      </w:tr>
      <w:tr>
        <w:tc>
          <w:tcPr>
            <w:tcW w:w="2872" w:type="dxa"/>
            <w:vAlign w:val="center"/>
          </w:tcPr>
          <w:p>
            <w:pPr>
              <w:spacing w:before="0" w:after="0"/>
              <w:jc w:val="left"/>
            </w:pPr>
            <w:r>
              <w:rPr>
                <w:sz w:val="18"/>
                <w:szCs w:val="18"/>
              </w:rPr>
              <w:t xml:space="preserve">Fenwick Hollow Growth Fund LP</w:t>
            </w:r>
          </w:p>
        </w:tc>
        <w:tc>
          <w:tcPr>
            <w:tcW w:w="2400" w:type="dxa"/>
            <w:vAlign w:val="center"/>
          </w:tcPr>
          <w:p>
            <w:pPr>
              <w:spacing w:before="0" w:after="0"/>
              <w:jc w:val="left"/>
            </w:pPr>
            <w:r>
              <w:rPr>
                <w:sz w:val="18"/>
                <w:szCs w:val="18"/>
              </w:rPr>
              <w:t xml:space="preserve">772 Mill Street, Riverside</w:t>
            </w:r>
          </w:p>
        </w:tc>
        <w:tc>
          <w:tcPr>
            <w:tcW w:w="1900" w:type="dxa"/>
            <w:vAlign w:val="center"/>
          </w:tcPr>
          <w:p>
            <w:pPr>
              <w:spacing w:before="0" w:after="0"/>
              <w:jc w:val="right"/>
            </w:pPr>
            <w:r>
              <w:rPr>
                <w:sz w:val="18"/>
                <w:szCs w:val="18"/>
              </w:rPr>
              <w:t xml:space="preserve">3,937,000</w:t>
            </w:r>
          </w:p>
        </w:tc>
        <w:tc>
          <w:tcPr>
            <w:tcW w:w="1900" w:type="dxa"/>
            <w:vAlign w:val="center"/>
          </w:tcPr>
          <w:p>
            <w:pPr>
              <w:spacing w:before="0" w:after="0"/>
              <w:jc w:val="right"/>
            </w:pPr>
            <w:r>
              <w:rPr>
                <w:sz w:val="18"/>
                <w:szCs w:val="18"/>
              </w:rPr>
              <w:t xml:space="preserve">1.57</w:t>
            </w:r>
          </w:p>
        </w:tc>
      </w:tr>
      <w:tr>
        <w:tc>
          <w:tcPr>
            <w:tcW w:w="2872" w:type="dxa"/>
            <w:vAlign w:val="center"/>
          </w:tcPr>
          <w:p>
            <w:pPr>
              <w:spacing w:before="0" w:after="0"/>
              <w:jc w:val="left"/>
            </w:pPr>
            <w:r>
              <w:rPr>
                <w:sz w:val="18"/>
                <w:szCs w:val="18"/>
              </w:rPr>
              <w:t xml:space="preserve">Kestrel Crest Investments LP</w:t>
            </w:r>
          </w:p>
        </w:tc>
        <w:tc>
          <w:tcPr>
            <w:tcW w:w="2400" w:type="dxa"/>
            <w:vAlign w:val="center"/>
          </w:tcPr>
          <w:p>
            <w:pPr>
              <w:spacing w:before="0" w:after="0"/>
              <w:jc w:val="left"/>
            </w:pPr>
            <w:r>
              <w:rPr>
                <w:sz w:val="18"/>
                <w:szCs w:val="18"/>
              </w:rPr>
              <w:t xml:space="preserve">83 Station Street, Northfield</w:t>
            </w:r>
          </w:p>
        </w:tc>
        <w:tc>
          <w:tcPr>
            <w:tcW w:w="1900" w:type="dxa"/>
            <w:vAlign w:val="center"/>
          </w:tcPr>
          <w:p>
            <w:pPr>
              <w:spacing w:before="0" w:after="0"/>
              <w:jc w:val="right"/>
            </w:pPr>
            <w:r>
              <w:rPr>
                <w:sz w:val="18"/>
                <w:szCs w:val="18"/>
              </w:rPr>
              <w:t xml:space="preserve">4,876,000</w:t>
            </w:r>
          </w:p>
        </w:tc>
        <w:tc>
          <w:tcPr>
            <w:tcW w:w="1900" w:type="dxa"/>
            <w:vAlign w:val="center"/>
          </w:tcPr>
          <w:p>
            <w:pPr>
              <w:spacing w:before="0" w:after="0"/>
              <w:jc w:val="right"/>
            </w:pPr>
            <w:r>
              <w:rPr>
                <w:sz w:val="18"/>
                <w:szCs w:val="18"/>
              </w:rPr>
              <w:t xml:space="preserve">7.47</w:t>
            </w:r>
          </w:p>
        </w:tc>
      </w:tr>
      <w:tr>
        <w:tc>
          <w:tcPr>
            <w:tcW w:w="2872" w:type="dxa"/>
            <w:vAlign w:val="center"/>
          </w:tcPr>
          <w:p>
            <w:pPr>
              <w:spacing w:before="0" w:after="0"/>
              <w:jc w:val="left"/>
            </w:pPr>
            <w:r>
              <w:rPr>
                <w:sz w:val="18"/>
                <w:szCs w:val="18"/>
              </w:rPr>
              <w:t xml:space="preserve">Cobalt Ridge Family Trust</w:t>
            </w:r>
          </w:p>
        </w:tc>
        <w:tc>
          <w:tcPr>
            <w:tcW w:w="2400" w:type="dxa"/>
            <w:vAlign w:val="center"/>
          </w:tcPr>
          <w:p>
            <w:pPr>
              <w:spacing w:before="0" w:after="0"/>
              <w:jc w:val="left"/>
            </w:pPr>
            <w:r>
              <w:rPr>
                <w:sz w:val="18"/>
                <w:szCs w:val="18"/>
              </w:rPr>
              <w:t xml:space="preserve">826 Chapel Street, Lakeside</w:t>
            </w:r>
          </w:p>
        </w:tc>
        <w:tc>
          <w:tcPr>
            <w:tcW w:w="1900" w:type="dxa"/>
            <w:vAlign w:val="center"/>
          </w:tcPr>
          <w:p>
            <w:pPr>
              <w:spacing w:before="0" w:after="0"/>
              <w:jc w:val="right"/>
            </w:pPr>
            <w:r>
              <w:rPr>
                <w:sz w:val="18"/>
                <w:szCs w:val="18"/>
              </w:rPr>
              <w:t xml:space="preserve">629,000</w:t>
            </w:r>
          </w:p>
        </w:tc>
        <w:tc>
          <w:tcPr>
            <w:tcW w:w="1900" w:type="dxa"/>
            <w:vAlign w:val="center"/>
          </w:tcPr>
          <w:p>
            <w:pPr>
              <w:spacing w:before="0" w:after="0"/>
              <w:jc w:val="right"/>
            </w:pPr>
            <w:r>
              <w:rPr>
                <w:sz w:val="18"/>
                <w:szCs w:val="18"/>
              </w:rPr>
              <w:t xml:space="preserve">6.03</w:t>
            </w:r>
          </w:p>
        </w:tc>
      </w:tr>
      <w:tr>
        <w:tc>
          <w:tcPr>
            <w:tcW w:w="2872" w:type="dxa"/>
            <w:vAlign w:val="center"/>
          </w:tcPr>
          <w:p>
            <w:pPr>
              <w:spacing w:before="0" w:after="0"/>
              <w:jc w:val="left"/>
            </w:pPr>
            <w:r>
              <w:rPr>
                <w:sz w:val="18"/>
                <w:szCs w:val="18"/>
              </w:rPr>
              <w:t xml:space="preserve">Larchmont Bay Holdings LLC</w:t>
            </w:r>
          </w:p>
        </w:tc>
        <w:tc>
          <w:tcPr>
            <w:tcW w:w="2400" w:type="dxa"/>
            <w:vAlign w:val="center"/>
          </w:tcPr>
          <w:p>
            <w:pPr>
              <w:spacing w:before="0" w:after="0"/>
              <w:jc w:val="left"/>
            </w:pPr>
            <w:r>
              <w:rPr>
                <w:sz w:val="18"/>
                <w:szCs w:val="18"/>
              </w:rPr>
              <w:t xml:space="preserve">990 Station Street, Lakeside</w:t>
            </w:r>
          </w:p>
        </w:tc>
        <w:tc>
          <w:tcPr>
            <w:tcW w:w="1900" w:type="dxa"/>
            <w:vAlign w:val="center"/>
          </w:tcPr>
          <w:p>
            <w:pPr>
              <w:spacing w:before="0" w:after="0"/>
              <w:jc w:val="right"/>
            </w:pPr>
            <w:r>
              <w:rPr>
                <w:sz w:val="18"/>
                <w:szCs w:val="18"/>
              </w:rPr>
              <w:t xml:space="preserve">2,829,000</w:t>
            </w:r>
          </w:p>
        </w:tc>
        <w:tc>
          <w:tcPr>
            <w:tcW w:w="1900" w:type="dxa"/>
            <w:vAlign w:val="center"/>
          </w:tcPr>
          <w:p>
            <w:pPr>
              <w:spacing w:before="0" w:after="0"/>
              <w:jc w:val="right"/>
            </w:pPr>
            <w:r>
              <w:rPr>
                <w:sz w:val="18"/>
                <w:szCs w:val="18"/>
              </w:rPr>
              <w:t xml:space="preserve">6.08</w:t>
            </w:r>
          </w:p>
        </w:tc>
      </w:tr>
      <w:tr>
        <w:tc>
          <w:tcPr>
            <w:tcW w:w="2872" w:type="dxa"/>
            <w:vAlign w:val="center"/>
          </w:tcPr>
          <w:p>
            <w:pPr>
              <w:spacing w:before="0" w:after="0"/>
              <w:jc w:val="left"/>
            </w:pPr>
            <w:r>
              <w:rPr>
                <w:sz w:val="18"/>
                <w:szCs w:val="18"/>
              </w:rPr>
              <w:t xml:space="preserve">Bramble Stone Capital LP</w:t>
            </w:r>
          </w:p>
        </w:tc>
        <w:tc>
          <w:tcPr>
            <w:tcW w:w="2400" w:type="dxa"/>
            <w:vAlign w:val="center"/>
          </w:tcPr>
          <w:p>
            <w:pPr>
              <w:spacing w:before="0" w:after="0"/>
              <w:jc w:val="left"/>
            </w:pPr>
            <w:r>
              <w:rPr>
                <w:sz w:val="18"/>
                <w:szCs w:val="18"/>
              </w:rPr>
              <w:t xml:space="preserve">13 Market Street, Riverside</w:t>
            </w:r>
          </w:p>
        </w:tc>
        <w:tc>
          <w:tcPr>
            <w:tcW w:w="1900" w:type="dxa"/>
            <w:vAlign w:val="center"/>
          </w:tcPr>
          <w:p>
            <w:pPr>
              <w:spacing w:before="0" w:after="0"/>
              <w:jc w:val="right"/>
            </w:pPr>
            <w:r>
              <w:rPr>
                <w:sz w:val="18"/>
                <w:szCs w:val="18"/>
              </w:rPr>
              <w:t xml:space="preserve">1,343,000</w:t>
            </w:r>
          </w:p>
        </w:tc>
        <w:tc>
          <w:tcPr>
            <w:tcW w:w="1900" w:type="dxa"/>
            <w:vAlign w:val="center"/>
          </w:tcPr>
          <w:p>
            <w:pPr>
              <w:spacing w:before="0" w:after="0"/>
              <w:jc w:val="right"/>
            </w:pPr>
            <w:r>
              <w:rPr>
                <w:sz w:val="18"/>
                <w:szCs w:val="18"/>
              </w:rPr>
              <w:t xml:space="preserve">11.78</w:t>
            </w:r>
          </w:p>
        </w:tc>
      </w:tr>
      <w:tr>
        <w:tc>
          <w:tcPr>
            <w:tcW w:w="2872" w:type="dxa"/>
            <w:vAlign w:val="center"/>
          </w:tcPr>
          <w:p>
            <w:pPr>
              <w:spacing w:before="0" w:after="0"/>
              <w:jc w:val="left"/>
            </w:pPr>
            <w:r>
              <w:rPr>
                <w:sz w:val="18"/>
                <w:szCs w:val="18"/>
              </w:rPr>
              <w:t xml:space="preserve">Dunmore Ridge Capital LP</w:t>
            </w:r>
          </w:p>
        </w:tc>
        <w:tc>
          <w:tcPr>
            <w:tcW w:w="2400" w:type="dxa"/>
            <w:vAlign w:val="center"/>
          </w:tcPr>
          <w:p>
            <w:pPr>
              <w:spacing w:before="0" w:after="0"/>
              <w:jc w:val="left"/>
            </w:pPr>
            <w:r>
              <w:rPr>
                <w:sz w:val="18"/>
                <w:szCs w:val="18"/>
              </w:rPr>
              <w:t xml:space="preserve">749 Mill Street, Lakeside</w:t>
            </w:r>
          </w:p>
        </w:tc>
        <w:tc>
          <w:tcPr>
            <w:tcW w:w="1900" w:type="dxa"/>
            <w:vAlign w:val="center"/>
          </w:tcPr>
          <w:p>
            <w:pPr>
              <w:spacing w:before="0" w:after="0"/>
              <w:jc w:val="right"/>
            </w:pPr>
            <w:r>
              <w:rPr>
                <w:sz w:val="18"/>
                <w:szCs w:val="18"/>
              </w:rPr>
              <w:t xml:space="preserve">356,000</w:t>
            </w:r>
          </w:p>
        </w:tc>
        <w:tc>
          <w:tcPr>
            <w:tcW w:w="1900" w:type="dxa"/>
            <w:vAlign w:val="center"/>
          </w:tcPr>
          <w:p>
            <w:pPr>
              <w:spacing w:before="0" w:after="0"/>
              <w:jc w:val="right"/>
            </w:pPr>
            <w:r>
              <w:rPr>
                <w:sz w:val="18"/>
                <w:szCs w:val="18"/>
              </w:rPr>
              <w:t xml:space="preserve">6.42</w:t>
            </w:r>
          </w:p>
        </w:tc>
      </w:tr>
      <w:tr>
        <w:tc>
          <w:tcPr>
            <w:tcW w:w="2872" w:type="dxa"/>
            <w:vAlign w:val="center"/>
          </w:tcPr>
          <w:p>
            <w:pPr>
              <w:spacing w:before="0" w:after="0"/>
              <w:jc w:val="left"/>
            </w:pPr>
            <w:r>
              <w:rPr>
                <w:sz w:val="18"/>
                <w:szCs w:val="18"/>
              </w:rPr>
              <w:t xml:space="preserve">Dunmore Bay Holdings LLC</w:t>
            </w:r>
          </w:p>
        </w:tc>
        <w:tc>
          <w:tcPr>
            <w:tcW w:w="2400" w:type="dxa"/>
            <w:vAlign w:val="center"/>
          </w:tcPr>
          <w:p>
            <w:pPr>
              <w:spacing w:before="0" w:after="0"/>
              <w:jc w:val="left"/>
            </w:pPr>
            <w:r>
              <w:rPr>
                <w:sz w:val="18"/>
                <w:szCs w:val="18"/>
              </w:rPr>
              <w:t xml:space="preserve">664 Orchard Street, Southport</w:t>
            </w:r>
          </w:p>
        </w:tc>
        <w:tc>
          <w:tcPr>
            <w:tcW w:w="1900" w:type="dxa"/>
            <w:vAlign w:val="center"/>
          </w:tcPr>
          <w:p>
            <w:pPr>
              <w:spacing w:before="0" w:after="0"/>
              <w:jc w:val="right"/>
            </w:pPr>
            <w:r>
              <w:rPr>
                <w:sz w:val="18"/>
                <w:szCs w:val="18"/>
              </w:rPr>
              <w:t xml:space="preserve">1,672,000</w:t>
            </w:r>
          </w:p>
        </w:tc>
        <w:tc>
          <w:tcPr>
            <w:tcW w:w="1900" w:type="dxa"/>
            <w:vAlign w:val="center"/>
          </w:tcPr>
          <w:p>
            <w:pPr>
              <w:spacing w:before="0" w:after="0"/>
              <w:jc w:val="right"/>
            </w:pPr>
            <w:r>
              <w:rPr>
                <w:sz w:val="18"/>
                <w:szCs w:val="18"/>
              </w:rPr>
              <w:t xml:space="preserve">11.83</w:t>
            </w:r>
          </w:p>
        </w:tc>
      </w:tr>
      <w:tr>
        <w:tc>
          <w:tcPr>
            <w:tcW w:w="2872" w:type="dxa"/>
            <w:vAlign w:val="center"/>
          </w:tcPr>
          <w:p>
            <w:pPr>
              <w:spacing w:before="0" w:after="0"/>
              <w:jc w:val="left"/>
            </w:pPr>
            <w:r>
              <w:rPr>
                <w:sz w:val="18"/>
                <w:szCs w:val="18"/>
              </w:rPr>
              <w:t xml:space="preserve">Dunmore Field Holdings LLC</w:t>
            </w:r>
          </w:p>
        </w:tc>
        <w:tc>
          <w:tcPr>
            <w:tcW w:w="2400" w:type="dxa"/>
            <w:vAlign w:val="center"/>
          </w:tcPr>
          <w:p>
            <w:pPr>
              <w:spacing w:before="0" w:after="0"/>
              <w:jc w:val="left"/>
            </w:pPr>
            <w:r>
              <w:rPr>
                <w:sz w:val="18"/>
                <w:szCs w:val="18"/>
              </w:rPr>
              <w:t xml:space="preserve">351 Station Street, Eastbay</w:t>
            </w:r>
          </w:p>
        </w:tc>
        <w:tc>
          <w:tcPr>
            <w:tcW w:w="1900" w:type="dxa"/>
            <w:vAlign w:val="center"/>
          </w:tcPr>
          <w:p>
            <w:pPr>
              <w:spacing w:before="0" w:after="0"/>
              <w:jc w:val="right"/>
            </w:pPr>
            <w:r>
              <w:rPr>
                <w:sz w:val="18"/>
                <w:szCs w:val="18"/>
              </w:rPr>
              <w:t xml:space="preserve">2,321,000</w:t>
            </w:r>
          </w:p>
        </w:tc>
        <w:tc>
          <w:tcPr>
            <w:tcW w:w="1900" w:type="dxa"/>
            <w:vAlign w:val="center"/>
          </w:tcPr>
          <w:p>
            <w:pPr>
              <w:spacing w:before="0" w:after="0"/>
              <w:jc w:val="right"/>
            </w:pPr>
            <w:r>
              <w:rPr>
                <w:sz w:val="18"/>
                <w:szCs w:val="18"/>
              </w:rPr>
              <w:t xml:space="preserve">7.90</w:t>
            </w:r>
          </w:p>
        </w:tc>
      </w:tr>
      <w:tr>
        <w:tc>
          <w:tcPr>
            <w:tcW w:w="2872" w:type="dxa"/>
            <w:vAlign w:val="center"/>
          </w:tcPr>
          <w:p>
            <w:pPr>
              <w:spacing w:before="0" w:after="0"/>
              <w:jc w:val="left"/>
            </w:pPr>
            <w:r>
              <w:rPr>
                <w:sz w:val="18"/>
                <w:szCs w:val="18"/>
              </w:rPr>
              <w:t xml:space="preserve">Elkhorn Stone Growth Fund LP</w:t>
            </w:r>
          </w:p>
        </w:tc>
        <w:tc>
          <w:tcPr>
            <w:tcW w:w="2400" w:type="dxa"/>
            <w:vAlign w:val="center"/>
          </w:tcPr>
          <w:p>
            <w:pPr>
              <w:spacing w:before="0" w:after="0"/>
              <w:jc w:val="left"/>
            </w:pPr>
            <w:r>
              <w:rPr>
                <w:sz w:val="18"/>
                <w:szCs w:val="18"/>
              </w:rPr>
              <w:t xml:space="preserve">738 Harbor Street, Lakeside</w:t>
            </w:r>
          </w:p>
        </w:tc>
        <w:tc>
          <w:tcPr>
            <w:tcW w:w="1900" w:type="dxa"/>
            <w:vAlign w:val="center"/>
          </w:tcPr>
          <w:p>
            <w:pPr>
              <w:spacing w:before="0" w:after="0"/>
              <w:jc w:val="right"/>
            </w:pPr>
            <w:r>
              <w:rPr>
                <w:sz w:val="18"/>
                <w:szCs w:val="18"/>
              </w:rPr>
              <w:t xml:space="preserve">4,309,000</w:t>
            </w:r>
          </w:p>
        </w:tc>
        <w:tc>
          <w:tcPr>
            <w:tcW w:w="1900" w:type="dxa"/>
            <w:vAlign w:val="center"/>
          </w:tcPr>
          <w:p>
            <w:pPr>
              <w:spacing w:before="0" w:after="0"/>
              <w:jc w:val="right"/>
            </w:pPr>
            <w:r>
              <w:rPr>
                <w:sz w:val="18"/>
                <w:szCs w:val="18"/>
              </w:rPr>
              <w:t xml:space="preserve">2.85</w:t>
            </w:r>
          </w:p>
        </w:tc>
      </w:tr>
      <w:tr>
        <w:tc>
          <w:tcPr>
            <w:tcW w:w="2872" w:type="dxa"/>
            <w:vAlign w:val="center"/>
          </w:tcPr>
          <w:p>
            <w:pPr>
              <w:spacing w:before="0" w:after="0"/>
              <w:jc w:val="left"/>
            </w:pPr>
            <w:r>
              <w:rPr>
                <w:sz w:val="18"/>
                <w:szCs w:val="18"/>
              </w:rPr>
              <w:t xml:space="preserve">Cobalt Ridge Capital LP</w:t>
            </w:r>
          </w:p>
        </w:tc>
        <w:tc>
          <w:tcPr>
            <w:tcW w:w="2400" w:type="dxa"/>
            <w:vAlign w:val="center"/>
          </w:tcPr>
          <w:p>
            <w:pPr>
              <w:spacing w:before="0" w:after="0"/>
              <w:jc w:val="left"/>
            </w:pPr>
            <w:r>
              <w:rPr>
                <w:sz w:val="18"/>
                <w:szCs w:val="18"/>
              </w:rPr>
              <w:t xml:space="preserve">804 Orchard Street, Riverside</w:t>
            </w:r>
          </w:p>
        </w:tc>
        <w:tc>
          <w:tcPr>
            <w:tcW w:w="1900" w:type="dxa"/>
            <w:vAlign w:val="center"/>
          </w:tcPr>
          <w:p>
            <w:pPr>
              <w:spacing w:before="0" w:after="0"/>
              <w:jc w:val="right"/>
            </w:pPr>
            <w:r>
              <w:rPr>
                <w:sz w:val="18"/>
                <w:szCs w:val="18"/>
              </w:rPr>
              <w:t xml:space="preserve">499,000</w:t>
            </w:r>
          </w:p>
        </w:tc>
        <w:tc>
          <w:tcPr>
            <w:tcW w:w="1900" w:type="dxa"/>
            <w:vAlign w:val="center"/>
          </w:tcPr>
          <w:p>
            <w:pPr>
              <w:spacing w:before="0" w:after="0"/>
              <w:jc w:val="right"/>
            </w:pPr>
            <w:r>
              <w:rPr>
                <w:sz w:val="18"/>
                <w:szCs w:val="18"/>
              </w:rPr>
              <w:t xml:space="preserve">1.19</w:t>
            </w:r>
          </w:p>
        </w:tc>
      </w:tr>
      <w:tr>
        <w:tc>
          <w:tcPr>
            <w:tcW w:w="2872" w:type="dxa"/>
            <w:vAlign w:val="center"/>
          </w:tcPr>
          <w:p>
            <w:pPr>
              <w:spacing w:before="0" w:after="0"/>
              <w:jc w:val="left"/>
            </w:pPr>
            <w:r>
              <w:rPr>
                <w:sz w:val="18"/>
                <w:szCs w:val="18"/>
              </w:rPr>
              <w:t xml:space="preserve">Dunmore Hollow Partners LLC</w:t>
            </w:r>
          </w:p>
        </w:tc>
        <w:tc>
          <w:tcPr>
            <w:tcW w:w="2400" w:type="dxa"/>
            <w:vAlign w:val="center"/>
          </w:tcPr>
          <w:p>
            <w:pPr>
              <w:spacing w:before="0" w:after="0"/>
              <w:jc w:val="left"/>
            </w:pPr>
            <w:r>
              <w:rPr>
                <w:sz w:val="18"/>
                <w:szCs w:val="18"/>
              </w:rPr>
              <w:t xml:space="preserve">279 Harbor Street, Westridge</w:t>
            </w:r>
          </w:p>
        </w:tc>
        <w:tc>
          <w:tcPr>
            <w:tcW w:w="1900" w:type="dxa"/>
            <w:vAlign w:val="center"/>
          </w:tcPr>
          <w:p>
            <w:pPr>
              <w:spacing w:before="0" w:after="0"/>
              <w:jc w:val="right"/>
            </w:pPr>
            <w:r>
              <w:rPr>
                <w:sz w:val="18"/>
                <w:szCs w:val="18"/>
              </w:rPr>
              <w:t xml:space="preserve">661,000</w:t>
            </w:r>
          </w:p>
        </w:tc>
        <w:tc>
          <w:tcPr>
            <w:tcW w:w="1900" w:type="dxa"/>
            <w:vAlign w:val="center"/>
          </w:tcPr>
          <w:p>
            <w:pPr>
              <w:spacing w:before="0" w:after="0"/>
              <w:jc w:val="right"/>
            </w:pPr>
            <w:r>
              <w:rPr>
                <w:sz w:val="18"/>
                <w:szCs w:val="18"/>
              </w:rPr>
              <w:t xml:space="preserve">4.92</w:t>
            </w:r>
          </w:p>
        </w:tc>
      </w:tr>
      <w:tr>
        <w:tc>
          <w:tcPr>
            <w:tcW w:w="2872" w:type="dxa"/>
            <w:vAlign w:val="center"/>
          </w:tcPr>
          <w:p>
            <w:pPr>
              <w:spacing w:before="0" w:after="0"/>
              <w:jc w:val="left"/>
            </w:pPr>
            <w:r>
              <w:rPr>
                <w:sz w:val="18"/>
                <w:szCs w:val="18"/>
              </w:rPr>
              <w:t xml:space="preserve">Glenhaven Brook Partners LLC</w:t>
            </w:r>
          </w:p>
        </w:tc>
        <w:tc>
          <w:tcPr>
            <w:tcW w:w="2400" w:type="dxa"/>
            <w:vAlign w:val="center"/>
          </w:tcPr>
          <w:p>
            <w:pPr>
              <w:spacing w:before="0" w:after="0"/>
              <w:jc w:val="left"/>
            </w:pPr>
            <w:r>
              <w:rPr>
                <w:sz w:val="18"/>
                <w:szCs w:val="18"/>
              </w:rPr>
              <w:t xml:space="preserve">421 Harbor Street, Harborview</w:t>
            </w:r>
          </w:p>
        </w:tc>
        <w:tc>
          <w:tcPr>
            <w:tcW w:w="1900" w:type="dxa"/>
            <w:vAlign w:val="center"/>
          </w:tcPr>
          <w:p>
            <w:pPr>
              <w:spacing w:before="0" w:after="0"/>
              <w:jc w:val="right"/>
            </w:pPr>
            <w:r>
              <w:rPr>
                <w:sz w:val="18"/>
                <w:szCs w:val="18"/>
              </w:rPr>
              <w:t xml:space="preserve">1,126,000</w:t>
            </w:r>
          </w:p>
        </w:tc>
        <w:tc>
          <w:tcPr>
            <w:tcW w:w="1900" w:type="dxa"/>
            <w:vAlign w:val="center"/>
          </w:tcPr>
          <w:p>
            <w:pPr>
              <w:spacing w:before="0" w:after="0"/>
              <w:jc w:val="right"/>
            </w:pPr>
            <w:r>
              <w:rPr>
                <w:sz w:val="18"/>
                <w:szCs w:val="18"/>
              </w:rPr>
              <w:t xml:space="preserve">1.35</w:t>
            </w:r>
          </w:p>
        </w:tc>
      </w:tr>
      <w:tr>
        <w:tc>
          <w:tcPr>
            <w:tcW w:w="2872" w:type="dxa"/>
            <w:vAlign w:val="center"/>
          </w:tcPr>
          <w:p>
            <w:pPr>
              <w:spacing w:before="0" w:after="0"/>
              <w:jc w:val="left"/>
            </w:pPr>
            <w:r>
              <w:rPr>
                <w:sz w:val="18"/>
                <w:szCs w:val="18"/>
              </w:rPr>
              <w:t xml:space="preserve">Fenwick Stone Capital LP</w:t>
            </w:r>
          </w:p>
        </w:tc>
        <w:tc>
          <w:tcPr>
            <w:tcW w:w="2400" w:type="dxa"/>
            <w:vAlign w:val="center"/>
          </w:tcPr>
          <w:p>
            <w:pPr>
              <w:spacing w:before="0" w:after="0"/>
              <w:jc w:val="left"/>
            </w:pPr>
            <w:r>
              <w:rPr>
                <w:sz w:val="18"/>
                <w:szCs w:val="18"/>
              </w:rPr>
              <w:t xml:space="preserve">127 Market Street, Southport</w:t>
            </w:r>
          </w:p>
        </w:tc>
        <w:tc>
          <w:tcPr>
            <w:tcW w:w="1900" w:type="dxa"/>
            <w:vAlign w:val="center"/>
          </w:tcPr>
          <w:p>
            <w:pPr>
              <w:spacing w:before="0" w:after="0"/>
              <w:jc w:val="right"/>
            </w:pPr>
            <w:r>
              <w:rPr>
                <w:sz w:val="18"/>
                <w:szCs w:val="18"/>
              </w:rPr>
              <w:t xml:space="preserve">3,817,000</w:t>
            </w:r>
          </w:p>
        </w:tc>
        <w:tc>
          <w:tcPr>
            <w:tcW w:w="1900" w:type="dxa"/>
            <w:vAlign w:val="center"/>
          </w:tcPr>
          <w:p>
            <w:pPr>
              <w:spacing w:before="0" w:after="0"/>
              <w:jc w:val="right"/>
            </w:pPr>
            <w:r>
              <w:rPr>
                <w:sz w:val="18"/>
                <w:szCs w:val="18"/>
              </w:rPr>
              <w:t xml:space="preserve">3.45</w:t>
            </w:r>
          </w:p>
        </w:tc>
      </w:tr>
      <w:tr>
        <w:tc>
          <w:tcPr>
            <w:tcW w:w="2872" w:type="dxa"/>
            <w:vAlign w:val="center"/>
          </w:tcPr>
          <w:p>
            <w:pPr>
              <w:spacing w:before="0" w:after="0"/>
              <w:jc w:val="left"/>
            </w:pPr>
            <w:r>
              <w:rPr>
                <w:sz w:val="18"/>
                <w:szCs w:val="18"/>
              </w:rPr>
              <w:t xml:space="preserve">Ivorydale Hollow Partners LLC</w:t>
            </w:r>
          </w:p>
        </w:tc>
        <w:tc>
          <w:tcPr>
            <w:tcW w:w="2400" w:type="dxa"/>
            <w:vAlign w:val="center"/>
          </w:tcPr>
          <w:p>
            <w:pPr>
              <w:spacing w:before="0" w:after="0"/>
              <w:jc w:val="left"/>
            </w:pPr>
            <w:r>
              <w:rPr>
                <w:sz w:val="18"/>
                <w:szCs w:val="18"/>
              </w:rPr>
              <w:t xml:space="preserve">523 Orchard Street, Harborview</w:t>
            </w:r>
          </w:p>
        </w:tc>
        <w:tc>
          <w:tcPr>
            <w:tcW w:w="1900" w:type="dxa"/>
            <w:vAlign w:val="center"/>
          </w:tcPr>
          <w:p>
            <w:pPr>
              <w:spacing w:before="0" w:after="0"/>
              <w:jc w:val="right"/>
            </w:pPr>
            <w:r>
              <w:rPr>
                <w:sz w:val="18"/>
                <w:szCs w:val="18"/>
              </w:rPr>
              <w:t xml:space="preserve">3,639,000</w:t>
            </w:r>
          </w:p>
        </w:tc>
        <w:tc>
          <w:tcPr>
            <w:tcW w:w="1900" w:type="dxa"/>
            <w:vAlign w:val="center"/>
          </w:tcPr>
          <w:p>
            <w:pPr>
              <w:spacing w:before="0" w:after="0"/>
              <w:jc w:val="right"/>
            </w:pPr>
            <w:r>
              <w:rPr>
                <w:sz w:val="18"/>
                <w:szCs w:val="18"/>
              </w:rPr>
              <w:t xml:space="preserve">4.53</w:t>
            </w:r>
          </w:p>
        </w:tc>
      </w:tr>
      <w:tr>
        <w:tc>
          <w:tcPr>
            <w:tcW w:w="2872" w:type="dxa"/>
            <w:vAlign w:val="center"/>
          </w:tcPr>
          <w:p>
            <w:pPr>
              <w:spacing w:before="0" w:after="0"/>
              <w:jc w:val="left"/>
            </w:pPr>
            <w:r>
              <w:rPr>
                <w:sz w:val="18"/>
                <w:szCs w:val="18"/>
              </w:rPr>
              <w:t xml:space="preserve">Ivorydale Brook Partners LLC</w:t>
            </w:r>
          </w:p>
        </w:tc>
        <w:tc>
          <w:tcPr>
            <w:tcW w:w="2400" w:type="dxa"/>
            <w:vAlign w:val="center"/>
          </w:tcPr>
          <w:p>
            <w:pPr>
              <w:spacing w:before="0" w:after="0"/>
              <w:jc w:val="left"/>
            </w:pPr>
            <w:r>
              <w:rPr>
                <w:sz w:val="18"/>
                <w:szCs w:val="18"/>
              </w:rPr>
              <w:t xml:space="preserve">552 Market Street, Southport</w:t>
            </w:r>
          </w:p>
        </w:tc>
        <w:tc>
          <w:tcPr>
            <w:tcW w:w="1900" w:type="dxa"/>
            <w:vAlign w:val="center"/>
          </w:tcPr>
          <w:p>
            <w:pPr>
              <w:spacing w:before="0" w:after="0"/>
              <w:jc w:val="right"/>
            </w:pPr>
            <w:r>
              <w:rPr>
                <w:sz w:val="18"/>
                <w:szCs w:val="18"/>
              </w:rPr>
              <w:t xml:space="preserve">1,693,000</w:t>
            </w:r>
          </w:p>
        </w:tc>
        <w:tc>
          <w:tcPr>
            <w:tcW w:w="1900" w:type="dxa"/>
            <w:vAlign w:val="center"/>
          </w:tcPr>
          <w:p>
            <w:pPr>
              <w:spacing w:before="0" w:after="0"/>
              <w:jc w:val="right"/>
            </w:pPr>
            <w:r>
              <w:rPr>
                <w:sz w:val="18"/>
                <w:szCs w:val="18"/>
              </w:rPr>
              <w:t xml:space="preserve">9.99</w:t>
            </w:r>
          </w:p>
        </w:tc>
      </w:tr>
      <w:tr>
        <w:tc>
          <w:tcPr>
            <w:tcW w:w="2872" w:type="dxa"/>
            <w:vAlign w:val="center"/>
          </w:tcPr>
          <w:p>
            <w:pPr>
              <w:spacing w:before="0" w:after="0"/>
              <w:jc w:val="left"/>
            </w:pPr>
            <w:r>
              <w:rPr>
                <w:sz w:val="18"/>
                <w:szCs w:val="18"/>
              </w:rPr>
              <w:t xml:space="preserve">Larchmont Brook Investments LP</w:t>
            </w:r>
          </w:p>
        </w:tc>
        <w:tc>
          <w:tcPr>
            <w:tcW w:w="2400" w:type="dxa"/>
            <w:vAlign w:val="center"/>
          </w:tcPr>
          <w:p>
            <w:pPr>
              <w:spacing w:before="0" w:after="0"/>
              <w:jc w:val="left"/>
            </w:pPr>
            <w:r>
              <w:rPr>
                <w:sz w:val="18"/>
                <w:szCs w:val="18"/>
              </w:rPr>
              <w:t xml:space="preserve">334 Orchard Street, Lakeside</w:t>
            </w:r>
          </w:p>
        </w:tc>
        <w:tc>
          <w:tcPr>
            <w:tcW w:w="1900" w:type="dxa"/>
            <w:vAlign w:val="center"/>
          </w:tcPr>
          <w:p>
            <w:pPr>
              <w:spacing w:before="0" w:after="0"/>
              <w:jc w:val="right"/>
            </w:pPr>
            <w:r>
              <w:rPr>
                <w:sz w:val="18"/>
                <w:szCs w:val="18"/>
              </w:rPr>
              <w:t xml:space="preserve">4,532,000</w:t>
            </w:r>
          </w:p>
        </w:tc>
        <w:tc>
          <w:tcPr>
            <w:tcW w:w="1900" w:type="dxa"/>
            <w:vAlign w:val="center"/>
          </w:tcPr>
          <w:p>
            <w:pPr>
              <w:spacing w:before="0" w:after="0"/>
              <w:jc w:val="right"/>
            </w:pPr>
            <w:r>
              <w:rPr>
                <w:sz w:val="18"/>
                <w:szCs w:val="18"/>
              </w:rPr>
              <w:t xml:space="preserve">3.44</w:t>
            </w:r>
          </w:p>
        </w:tc>
      </w:tr>
      <w:tr>
        <w:tc>
          <w:tcPr>
            <w:tcW w:w="2872" w:type="dxa"/>
            <w:vAlign w:val="center"/>
          </w:tcPr>
          <w:p>
            <w:pPr>
              <w:spacing w:before="0" w:after="0"/>
              <w:jc w:val="left"/>
            </w:pPr>
            <w:r>
              <w:rPr>
                <w:sz w:val="18"/>
                <w:szCs w:val="18"/>
              </w:rPr>
              <w:t xml:space="preserve">Cobalt Hollow Partners LLC</w:t>
            </w:r>
          </w:p>
        </w:tc>
        <w:tc>
          <w:tcPr>
            <w:tcW w:w="2400" w:type="dxa"/>
            <w:vAlign w:val="center"/>
          </w:tcPr>
          <w:p>
            <w:pPr>
              <w:spacing w:before="0" w:after="0"/>
              <w:jc w:val="left"/>
            </w:pPr>
            <w:r>
              <w:rPr>
                <w:sz w:val="18"/>
                <w:szCs w:val="18"/>
              </w:rPr>
              <w:t xml:space="preserve">48 Harbor Street, Lakeside</w:t>
            </w:r>
          </w:p>
        </w:tc>
        <w:tc>
          <w:tcPr>
            <w:tcW w:w="1900" w:type="dxa"/>
            <w:vAlign w:val="center"/>
          </w:tcPr>
          <w:p>
            <w:pPr>
              <w:spacing w:before="0" w:after="0"/>
              <w:jc w:val="right"/>
            </w:pPr>
            <w:r>
              <w:rPr>
                <w:sz w:val="18"/>
                <w:szCs w:val="18"/>
              </w:rPr>
              <w:t xml:space="preserve">3,979,000</w:t>
            </w:r>
          </w:p>
        </w:tc>
        <w:tc>
          <w:tcPr>
            <w:tcW w:w="1900" w:type="dxa"/>
            <w:vAlign w:val="center"/>
          </w:tcPr>
          <w:p>
            <w:pPr>
              <w:spacing w:before="0" w:after="0"/>
              <w:jc w:val="right"/>
            </w:pPr>
            <w:r>
              <w:rPr>
                <w:sz w:val="18"/>
                <w:szCs w:val="18"/>
              </w:rPr>
              <w:t xml:space="preserve">8.37</w:t>
            </w:r>
          </w:p>
        </w:tc>
      </w:tr>
      <w:tr>
        <w:tc>
          <w:tcPr>
            <w:tcW w:w="2872" w:type="dxa"/>
            <w:vAlign w:val="center"/>
          </w:tcPr>
          <w:p>
            <w:pPr>
              <w:spacing w:before="0" w:after="0"/>
              <w:jc w:val="left"/>
            </w:pPr>
            <w:r>
              <w:rPr>
                <w:sz w:val="18"/>
                <w:szCs w:val="18"/>
              </w:rPr>
              <w:t xml:space="preserve">Kestrel Ridge Investments LP</w:t>
            </w:r>
          </w:p>
        </w:tc>
        <w:tc>
          <w:tcPr>
            <w:tcW w:w="2400" w:type="dxa"/>
            <w:vAlign w:val="center"/>
          </w:tcPr>
          <w:p>
            <w:pPr>
              <w:spacing w:before="0" w:after="0"/>
              <w:jc w:val="left"/>
            </w:pPr>
            <w:r>
              <w:rPr>
                <w:sz w:val="18"/>
                <w:szCs w:val="18"/>
              </w:rPr>
              <w:t xml:space="preserve">535 Harbor Street, Harborview</w:t>
            </w:r>
          </w:p>
        </w:tc>
        <w:tc>
          <w:tcPr>
            <w:tcW w:w="1900" w:type="dxa"/>
            <w:vAlign w:val="center"/>
          </w:tcPr>
          <w:p>
            <w:pPr>
              <w:spacing w:before="0" w:after="0"/>
              <w:jc w:val="right"/>
            </w:pPr>
            <w:r>
              <w:rPr>
                <w:sz w:val="18"/>
                <w:szCs w:val="18"/>
              </w:rPr>
              <w:t xml:space="preserve">3,947,000</w:t>
            </w:r>
          </w:p>
        </w:tc>
        <w:tc>
          <w:tcPr>
            <w:tcW w:w="1900" w:type="dxa"/>
            <w:vAlign w:val="center"/>
          </w:tcPr>
          <w:p>
            <w:pPr>
              <w:spacing w:before="0" w:after="0"/>
              <w:jc w:val="right"/>
            </w:pPr>
            <w:r>
              <w:rPr>
                <w:sz w:val="18"/>
                <w:szCs w:val="18"/>
              </w:rPr>
              <w:t xml:space="preserve">4.72</w:t>
            </w:r>
          </w:p>
        </w:tc>
      </w:tr>
      <w:tr>
        <w:tc>
          <w:tcPr>
            <w:tcW w:w="2872" w:type="dxa"/>
            <w:vAlign w:val="center"/>
          </w:tcPr>
          <w:p>
            <w:pPr>
              <w:spacing w:before="0" w:after="0"/>
              <w:jc w:val="left"/>
            </w:pPr>
            <w:r>
              <w:rPr>
                <w:sz w:val="18"/>
                <w:szCs w:val="18"/>
              </w:rPr>
              <w:t xml:space="preserve">Larchmont Stone Holdings LLC</w:t>
            </w:r>
          </w:p>
        </w:tc>
        <w:tc>
          <w:tcPr>
            <w:tcW w:w="2400" w:type="dxa"/>
            <w:vAlign w:val="center"/>
          </w:tcPr>
          <w:p>
            <w:pPr>
              <w:spacing w:before="0" w:after="0"/>
              <w:jc w:val="left"/>
            </w:pPr>
            <w:r>
              <w:rPr>
                <w:sz w:val="18"/>
                <w:szCs w:val="18"/>
              </w:rPr>
              <w:t xml:space="preserve">206 Harbor Street, Hillcrest</w:t>
            </w:r>
          </w:p>
        </w:tc>
        <w:tc>
          <w:tcPr>
            <w:tcW w:w="1900" w:type="dxa"/>
            <w:vAlign w:val="center"/>
          </w:tcPr>
          <w:p>
            <w:pPr>
              <w:spacing w:before="0" w:after="0"/>
              <w:jc w:val="right"/>
            </w:pPr>
            <w:r>
              <w:rPr>
                <w:sz w:val="18"/>
                <w:szCs w:val="18"/>
              </w:rPr>
              <w:t xml:space="preserve">2,509,000</w:t>
            </w:r>
          </w:p>
        </w:tc>
        <w:tc>
          <w:tcPr>
            <w:tcW w:w="1900" w:type="dxa"/>
            <w:vAlign w:val="center"/>
          </w:tcPr>
          <w:p>
            <w:pPr>
              <w:spacing w:before="0" w:after="0"/>
              <w:jc w:val="right"/>
            </w:pPr>
            <w:r>
              <w:rPr>
                <w:sz w:val="18"/>
                <w:szCs w:val="18"/>
              </w:rPr>
              <w:t xml:space="preserve">1.97</w:t>
            </w:r>
          </w:p>
        </w:tc>
      </w:tr>
      <w:tr>
        <w:tc>
          <w:tcPr>
            <w:tcW w:w="2872" w:type="dxa"/>
            <w:vAlign w:val="center"/>
          </w:tcPr>
          <w:p>
            <w:pPr>
              <w:spacing w:before="0" w:after="0"/>
              <w:jc w:val="left"/>
            </w:pPr>
            <w:r>
              <w:rPr>
                <w:sz w:val="18"/>
                <w:szCs w:val="18"/>
              </w:rPr>
              <w:t xml:space="preserve">Dunmore Crest Investments LP</w:t>
            </w:r>
          </w:p>
        </w:tc>
        <w:tc>
          <w:tcPr>
            <w:tcW w:w="2400" w:type="dxa"/>
            <w:vAlign w:val="center"/>
          </w:tcPr>
          <w:p>
            <w:pPr>
              <w:spacing w:before="0" w:after="0"/>
              <w:jc w:val="left"/>
            </w:pPr>
            <w:r>
              <w:rPr>
                <w:sz w:val="18"/>
                <w:szCs w:val="18"/>
              </w:rPr>
              <w:t xml:space="preserve">915 Chapel Street, Lakeside</w:t>
            </w:r>
          </w:p>
        </w:tc>
        <w:tc>
          <w:tcPr>
            <w:tcW w:w="1900" w:type="dxa"/>
            <w:vAlign w:val="center"/>
          </w:tcPr>
          <w:p>
            <w:pPr>
              <w:spacing w:before="0" w:after="0"/>
              <w:jc w:val="right"/>
            </w:pPr>
            <w:r>
              <w:rPr>
                <w:sz w:val="18"/>
                <w:szCs w:val="18"/>
              </w:rPr>
              <w:t xml:space="preserve">3,429,000</w:t>
            </w:r>
          </w:p>
        </w:tc>
        <w:tc>
          <w:tcPr>
            <w:tcW w:w="1900" w:type="dxa"/>
            <w:vAlign w:val="center"/>
          </w:tcPr>
          <w:p>
            <w:pPr>
              <w:spacing w:before="0" w:after="0"/>
              <w:jc w:val="right"/>
            </w:pPr>
            <w:r>
              <w:rPr>
                <w:sz w:val="18"/>
                <w:szCs w:val="18"/>
              </w:rPr>
              <w:t xml:space="preserve">0.70</w:t>
            </w:r>
          </w:p>
        </w:tc>
      </w:tr>
      <w:tr>
        <w:tc>
          <w:tcPr>
            <w:tcW w:w="2872" w:type="dxa"/>
            <w:vAlign w:val="center"/>
          </w:tcPr>
          <w:p>
            <w:pPr>
              <w:spacing w:before="0" w:after="0"/>
              <w:jc w:val="left"/>
            </w:pPr>
            <w:r>
              <w:rPr>
                <w:sz w:val="18"/>
                <w:szCs w:val="18"/>
              </w:rPr>
              <w:t xml:space="preserve">Hollis Field Partners LLC</w:t>
            </w:r>
          </w:p>
        </w:tc>
        <w:tc>
          <w:tcPr>
            <w:tcW w:w="2400" w:type="dxa"/>
            <w:vAlign w:val="center"/>
          </w:tcPr>
          <w:p>
            <w:pPr>
              <w:spacing w:before="0" w:after="0"/>
              <w:jc w:val="left"/>
            </w:pPr>
            <w:r>
              <w:rPr>
                <w:sz w:val="18"/>
                <w:szCs w:val="18"/>
              </w:rPr>
              <w:t xml:space="preserve">750 Harbor Street, Southport</w:t>
            </w:r>
          </w:p>
        </w:tc>
        <w:tc>
          <w:tcPr>
            <w:tcW w:w="1900" w:type="dxa"/>
            <w:vAlign w:val="center"/>
          </w:tcPr>
          <w:p>
            <w:pPr>
              <w:spacing w:before="0" w:after="0"/>
              <w:jc w:val="right"/>
            </w:pPr>
            <w:r>
              <w:rPr>
                <w:sz w:val="18"/>
                <w:szCs w:val="18"/>
              </w:rPr>
              <w:t xml:space="preserve">606,000</w:t>
            </w:r>
          </w:p>
        </w:tc>
        <w:tc>
          <w:tcPr>
            <w:tcW w:w="1900" w:type="dxa"/>
            <w:vAlign w:val="center"/>
          </w:tcPr>
          <w:p>
            <w:pPr>
              <w:spacing w:before="0" w:after="0"/>
              <w:jc w:val="right"/>
            </w:pPr>
            <w:r>
              <w:rPr>
                <w:sz w:val="18"/>
                <w:szCs w:val="18"/>
              </w:rPr>
              <w:t xml:space="preserve">2.62</w:t>
            </w:r>
          </w:p>
        </w:tc>
      </w:tr>
      <w:tr>
        <w:tc>
          <w:tcPr>
            <w:tcW w:w="2872" w:type="dxa"/>
            <w:vAlign w:val="center"/>
          </w:tcPr>
          <w:p>
            <w:pPr>
              <w:spacing w:before="0" w:after="0"/>
              <w:jc w:val="left"/>
            </w:pPr>
            <w:r>
              <w:rPr>
                <w:sz w:val="18"/>
                <w:szCs w:val="18"/>
              </w:rPr>
              <w:t xml:space="preserve">Juniper Hollow Holdings LLC</w:t>
            </w:r>
          </w:p>
        </w:tc>
        <w:tc>
          <w:tcPr>
            <w:tcW w:w="2400" w:type="dxa"/>
            <w:vAlign w:val="center"/>
          </w:tcPr>
          <w:p>
            <w:pPr>
              <w:spacing w:before="0" w:after="0"/>
              <w:jc w:val="left"/>
            </w:pPr>
            <w:r>
              <w:rPr>
                <w:sz w:val="18"/>
                <w:szCs w:val="18"/>
              </w:rPr>
              <w:t xml:space="preserve">738 Station Street, Riverside</w:t>
            </w:r>
          </w:p>
        </w:tc>
        <w:tc>
          <w:tcPr>
            <w:tcW w:w="1900" w:type="dxa"/>
            <w:vAlign w:val="center"/>
          </w:tcPr>
          <w:p>
            <w:pPr>
              <w:spacing w:before="0" w:after="0"/>
              <w:jc w:val="right"/>
            </w:pPr>
            <w:r>
              <w:rPr>
                <w:sz w:val="18"/>
                <w:szCs w:val="18"/>
              </w:rPr>
              <w:t xml:space="preserve">2,975,000</w:t>
            </w:r>
          </w:p>
        </w:tc>
        <w:tc>
          <w:tcPr>
            <w:tcW w:w="1900" w:type="dxa"/>
            <w:vAlign w:val="center"/>
          </w:tcPr>
          <w:p>
            <w:pPr>
              <w:spacing w:before="0" w:after="0"/>
              <w:jc w:val="right"/>
            </w:pPr>
            <w:r>
              <w:rPr>
                <w:sz w:val="18"/>
                <w:szCs w:val="18"/>
              </w:rPr>
              <w:t xml:space="preserve">11.18</w:t>
            </w:r>
          </w:p>
        </w:tc>
      </w:tr>
      <w:tr>
        <w:tc>
          <w:tcPr>
            <w:tcW w:w="2872" w:type="dxa"/>
            <w:vAlign w:val="center"/>
          </w:tcPr>
          <w:p>
            <w:pPr>
              <w:spacing w:before="0" w:after="0"/>
              <w:jc w:val="left"/>
            </w:pPr>
            <w:r>
              <w:rPr>
                <w:sz w:val="18"/>
                <w:szCs w:val="18"/>
              </w:rPr>
              <w:t xml:space="preserve">Juniper Hollow Capital LP</w:t>
            </w:r>
          </w:p>
        </w:tc>
        <w:tc>
          <w:tcPr>
            <w:tcW w:w="2400" w:type="dxa"/>
            <w:vAlign w:val="center"/>
          </w:tcPr>
          <w:p>
            <w:pPr>
              <w:spacing w:before="0" w:after="0"/>
              <w:jc w:val="left"/>
            </w:pPr>
            <w:r>
              <w:rPr>
                <w:sz w:val="18"/>
                <w:szCs w:val="18"/>
              </w:rPr>
              <w:t xml:space="preserve">630 Chapel Street, Hillcrest</w:t>
            </w:r>
          </w:p>
        </w:tc>
        <w:tc>
          <w:tcPr>
            <w:tcW w:w="1900" w:type="dxa"/>
            <w:vAlign w:val="center"/>
          </w:tcPr>
          <w:p>
            <w:pPr>
              <w:spacing w:before="0" w:after="0"/>
              <w:jc w:val="right"/>
            </w:pPr>
            <w:r>
              <w:rPr>
                <w:sz w:val="18"/>
                <w:szCs w:val="18"/>
              </w:rPr>
              <w:t xml:space="preserve">2,832,000</w:t>
            </w:r>
          </w:p>
        </w:tc>
        <w:tc>
          <w:tcPr>
            <w:tcW w:w="1900" w:type="dxa"/>
            <w:vAlign w:val="center"/>
          </w:tcPr>
          <w:p>
            <w:pPr>
              <w:spacing w:before="0" w:after="0"/>
              <w:jc w:val="right"/>
            </w:pPr>
            <w:r>
              <w:rPr>
                <w:sz w:val="18"/>
                <w:szCs w:val="18"/>
              </w:rPr>
              <w:t xml:space="preserve">11.72</w:t>
            </w:r>
          </w:p>
        </w:tc>
      </w:tr>
      <w:tr>
        <w:tc>
          <w:tcPr>
            <w:tcW w:w="2872" w:type="dxa"/>
            <w:vAlign w:val="center"/>
          </w:tcPr>
          <w:p>
            <w:pPr>
              <w:spacing w:before="0" w:after="0"/>
              <w:jc w:val="left"/>
            </w:pPr>
            <w:r>
              <w:rPr>
                <w:sz w:val="18"/>
                <w:szCs w:val="18"/>
              </w:rPr>
              <w:t xml:space="preserve">Elkhorn Bay Investments LP</w:t>
            </w:r>
          </w:p>
        </w:tc>
        <w:tc>
          <w:tcPr>
            <w:tcW w:w="2400" w:type="dxa"/>
            <w:vAlign w:val="center"/>
          </w:tcPr>
          <w:p>
            <w:pPr>
              <w:spacing w:before="0" w:after="0"/>
              <w:jc w:val="left"/>
            </w:pPr>
            <w:r>
              <w:rPr>
                <w:sz w:val="18"/>
                <w:szCs w:val="18"/>
              </w:rPr>
              <w:t xml:space="preserve">181 Chapel Street, Northfield</w:t>
            </w:r>
          </w:p>
        </w:tc>
        <w:tc>
          <w:tcPr>
            <w:tcW w:w="1900" w:type="dxa"/>
            <w:vAlign w:val="center"/>
          </w:tcPr>
          <w:p>
            <w:pPr>
              <w:spacing w:before="0" w:after="0"/>
              <w:jc w:val="right"/>
            </w:pPr>
            <w:r>
              <w:rPr>
                <w:sz w:val="18"/>
                <w:szCs w:val="18"/>
              </w:rPr>
              <w:t xml:space="preserve">495,000</w:t>
            </w:r>
          </w:p>
        </w:tc>
        <w:tc>
          <w:tcPr>
            <w:tcW w:w="1900" w:type="dxa"/>
            <w:vAlign w:val="center"/>
          </w:tcPr>
          <w:p>
            <w:pPr>
              <w:spacing w:before="0" w:after="0"/>
              <w:jc w:val="right"/>
            </w:pPr>
            <w:r>
              <w:rPr>
                <w:sz w:val="18"/>
                <w:szCs w:val="18"/>
              </w:rPr>
              <w:t xml:space="preserve">11.70</w:t>
            </w:r>
          </w:p>
        </w:tc>
      </w:tr>
      <w:tr>
        <w:tc>
          <w:tcPr>
            <w:tcW w:w="2872" w:type="dxa"/>
            <w:vAlign w:val="center"/>
          </w:tcPr>
          <w:p>
            <w:pPr>
              <w:spacing w:before="0" w:after="0"/>
              <w:jc w:val="left"/>
            </w:pPr>
            <w:r>
              <w:rPr>
                <w:sz w:val="18"/>
                <w:szCs w:val="18"/>
              </w:rPr>
              <w:t xml:space="preserve">Juniper Stone Family Trust</w:t>
            </w:r>
          </w:p>
        </w:tc>
        <w:tc>
          <w:tcPr>
            <w:tcW w:w="2400" w:type="dxa"/>
            <w:vAlign w:val="center"/>
          </w:tcPr>
          <w:p>
            <w:pPr>
              <w:spacing w:before="0" w:after="0"/>
              <w:jc w:val="left"/>
            </w:pPr>
            <w:r>
              <w:rPr>
                <w:sz w:val="18"/>
                <w:szCs w:val="18"/>
              </w:rPr>
              <w:t xml:space="preserve">313 Chapel Street, Harborview</w:t>
            </w:r>
          </w:p>
        </w:tc>
        <w:tc>
          <w:tcPr>
            <w:tcW w:w="1900" w:type="dxa"/>
            <w:vAlign w:val="center"/>
          </w:tcPr>
          <w:p>
            <w:pPr>
              <w:spacing w:before="0" w:after="0"/>
              <w:jc w:val="right"/>
            </w:pPr>
            <w:r>
              <w:rPr>
                <w:sz w:val="18"/>
                <w:szCs w:val="18"/>
              </w:rPr>
              <w:t xml:space="preserve">3,468,000</w:t>
            </w:r>
          </w:p>
        </w:tc>
        <w:tc>
          <w:tcPr>
            <w:tcW w:w="1900" w:type="dxa"/>
            <w:vAlign w:val="center"/>
          </w:tcPr>
          <w:p>
            <w:pPr>
              <w:spacing w:before="0" w:after="0"/>
              <w:jc w:val="right"/>
            </w:pPr>
            <w:r>
              <w:rPr>
                <w:sz w:val="18"/>
                <w:szCs w:val="18"/>
              </w:rPr>
              <w:t xml:space="preserve">7.61</w:t>
            </w:r>
          </w:p>
        </w:tc>
      </w:tr>
      <w:tr>
        <w:tc>
          <w:tcPr>
            <w:tcW w:w="2872" w:type="dxa"/>
            <w:vAlign w:val="center"/>
          </w:tcPr>
          <w:p>
            <w:pPr>
              <w:spacing w:before="0" w:after="0"/>
              <w:jc w:val="left"/>
            </w:pPr>
            <w:r>
              <w:rPr>
                <w:sz w:val="18"/>
                <w:szCs w:val="18"/>
              </w:rPr>
              <w:t xml:space="preserve">Elkhorn Hollow Growth Fund LP</w:t>
            </w:r>
          </w:p>
        </w:tc>
        <w:tc>
          <w:tcPr>
            <w:tcW w:w="2400" w:type="dxa"/>
            <w:vAlign w:val="center"/>
          </w:tcPr>
          <w:p>
            <w:pPr>
              <w:spacing w:before="0" w:after="0"/>
              <w:jc w:val="left"/>
            </w:pPr>
            <w:r>
              <w:rPr>
                <w:sz w:val="18"/>
                <w:szCs w:val="18"/>
              </w:rPr>
              <w:t xml:space="preserve">68 Chapel Street, Harborview</w:t>
            </w:r>
          </w:p>
        </w:tc>
        <w:tc>
          <w:tcPr>
            <w:tcW w:w="1900" w:type="dxa"/>
            <w:vAlign w:val="center"/>
          </w:tcPr>
          <w:p>
            <w:pPr>
              <w:spacing w:before="0" w:after="0"/>
              <w:jc w:val="right"/>
            </w:pPr>
            <w:r>
              <w:rPr>
                <w:sz w:val="18"/>
                <w:szCs w:val="18"/>
              </w:rPr>
              <w:t xml:space="preserve">1,110,000</w:t>
            </w:r>
          </w:p>
        </w:tc>
        <w:tc>
          <w:tcPr>
            <w:tcW w:w="1900" w:type="dxa"/>
            <w:vAlign w:val="center"/>
          </w:tcPr>
          <w:p>
            <w:pPr>
              <w:spacing w:before="0" w:after="0"/>
              <w:jc w:val="right"/>
            </w:pPr>
            <w:r>
              <w:rPr>
                <w:sz w:val="18"/>
                <w:szCs w:val="18"/>
              </w:rPr>
              <w:t xml:space="preserve">0.90</w:t>
            </w:r>
          </w:p>
        </w:tc>
      </w:tr>
      <w:tr>
        <w:tc>
          <w:tcPr>
            <w:tcW w:w="2872" w:type="dxa"/>
            <w:vAlign w:val="center"/>
          </w:tcPr>
          <w:p>
            <w:pPr>
              <w:spacing w:before="0" w:after="0"/>
              <w:jc w:val="left"/>
            </w:pPr>
            <w:r>
              <w:rPr>
                <w:sz w:val="18"/>
                <w:szCs w:val="18"/>
              </w:rPr>
              <w:t xml:space="preserve">Ivorydale Bay Investments LP</w:t>
            </w:r>
          </w:p>
        </w:tc>
        <w:tc>
          <w:tcPr>
            <w:tcW w:w="2400" w:type="dxa"/>
            <w:vAlign w:val="center"/>
          </w:tcPr>
          <w:p>
            <w:pPr>
              <w:spacing w:before="0" w:after="0"/>
              <w:jc w:val="left"/>
            </w:pPr>
            <w:r>
              <w:rPr>
                <w:sz w:val="18"/>
                <w:szCs w:val="18"/>
              </w:rPr>
              <w:t xml:space="preserve">84 Station Street, Southport</w:t>
            </w:r>
          </w:p>
        </w:tc>
        <w:tc>
          <w:tcPr>
            <w:tcW w:w="1900" w:type="dxa"/>
            <w:vAlign w:val="center"/>
          </w:tcPr>
          <w:p>
            <w:pPr>
              <w:spacing w:before="0" w:after="0"/>
              <w:jc w:val="right"/>
            </w:pPr>
            <w:r>
              <w:rPr>
                <w:sz w:val="18"/>
                <w:szCs w:val="18"/>
              </w:rPr>
              <w:t xml:space="preserve">3,915,000</w:t>
            </w:r>
          </w:p>
        </w:tc>
        <w:tc>
          <w:tcPr>
            <w:tcW w:w="1900" w:type="dxa"/>
            <w:vAlign w:val="center"/>
          </w:tcPr>
          <w:p>
            <w:pPr>
              <w:spacing w:before="0" w:after="0"/>
              <w:jc w:val="right"/>
            </w:pPr>
            <w:r>
              <w:rPr>
                <w:sz w:val="18"/>
                <w:szCs w:val="18"/>
              </w:rPr>
              <w:t xml:space="preserve">5.35</w:t>
            </w:r>
          </w:p>
        </w:tc>
      </w:tr>
      <w:tr>
        <w:tc>
          <w:tcPr>
            <w:tcW w:w="2872" w:type="dxa"/>
            <w:vAlign w:val="center"/>
          </w:tcPr>
          <w:p>
            <w:pPr>
              <w:spacing w:before="0" w:after="0"/>
              <w:jc w:val="left"/>
            </w:pPr>
            <w:r>
              <w:rPr>
                <w:sz w:val="18"/>
                <w:szCs w:val="18"/>
              </w:rPr>
              <w:t xml:space="preserve">Ivorydale Crest Holdings LLC</w:t>
            </w:r>
          </w:p>
        </w:tc>
        <w:tc>
          <w:tcPr>
            <w:tcW w:w="2400" w:type="dxa"/>
            <w:vAlign w:val="center"/>
          </w:tcPr>
          <w:p>
            <w:pPr>
              <w:spacing w:before="0" w:after="0"/>
              <w:jc w:val="left"/>
            </w:pPr>
            <w:r>
              <w:rPr>
                <w:sz w:val="18"/>
                <w:szCs w:val="18"/>
              </w:rPr>
              <w:t xml:space="preserve">788 Orchard Street, Southport</w:t>
            </w:r>
          </w:p>
        </w:tc>
        <w:tc>
          <w:tcPr>
            <w:tcW w:w="1900" w:type="dxa"/>
            <w:vAlign w:val="center"/>
          </w:tcPr>
          <w:p>
            <w:pPr>
              <w:spacing w:before="0" w:after="0"/>
              <w:jc w:val="right"/>
            </w:pPr>
            <w:r>
              <w:rPr>
                <w:sz w:val="18"/>
                <w:szCs w:val="18"/>
              </w:rPr>
              <w:t xml:space="preserve">2,620,000</w:t>
            </w:r>
          </w:p>
        </w:tc>
        <w:tc>
          <w:tcPr>
            <w:tcW w:w="1900" w:type="dxa"/>
            <w:vAlign w:val="center"/>
          </w:tcPr>
          <w:p>
            <w:pPr>
              <w:spacing w:before="0" w:after="0"/>
              <w:jc w:val="right"/>
            </w:pPr>
            <w:r>
              <w:rPr>
                <w:sz w:val="18"/>
                <w:szCs w:val="18"/>
              </w:rPr>
              <w:t xml:space="preserve">10.68</w:t>
            </w:r>
          </w:p>
        </w:tc>
      </w:tr>
      <w:tr>
        <w:tc>
          <w:tcPr>
            <w:tcW w:w="2872" w:type="dxa"/>
            <w:vAlign w:val="center"/>
          </w:tcPr>
          <w:p>
            <w:pPr>
              <w:spacing w:before="0" w:after="0"/>
              <w:jc w:val="left"/>
            </w:pPr>
            <w:r>
              <w:rPr>
                <w:sz w:val="18"/>
                <w:szCs w:val="18"/>
              </w:rPr>
              <w:t xml:space="preserve">Elkhorn Bay Partners LLC</w:t>
            </w:r>
          </w:p>
        </w:tc>
        <w:tc>
          <w:tcPr>
            <w:tcW w:w="2400" w:type="dxa"/>
            <w:vAlign w:val="center"/>
          </w:tcPr>
          <w:p>
            <w:pPr>
              <w:spacing w:before="0" w:after="0"/>
              <w:jc w:val="left"/>
            </w:pPr>
            <w:r>
              <w:rPr>
                <w:sz w:val="18"/>
                <w:szCs w:val="18"/>
              </w:rPr>
              <w:t xml:space="preserve">659 Chapel Street, Northfield</w:t>
            </w:r>
          </w:p>
        </w:tc>
        <w:tc>
          <w:tcPr>
            <w:tcW w:w="1900" w:type="dxa"/>
            <w:vAlign w:val="center"/>
          </w:tcPr>
          <w:p>
            <w:pPr>
              <w:spacing w:before="0" w:after="0"/>
              <w:jc w:val="right"/>
            </w:pPr>
            <w:r>
              <w:rPr>
                <w:sz w:val="18"/>
                <w:szCs w:val="18"/>
              </w:rPr>
              <w:t xml:space="preserve">2,133,000</w:t>
            </w:r>
          </w:p>
        </w:tc>
        <w:tc>
          <w:tcPr>
            <w:tcW w:w="1900" w:type="dxa"/>
            <w:vAlign w:val="center"/>
          </w:tcPr>
          <w:p>
            <w:pPr>
              <w:spacing w:before="0" w:after="0"/>
              <w:jc w:val="right"/>
            </w:pPr>
            <w:r>
              <w:rPr>
                <w:sz w:val="18"/>
                <w:szCs w:val="18"/>
              </w:rPr>
              <w:t xml:space="preserve">3.36</w:t>
            </w:r>
          </w:p>
        </w:tc>
      </w:tr>
      <w:tr>
        <w:tc>
          <w:tcPr>
            <w:tcW w:w="2872" w:type="dxa"/>
            <w:vAlign w:val="center"/>
          </w:tcPr>
          <w:p>
            <w:pPr>
              <w:spacing w:before="0" w:after="0"/>
              <w:jc w:val="left"/>
            </w:pPr>
            <w:r>
              <w:rPr>
                <w:sz w:val="18"/>
                <w:szCs w:val="18"/>
              </w:rPr>
              <w:t xml:space="preserve">Dunmore Bay Partners LLC</w:t>
            </w:r>
          </w:p>
        </w:tc>
        <w:tc>
          <w:tcPr>
            <w:tcW w:w="2400" w:type="dxa"/>
            <w:vAlign w:val="center"/>
          </w:tcPr>
          <w:p>
            <w:pPr>
              <w:spacing w:before="0" w:after="0"/>
              <w:jc w:val="left"/>
            </w:pPr>
            <w:r>
              <w:rPr>
                <w:sz w:val="18"/>
                <w:szCs w:val="18"/>
              </w:rPr>
              <w:t xml:space="preserve">224 Market Street, Lakeside</w:t>
            </w:r>
          </w:p>
        </w:tc>
        <w:tc>
          <w:tcPr>
            <w:tcW w:w="1900" w:type="dxa"/>
            <w:vAlign w:val="center"/>
          </w:tcPr>
          <w:p>
            <w:pPr>
              <w:spacing w:before="0" w:after="0"/>
              <w:jc w:val="right"/>
            </w:pPr>
            <w:r>
              <w:rPr>
                <w:sz w:val="18"/>
                <w:szCs w:val="18"/>
              </w:rPr>
              <w:t xml:space="preserve">2,594,000</w:t>
            </w:r>
          </w:p>
        </w:tc>
        <w:tc>
          <w:tcPr>
            <w:tcW w:w="1900" w:type="dxa"/>
            <w:vAlign w:val="center"/>
          </w:tcPr>
          <w:p>
            <w:pPr>
              <w:spacing w:before="0" w:after="0"/>
              <w:jc w:val="right"/>
            </w:pPr>
            <w:r>
              <w:rPr>
                <w:sz w:val="18"/>
                <w:szCs w:val="18"/>
              </w:rPr>
              <w:t xml:space="preserve">1.35</w:t>
            </w:r>
          </w:p>
        </w:tc>
      </w:tr>
      <w:tr>
        <w:tc>
          <w:tcPr>
            <w:tcW w:w="2872" w:type="dxa"/>
            <w:vAlign w:val="center"/>
          </w:tcPr>
          <w:p>
            <w:pPr>
              <w:spacing w:before="0" w:after="0"/>
              <w:jc w:val="left"/>
            </w:pPr>
            <w:r>
              <w:rPr>
                <w:sz w:val="18"/>
                <w:szCs w:val="18"/>
              </w:rPr>
              <w:t xml:space="preserve">Kestrel Hollow Partners LLC</w:t>
            </w:r>
          </w:p>
        </w:tc>
        <w:tc>
          <w:tcPr>
            <w:tcW w:w="2400" w:type="dxa"/>
            <w:vAlign w:val="center"/>
          </w:tcPr>
          <w:p>
            <w:pPr>
              <w:spacing w:before="0" w:after="0"/>
              <w:jc w:val="left"/>
            </w:pPr>
            <w:r>
              <w:rPr>
                <w:sz w:val="18"/>
                <w:szCs w:val="18"/>
              </w:rPr>
              <w:t xml:space="preserve">867 Harbor Street, Hillcrest</w:t>
            </w:r>
          </w:p>
        </w:tc>
        <w:tc>
          <w:tcPr>
            <w:tcW w:w="1900" w:type="dxa"/>
            <w:vAlign w:val="center"/>
          </w:tcPr>
          <w:p>
            <w:pPr>
              <w:spacing w:before="0" w:after="0"/>
              <w:jc w:val="right"/>
            </w:pPr>
            <w:r>
              <w:rPr>
                <w:sz w:val="18"/>
                <w:szCs w:val="18"/>
              </w:rPr>
              <w:t xml:space="preserve">3,749,000</w:t>
            </w:r>
          </w:p>
        </w:tc>
        <w:tc>
          <w:tcPr>
            <w:tcW w:w="1900" w:type="dxa"/>
            <w:vAlign w:val="center"/>
          </w:tcPr>
          <w:p>
            <w:pPr>
              <w:spacing w:before="0" w:after="0"/>
              <w:jc w:val="right"/>
            </w:pPr>
            <w:r>
              <w:rPr>
                <w:sz w:val="18"/>
                <w:szCs w:val="18"/>
              </w:rPr>
              <w:t xml:space="preserve">3.07</w:t>
            </w:r>
          </w:p>
        </w:tc>
      </w:tr>
      <w:tr>
        <w:tc>
          <w:tcPr>
            <w:tcW w:w="2872" w:type="dxa"/>
            <w:vAlign w:val="center"/>
          </w:tcPr>
          <w:p>
            <w:pPr>
              <w:spacing w:before="0" w:after="0"/>
              <w:jc w:val="left"/>
            </w:pPr>
            <w:r>
              <w:rPr>
                <w:sz w:val="18"/>
                <w:szCs w:val="18"/>
              </w:rPr>
              <w:t xml:space="preserve">Juniper Crest Growth Fund LP</w:t>
            </w:r>
          </w:p>
        </w:tc>
        <w:tc>
          <w:tcPr>
            <w:tcW w:w="2400" w:type="dxa"/>
            <w:vAlign w:val="center"/>
          </w:tcPr>
          <w:p>
            <w:pPr>
              <w:spacing w:before="0" w:after="0"/>
              <w:jc w:val="left"/>
            </w:pPr>
            <w:r>
              <w:rPr>
                <w:sz w:val="18"/>
                <w:szCs w:val="18"/>
              </w:rPr>
              <w:t xml:space="preserve">316 Harbor Street, Hillcrest</w:t>
            </w:r>
          </w:p>
        </w:tc>
        <w:tc>
          <w:tcPr>
            <w:tcW w:w="1900" w:type="dxa"/>
            <w:vAlign w:val="center"/>
          </w:tcPr>
          <w:p>
            <w:pPr>
              <w:spacing w:before="0" w:after="0"/>
              <w:jc w:val="right"/>
            </w:pPr>
            <w:r>
              <w:rPr>
                <w:sz w:val="18"/>
                <w:szCs w:val="18"/>
              </w:rPr>
              <w:t xml:space="preserve">1,076,000</w:t>
            </w:r>
          </w:p>
        </w:tc>
        <w:tc>
          <w:tcPr>
            <w:tcW w:w="1900" w:type="dxa"/>
            <w:vAlign w:val="center"/>
          </w:tcPr>
          <w:p>
            <w:pPr>
              <w:spacing w:before="0" w:after="0"/>
              <w:jc w:val="right"/>
            </w:pPr>
            <w:r>
              <w:rPr>
                <w:sz w:val="18"/>
                <w:szCs w:val="18"/>
              </w:rPr>
              <w:t xml:space="preserve">3.96</w:t>
            </w:r>
          </w:p>
        </w:tc>
      </w:tr>
      <w:tr>
        <w:tc>
          <w:tcPr>
            <w:tcW w:w="2872" w:type="dxa"/>
            <w:vAlign w:val="center"/>
          </w:tcPr>
          <w:p>
            <w:pPr>
              <w:spacing w:before="0" w:after="0"/>
              <w:jc w:val="left"/>
            </w:pPr>
            <w:r>
              <w:rPr>
                <w:sz w:val="18"/>
                <w:szCs w:val="18"/>
              </w:rPr>
              <w:t xml:space="preserve">Kestrel Brook Growth Fund LP</w:t>
            </w:r>
          </w:p>
        </w:tc>
        <w:tc>
          <w:tcPr>
            <w:tcW w:w="2400" w:type="dxa"/>
            <w:vAlign w:val="center"/>
          </w:tcPr>
          <w:p>
            <w:pPr>
              <w:spacing w:before="0" w:after="0"/>
              <w:jc w:val="left"/>
            </w:pPr>
            <w:r>
              <w:rPr>
                <w:sz w:val="18"/>
                <w:szCs w:val="18"/>
              </w:rPr>
              <w:t xml:space="preserve">104 Harbor Street, Lakeside</w:t>
            </w:r>
          </w:p>
        </w:tc>
        <w:tc>
          <w:tcPr>
            <w:tcW w:w="1900" w:type="dxa"/>
            <w:vAlign w:val="center"/>
          </w:tcPr>
          <w:p>
            <w:pPr>
              <w:spacing w:before="0" w:after="0"/>
              <w:jc w:val="right"/>
            </w:pPr>
            <w:r>
              <w:rPr>
                <w:sz w:val="18"/>
                <w:szCs w:val="18"/>
              </w:rPr>
              <w:t xml:space="preserve">2,568,000</w:t>
            </w:r>
          </w:p>
        </w:tc>
        <w:tc>
          <w:tcPr>
            <w:tcW w:w="1900" w:type="dxa"/>
            <w:vAlign w:val="center"/>
          </w:tcPr>
          <w:p>
            <w:pPr>
              <w:spacing w:before="0" w:after="0"/>
              <w:jc w:val="right"/>
            </w:pPr>
            <w:r>
              <w:rPr>
                <w:sz w:val="18"/>
                <w:szCs w:val="18"/>
              </w:rPr>
              <w:t xml:space="preserve">3.73</w:t>
            </w:r>
          </w:p>
        </w:tc>
      </w:tr>
      <w:tr>
        <w:tc>
          <w:tcPr>
            <w:tcW w:w="2872" w:type="dxa"/>
            <w:vAlign w:val="center"/>
          </w:tcPr>
          <w:p>
            <w:pPr>
              <w:spacing w:before="0" w:after="0"/>
              <w:jc w:val="left"/>
            </w:pPr>
            <w:r>
              <w:rPr>
                <w:sz w:val="18"/>
                <w:szCs w:val="18"/>
              </w:rPr>
              <w:t xml:space="preserve">Glenhaven Bay Capital LP</w:t>
            </w:r>
          </w:p>
        </w:tc>
        <w:tc>
          <w:tcPr>
            <w:tcW w:w="2400" w:type="dxa"/>
            <w:vAlign w:val="center"/>
          </w:tcPr>
          <w:p>
            <w:pPr>
              <w:spacing w:before="0" w:after="0"/>
              <w:jc w:val="left"/>
            </w:pPr>
            <w:r>
              <w:rPr>
                <w:sz w:val="18"/>
                <w:szCs w:val="18"/>
              </w:rPr>
              <w:t xml:space="preserve">479 Orchard Street, Harborview</w:t>
            </w:r>
          </w:p>
        </w:tc>
        <w:tc>
          <w:tcPr>
            <w:tcW w:w="1900" w:type="dxa"/>
            <w:vAlign w:val="center"/>
          </w:tcPr>
          <w:p>
            <w:pPr>
              <w:spacing w:before="0" w:after="0"/>
              <w:jc w:val="right"/>
            </w:pPr>
            <w:r>
              <w:rPr>
                <w:sz w:val="18"/>
                <w:szCs w:val="18"/>
              </w:rPr>
              <w:t xml:space="preserve">2,178,000</w:t>
            </w:r>
          </w:p>
        </w:tc>
        <w:tc>
          <w:tcPr>
            <w:tcW w:w="1900" w:type="dxa"/>
            <w:vAlign w:val="center"/>
          </w:tcPr>
          <w:p>
            <w:pPr>
              <w:spacing w:before="0" w:after="0"/>
              <w:jc w:val="right"/>
            </w:pPr>
            <w:r>
              <w:rPr>
                <w:sz w:val="18"/>
                <w:szCs w:val="18"/>
              </w:rPr>
              <w:t xml:space="preserve">4.98</w:t>
            </w:r>
          </w:p>
        </w:tc>
      </w:tr>
      <w:tr>
        <w:tc>
          <w:tcPr>
            <w:tcW w:w="2872" w:type="dxa"/>
            <w:vAlign w:val="center"/>
          </w:tcPr>
          <w:p>
            <w:pPr>
              <w:spacing w:before="0" w:after="0"/>
              <w:jc w:val="left"/>
            </w:pPr>
            <w:r>
              <w:rPr>
                <w:sz w:val="18"/>
                <w:szCs w:val="18"/>
              </w:rPr>
              <w:t xml:space="preserve">Kestrel Bay Partners LLC</w:t>
            </w:r>
          </w:p>
        </w:tc>
        <w:tc>
          <w:tcPr>
            <w:tcW w:w="2400" w:type="dxa"/>
            <w:vAlign w:val="center"/>
          </w:tcPr>
          <w:p>
            <w:pPr>
              <w:spacing w:before="0" w:after="0"/>
              <w:jc w:val="left"/>
            </w:pPr>
            <w:r>
              <w:rPr>
                <w:sz w:val="18"/>
                <w:szCs w:val="18"/>
              </w:rPr>
              <w:t xml:space="preserve">656 Market Street, Westridge</w:t>
            </w:r>
          </w:p>
        </w:tc>
        <w:tc>
          <w:tcPr>
            <w:tcW w:w="1900" w:type="dxa"/>
            <w:vAlign w:val="center"/>
          </w:tcPr>
          <w:p>
            <w:pPr>
              <w:spacing w:before="0" w:after="0"/>
              <w:jc w:val="right"/>
            </w:pPr>
            <w:r>
              <w:rPr>
                <w:sz w:val="18"/>
                <w:szCs w:val="18"/>
              </w:rPr>
              <w:t xml:space="preserve">2,294,000</w:t>
            </w:r>
          </w:p>
        </w:tc>
        <w:tc>
          <w:tcPr>
            <w:tcW w:w="1900" w:type="dxa"/>
            <w:vAlign w:val="center"/>
          </w:tcPr>
          <w:p>
            <w:pPr>
              <w:spacing w:before="0" w:after="0"/>
              <w:jc w:val="right"/>
            </w:pPr>
            <w:r>
              <w:rPr>
                <w:sz w:val="18"/>
                <w:szCs w:val="18"/>
              </w:rPr>
              <w:t xml:space="preserve">5.49</w:t>
            </w:r>
          </w:p>
        </w:tc>
      </w:tr>
      <w:tr>
        <w:tc>
          <w:tcPr>
            <w:tcW w:w="2872" w:type="dxa"/>
            <w:vAlign w:val="center"/>
          </w:tcPr>
          <w:p>
            <w:pPr>
              <w:spacing w:before="0" w:after="0"/>
              <w:jc w:val="left"/>
            </w:pPr>
            <w:r>
              <w:rPr>
                <w:sz w:val="18"/>
                <w:szCs w:val="18"/>
              </w:rPr>
              <w:t xml:space="preserve">Cobalt Bay Capital LP</w:t>
            </w:r>
          </w:p>
        </w:tc>
        <w:tc>
          <w:tcPr>
            <w:tcW w:w="2400" w:type="dxa"/>
            <w:vAlign w:val="center"/>
          </w:tcPr>
          <w:p>
            <w:pPr>
              <w:spacing w:before="0" w:after="0"/>
              <w:jc w:val="left"/>
            </w:pPr>
            <w:r>
              <w:rPr>
                <w:sz w:val="18"/>
                <w:szCs w:val="18"/>
              </w:rPr>
              <w:t xml:space="preserve">294 Chapel Street, Westridge</w:t>
            </w:r>
          </w:p>
        </w:tc>
        <w:tc>
          <w:tcPr>
            <w:tcW w:w="1900" w:type="dxa"/>
            <w:vAlign w:val="center"/>
          </w:tcPr>
          <w:p>
            <w:pPr>
              <w:spacing w:before="0" w:after="0"/>
              <w:jc w:val="right"/>
            </w:pPr>
            <w:r>
              <w:rPr>
                <w:sz w:val="18"/>
                <w:szCs w:val="18"/>
              </w:rPr>
              <w:t xml:space="preserve">886,000</w:t>
            </w:r>
          </w:p>
        </w:tc>
        <w:tc>
          <w:tcPr>
            <w:tcW w:w="1900" w:type="dxa"/>
            <w:vAlign w:val="center"/>
          </w:tcPr>
          <w:p>
            <w:pPr>
              <w:spacing w:before="0" w:after="0"/>
              <w:jc w:val="right"/>
            </w:pPr>
            <w:r>
              <w:rPr>
                <w:sz w:val="18"/>
                <w:szCs w:val="18"/>
              </w:rPr>
              <w:t xml:space="preserve">3.38</w:t>
            </w:r>
          </w:p>
        </w:tc>
      </w:tr>
      <w:tr>
        <w:tc>
          <w:tcPr>
            <w:tcW w:w="2872" w:type="dxa"/>
            <w:vAlign w:val="center"/>
          </w:tcPr>
          <w:p>
            <w:pPr>
              <w:spacing w:before="0" w:after="0"/>
              <w:jc w:val="left"/>
            </w:pPr>
            <w:r>
              <w:rPr>
                <w:sz w:val="18"/>
                <w:szCs w:val="18"/>
              </w:rPr>
              <w:t xml:space="preserve">Bramble Ridge Capital LP</w:t>
            </w:r>
          </w:p>
        </w:tc>
        <w:tc>
          <w:tcPr>
            <w:tcW w:w="2400" w:type="dxa"/>
            <w:vAlign w:val="center"/>
          </w:tcPr>
          <w:p>
            <w:pPr>
              <w:spacing w:before="0" w:after="0"/>
              <w:jc w:val="left"/>
            </w:pPr>
            <w:r>
              <w:rPr>
                <w:sz w:val="18"/>
                <w:szCs w:val="18"/>
              </w:rPr>
              <w:t xml:space="preserve">66 Mill Street, Hillcrest</w:t>
            </w:r>
          </w:p>
        </w:tc>
        <w:tc>
          <w:tcPr>
            <w:tcW w:w="1900" w:type="dxa"/>
            <w:vAlign w:val="center"/>
          </w:tcPr>
          <w:p>
            <w:pPr>
              <w:spacing w:before="0" w:after="0"/>
              <w:jc w:val="right"/>
            </w:pPr>
            <w:r>
              <w:rPr>
                <w:sz w:val="18"/>
                <w:szCs w:val="18"/>
              </w:rPr>
              <w:t xml:space="preserve">4,379,000</w:t>
            </w:r>
          </w:p>
        </w:tc>
        <w:tc>
          <w:tcPr>
            <w:tcW w:w="1900" w:type="dxa"/>
            <w:vAlign w:val="center"/>
          </w:tcPr>
          <w:p>
            <w:pPr>
              <w:spacing w:before="0" w:after="0"/>
              <w:jc w:val="right"/>
            </w:pPr>
            <w:r>
              <w:rPr>
                <w:sz w:val="18"/>
                <w:szCs w:val="18"/>
              </w:rPr>
              <w:t xml:space="preserve">1.16</w:t>
            </w:r>
          </w:p>
        </w:tc>
      </w:tr>
      <w:tr>
        <w:tc>
          <w:tcPr>
            <w:tcW w:w="2872" w:type="dxa"/>
            <w:vAlign w:val="center"/>
          </w:tcPr>
          <w:p>
            <w:pPr>
              <w:spacing w:before="0" w:after="0"/>
              <w:jc w:val="left"/>
            </w:pPr>
            <w:r>
              <w:rPr>
                <w:sz w:val="18"/>
                <w:szCs w:val="18"/>
              </w:rPr>
              <w:t xml:space="preserve">Cobalt Ridge Holdings LLC</w:t>
            </w:r>
          </w:p>
        </w:tc>
        <w:tc>
          <w:tcPr>
            <w:tcW w:w="2400" w:type="dxa"/>
            <w:vAlign w:val="center"/>
          </w:tcPr>
          <w:p>
            <w:pPr>
              <w:spacing w:before="0" w:after="0"/>
              <w:jc w:val="left"/>
            </w:pPr>
            <w:r>
              <w:rPr>
                <w:sz w:val="18"/>
                <w:szCs w:val="18"/>
              </w:rPr>
              <w:t xml:space="preserve">985 Chapel Street, Riverside</w:t>
            </w:r>
          </w:p>
        </w:tc>
        <w:tc>
          <w:tcPr>
            <w:tcW w:w="1900" w:type="dxa"/>
            <w:vAlign w:val="center"/>
          </w:tcPr>
          <w:p>
            <w:pPr>
              <w:spacing w:before="0" w:after="0"/>
              <w:jc w:val="right"/>
            </w:pPr>
            <w:r>
              <w:rPr>
                <w:sz w:val="18"/>
                <w:szCs w:val="18"/>
              </w:rPr>
              <w:t xml:space="preserve">2,083,000</w:t>
            </w:r>
          </w:p>
        </w:tc>
        <w:tc>
          <w:tcPr>
            <w:tcW w:w="1900" w:type="dxa"/>
            <w:vAlign w:val="center"/>
          </w:tcPr>
          <w:p>
            <w:pPr>
              <w:spacing w:before="0" w:after="0"/>
              <w:jc w:val="right"/>
            </w:pPr>
            <w:r>
              <w:rPr>
                <w:sz w:val="18"/>
                <w:szCs w:val="18"/>
              </w:rPr>
              <w:t xml:space="preserve">8.13</w:t>
            </w:r>
          </w:p>
        </w:tc>
      </w:tr>
      <w:tr>
        <w:tc>
          <w:tcPr>
            <w:tcW w:w="2872" w:type="dxa"/>
            <w:vAlign w:val="center"/>
          </w:tcPr>
          <w:p>
            <w:pPr>
              <w:spacing w:before="0" w:after="0"/>
              <w:jc w:val="left"/>
            </w:pPr>
            <w:r>
              <w:rPr>
                <w:sz w:val="18"/>
                <w:szCs w:val="18"/>
              </w:rPr>
              <w:t xml:space="preserve">Cobalt Brook Family Trust</w:t>
            </w:r>
          </w:p>
        </w:tc>
        <w:tc>
          <w:tcPr>
            <w:tcW w:w="2400" w:type="dxa"/>
            <w:vAlign w:val="center"/>
          </w:tcPr>
          <w:p>
            <w:pPr>
              <w:spacing w:before="0" w:after="0"/>
              <w:jc w:val="left"/>
            </w:pPr>
            <w:r>
              <w:rPr>
                <w:sz w:val="18"/>
                <w:szCs w:val="18"/>
              </w:rPr>
              <w:t xml:space="preserve">466 Station Street, Riverside</w:t>
            </w:r>
          </w:p>
        </w:tc>
        <w:tc>
          <w:tcPr>
            <w:tcW w:w="1900" w:type="dxa"/>
            <w:vAlign w:val="center"/>
          </w:tcPr>
          <w:p>
            <w:pPr>
              <w:spacing w:before="0" w:after="0"/>
              <w:jc w:val="right"/>
            </w:pPr>
            <w:r>
              <w:rPr>
                <w:sz w:val="18"/>
                <w:szCs w:val="18"/>
              </w:rPr>
              <w:t xml:space="preserve">687,000</w:t>
            </w:r>
          </w:p>
        </w:tc>
        <w:tc>
          <w:tcPr>
            <w:tcW w:w="1900" w:type="dxa"/>
            <w:vAlign w:val="center"/>
          </w:tcPr>
          <w:p>
            <w:pPr>
              <w:spacing w:before="0" w:after="0"/>
              <w:jc w:val="right"/>
            </w:pPr>
            <w:r>
              <w:rPr>
                <w:sz w:val="18"/>
                <w:szCs w:val="18"/>
              </w:rPr>
              <w:t xml:space="preserve">7.19</w:t>
            </w:r>
          </w:p>
        </w:tc>
      </w:tr>
      <w:tr>
        <w:tc>
          <w:tcPr>
            <w:tcW w:w="2872" w:type="dxa"/>
            <w:vAlign w:val="center"/>
          </w:tcPr>
          <w:p>
            <w:pPr>
              <w:spacing w:before="0" w:after="0"/>
              <w:jc w:val="left"/>
            </w:pPr>
            <w:r>
              <w:rPr>
                <w:sz w:val="18"/>
                <w:szCs w:val="18"/>
              </w:rPr>
              <w:t xml:space="preserve">Elkhorn Brook Partners LLC</w:t>
            </w:r>
          </w:p>
        </w:tc>
        <w:tc>
          <w:tcPr>
            <w:tcW w:w="2400" w:type="dxa"/>
            <w:vAlign w:val="center"/>
          </w:tcPr>
          <w:p>
            <w:pPr>
              <w:spacing w:before="0" w:after="0"/>
              <w:jc w:val="left"/>
            </w:pPr>
            <w:r>
              <w:rPr>
                <w:sz w:val="18"/>
                <w:szCs w:val="18"/>
              </w:rPr>
              <w:t xml:space="preserve">623 Chapel Street, Southport</w:t>
            </w:r>
          </w:p>
        </w:tc>
        <w:tc>
          <w:tcPr>
            <w:tcW w:w="1900" w:type="dxa"/>
            <w:vAlign w:val="center"/>
          </w:tcPr>
          <w:p>
            <w:pPr>
              <w:spacing w:before="0" w:after="0"/>
              <w:jc w:val="right"/>
            </w:pPr>
            <w:r>
              <w:rPr>
                <w:sz w:val="18"/>
                <w:szCs w:val="18"/>
              </w:rPr>
              <w:t xml:space="preserve">4,739,000</w:t>
            </w:r>
          </w:p>
        </w:tc>
        <w:tc>
          <w:tcPr>
            <w:tcW w:w="1900" w:type="dxa"/>
            <w:vAlign w:val="center"/>
          </w:tcPr>
          <w:p>
            <w:pPr>
              <w:spacing w:before="0" w:after="0"/>
              <w:jc w:val="right"/>
            </w:pPr>
            <w:r>
              <w:rPr>
                <w:sz w:val="18"/>
                <w:szCs w:val="18"/>
              </w:rPr>
              <w:t xml:space="preserve">8.62</w:t>
            </w:r>
          </w:p>
        </w:tc>
      </w:tr>
      <w:tr>
        <w:tc>
          <w:tcPr>
            <w:tcW w:w="2872" w:type="dxa"/>
            <w:vAlign w:val="center"/>
          </w:tcPr>
          <w:p>
            <w:pPr>
              <w:spacing w:before="0" w:after="0"/>
              <w:jc w:val="left"/>
            </w:pPr>
            <w:r>
              <w:rPr>
                <w:sz w:val="18"/>
                <w:szCs w:val="18"/>
              </w:rPr>
              <w:t xml:space="preserve">Kestrel Field Family Trust</w:t>
            </w:r>
          </w:p>
        </w:tc>
        <w:tc>
          <w:tcPr>
            <w:tcW w:w="2400" w:type="dxa"/>
            <w:vAlign w:val="center"/>
          </w:tcPr>
          <w:p>
            <w:pPr>
              <w:spacing w:before="0" w:after="0"/>
              <w:jc w:val="left"/>
            </w:pPr>
            <w:r>
              <w:rPr>
                <w:sz w:val="18"/>
                <w:szCs w:val="18"/>
              </w:rPr>
              <w:t xml:space="preserve">606 Orchard Street, Riverside</w:t>
            </w:r>
          </w:p>
        </w:tc>
        <w:tc>
          <w:tcPr>
            <w:tcW w:w="1900" w:type="dxa"/>
            <w:vAlign w:val="center"/>
          </w:tcPr>
          <w:p>
            <w:pPr>
              <w:spacing w:before="0" w:after="0"/>
              <w:jc w:val="right"/>
            </w:pPr>
            <w:r>
              <w:rPr>
                <w:sz w:val="18"/>
                <w:szCs w:val="18"/>
              </w:rPr>
              <w:t xml:space="preserve">1,438,000</w:t>
            </w:r>
          </w:p>
        </w:tc>
        <w:tc>
          <w:tcPr>
            <w:tcW w:w="1900" w:type="dxa"/>
            <w:vAlign w:val="center"/>
          </w:tcPr>
          <w:p>
            <w:pPr>
              <w:spacing w:before="0" w:after="0"/>
              <w:jc w:val="right"/>
            </w:pPr>
            <w:r>
              <w:rPr>
                <w:sz w:val="18"/>
                <w:szCs w:val="18"/>
              </w:rPr>
              <w:t xml:space="preserve">3.65</w:t>
            </w:r>
          </w:p>
        </w:tc>
      </w:tr>
      <w:tr>
        <w:tc>
          <w:tcPr>
            <w:tcW w:w="2872" w:type="dxa"/>
            <w:vAlign w:val="center"/>
          </w:tcPr>
          <w:p>
            <w:pPr>
              <w:spacing w:before="0" w:after="0"/>
              <w:jc w:val="left"/>
            </w:pPr>
            <w:r>
              <w:rPr>
                <w:sz w:val="18"/>
                <w:szCs w:val="18"/>
              </w:rPr>
              <w:t xml:space="preserve">Ivorydale Ridge Growth Fund LP</w:t>
            </w:r>
          </w:p>
        </w:tc>
        <w:tc>
          <w:tcPr>
            <w:tcW w:w="2400" w:type="dxa"/>
            <w:vAlign w:val="center"/>
          </w:tcPr>
          <w:p>
            <w:pPr>
              <w:spacing w:before="0" w:after="0"/>
              <w:jc w:val="left"/>
            </w:pPr>
            <w:r>
              <w:rPr>
                <w:sz w:val="18"/>
                <w:szCs w:val="18"/>
              </w:rPr>
              <w:t xml:space="preserve">189 Market Street, Hillcrest</w:t>
            </w:r>
          </w:p>
        </w:tc>
        <w:tc>
          <w:tcPr>
            <w:tcW w:w="1900" w:type="dxa"/>
            <w:vAlign w:val="center"/>
          </w:tcPr>
          <w:p>
            <w:pPr>
              <w:spacing w:before="0" w:after="0"/>
              <w:jc w:val="right"/>
            </w:pPr>
            <w:r>
              <w:rPr>
                <w:sz w:val="18"/>
                <w:szCs w:val="18"/>
              </w:rPr>
              <w:t xml:space="preserve">2,467,000</w:t>
            </w:r>
          </w:p>
        </w:tc>
        <w:tc>
          <w:tcPr>
            <w:tcW w:w="1900" w:type="dxa"/>
            <w:vAlign w:val="center"/>
          </w:tcPr>
          <w:p>
            <w:pPr>
              <w:spacing w:before="0" w:after="0"/>
              <w:jc w:val="right"/>
            </w:pPr>
            <w:r>
              <w:rPr>
                <w:sz w:val="18"/>
                <w:szCs w:val="18"/>
              </w:rPr>
              <w:t xml:space="preserve">8.24</w:t>
            </w:r>
          </w:p>
        </w:tc>
      </w:tr>
      <w:tr>
        <w:tc>
          <w:tcPr>
            <w:tcW w:w="2872" w:type="dxa"/>
            <w:vAlign w:val="center"/>
          </w:tcPr>
          <w:p>
            <w:pPr>
              <w:spacing w:before="0" w:after="0"/>
              <w:jc w:val="left"/>
            </w:pPr>
            <w:r>
              <w:rPr>
                <w:sz w:val="18"/>
                <w:szCs w:val="18"/>
              </w:rPr>
              <w:t xml:space="preserve">Larchmont Hollow Investments LP</w:t>
            </w:r>
          </w:p>
        </w:tc>
        <w:tc>
          <w:tcPr>
            <w:tcW w:w="2400" w:type="dxa"/>
            <w:vAlign w:val="center"/>
          </w:tcPr>
          <w:p>
            <w:pPr>
              <w:spacing w:before="0" w:after="0"/>
              <w:jc w:val="left"/>
            </w:pPr>
            <w:r>
              <w:rPr>
                <w:sz w:val="18"/>
                <w:szCs w:val="18"/>
              </w:rPr>
              <w:t xml:space="preserve">576 Mill Street, Eastbay</w:t>
            </w:r>
          </w:p>
        </w:tc>
        <w:tc>
          <w:tcPr>
            <w:tcW w:w="1900" w:type="dxa"/>
            <w:vAlign w:val="center"/>
          </w:tcPr>
          <w:p>
            <w:pPr>
              <w:spacing w:before="0" w:after="0"/>
              <w:jc w:val="right"/>
            </w:pPr>
            <w:r>
              <w:rPr>
                <w:sz w:val="18"/>
                <w:szCs w:val="18"/>
              </w:rPr>
              <w:t xml:space="preserve">2,872,000</w:t>
            </w:r>
          </w:p>
        </w:tc>
        <w:tc>
          <w:tcPr>
            <w:tcW w:w="1900" w:type="dxa"/>
            <w:vAlign w:val="center"/>
          </w:tcPr>
          <w:p>
            <w:pPr>
              <w:spacing w:before="0" w:after="0"/>
              <w:jc w:val="right"/>
            </w:pPr>
            <w:r>
              <w:rPr>
                <w:sz w:val="18"/>
                <w:szCs w:val="18"/>
              </w:rPr>
              <w:t xml:space="preserve">10.06</w:t>
            </w:r>
          </w:p>
        </w:tc>
      </w:tr>
      <w:tr>
        <w:tc>
          <w:tcPr>
            <w:tcW w:w="2872" w:type="dxa"/>
            <w:vAlign w:val="center"/>
          </w:tcPr>
          <w:p>
            <w:pPr>
              <w:spacing w:before="0" w:after="0"/>
              <w:jc w:val="left"/>
            </w:pPr>
            <w:r>
              <w:rPr>
                <w:sz w:val="18"/>
                <w:szCs w:val="18"/>
              </w:rPr>
              <w:t xml:space="preserve">Glenhaven Hollow Capital LP</w:t>
            </w:r>
          </w:p>
        </w:tc>
        <w:tc>
          <w:tcPr>
            <w:tcW w:w="2400" w:type="dxa"/>
            <w:vAlign w:val="center"/>
          </w:tcPr>
          <w:p>
            <w:pPr>
              <w:spacing w:before="0" w:after="0"/>
              <w:jc w:val="left"/>
            </w:pPr>
            <w:r>
              <w:rPr>
                <w:sz w:val="18"/>
                <w:szCs w:val="18"/>
              </w:rPr>
              <w:t xml:space="preserve">779 Orchard Street, Harborview</w:t>
            </w:r>
          </w:p>
        </w:tc>
        <w:tc>
          <w:tcPr>
            <w:tcW w:w="1900" w:type="dxa"/>
            <w:vAlign w:val="center"/>
          </w:tcPr>
          <w:p>
            <w:pPr>
              <w:spacing w:before="0" w:after="0"/>
              <w:jc w:val="right"/>
            </w:pPr>
            <w:r>
              <w:rPr>
                <w:sz w:val="18"/>
                <w:szCs w:val="18"/>
              </w:rPr>
              <w:t xml:space="preserve">1,102,000</w:t>
            </w:r>
          </w:p>
        </w:tc>
        <w:tc>
          <w:tcPr>
            <w:tcW w:w="1900" w:type="dxa"/>
            <w:vAlign w:val="center"/>
          </w:tcPr>
          <w:p>
            <w:pPr>
              <w:spacing w:before="0" w:after="0"/>
              <w:jc w:val="right"/>
            </w:pPr>
            <w:r>
              <w:rPr>
                <w:sz w:val="18"/>
                <w:szCs w:val="18"/>
              </w:rPr>
              <w:t xml:space="preserve">11.20</w:t>
            </w:r>
          </w:p>
        </w:tc>
      </w:tr>
      <w:tr>
        <w:tc>
          <w:tcPr>
            <w:tcW w:w="2872" w:type="dxa"/>
            <w:vAlign w:val="center"/>
          </w:tcPr>
          <w:p>
            <w:pPr>
              <w:spacing w:before="0" w:after="0"/>
              <w:jc w:val="left"/>
            </w:pPr>
            <w:r>
              <w:rPr>
                <w:sz w:val="18"/>
                <w:szCs w:val="18"/>
              </w:rPr>
              <w:t xml:space="preserve">Glenhaven Bay Capital LP</w:t>
            </w:r>
          </w:p>
        </w:tc>
        <w:tc>
          <w:tcPr>
            <w:tcW w:w="2400" w:type="dxa"/>
            <w:vAlign w:val="center"/>
          </w:tcPr>
          <w:p>
            <w:pPr>
              <w:spacing w:before="0" w:after="0"/>
              <w:jc w:val="left"/>
            </w:pPr>
            <w:r>
              <w:rPr>
                <w:sz w:val="18"/>
                <w:szCs w:val="18"/>
              </w:rPr>
              <w:t xml:space="preserve">374 Chapel Street, Lakeside</w:t>
            </w:r>
          </w:p>
        </w:tc>
        <w:tc>
          <w:tcPr>
            <w:tcW w:w="1900" w:type="dxa"/>
            <w:vAlign w:val="center"/>
          </w:tcPr>
          <w:p>
            <w:pPr>
              <w:spacing w:before="0" w:after="0"/>
              <w:jc w:val="right"/>
            </w:pPr>
            <w:r>
              <w:rPr>
                <w:sz w:val="18"/>
                <w:szCs w:val="18"/>
              </w:rPr>
              <w:t xml:space="preserve">1,836,000</w:t>
            </w:r>
          </w:p>
        </w:tc>
        <w:tc>
          <w:tcPr>
            <w:tcW w:w="1900" w:type="dxa"/>
            <w:vAlign w:val="center"/>
          </w:tcPr>
          <w:p>
            <w:pPr>
              <w:spacing w:before="0" w:after="0"/>
              <w:jc w:val="right"/>
            </w:pPr>
            <w:r>
              <w:rPr>
                <w:sz w:val="18"/>
                <w:szCs w:val="18"/>
              </w:rPr>
              <w:t xml:space="preserve">6.05</w:t>
            </w:r>
          </w:p>
        </w:tc>
      </w:tr>
      <w:tr>
        <w:tc>
          <w:tcPr>
            <w:tcW w:w="2872" w:type="dxa"/>
            <w:vAlign w:val="center"/>
          </w:tcPr>
          <w:p>
            <w:pPr>
              <w:spacing w:before="0" w:after="0"/>
              <w:jc w:val="left"/>
            </w:pPr>
            <w:r>
              <w:rPr>
                <w:sz w:val="18"/>
                <w:szCs w:val="18"/>
              </w:rPr>
              <w:t xml:space="preserve">Kestrel Crest Holdings LLC</w:t>
            </w:r>
          </w:p>
        </w:tc>
        <w:tc>
          <w:tcPr>
            <w:tcW w:w="2400" w:type="dxa"/>
            <w:vAlign w:val="center"/>
          </w:tcPr>
          <w:p>
            <w:pPr>
              <w:spacing w:before="0" w:after="0"/>
              <w:jc w:val="left"/>
            </w:pPr>
            <w:r>
              <w:rPr>
                <w:sz w:val="18"/>
                <w:szCs w:val="18"/>
              </w:rPr>
              <w:t xml:space="preserve">158 Harbor Street, Harborview</w:t>
            </w:r>
          </w:p>
        </w:tc>
        <w:tc>
          <w:tcPr>
            <w:tcW w:w="1900" w:type="dxa"/>
            <w:vAlign w:val="center"/>
          </w:tcPr>
          <w:p>
            <w:pPr>
              <w:spacing w:before="0" w:after="0"/>
              <w:jc w:val="right"/>
            </w:pPr>
            <w:r>
              <w:rPr>
                <w:sz w:val="18"/>
                <w:szCs w:val="18"/>
              </w:rPr>
              <w:t xml:space="preserve">4,241,000</w:t>
            </w:r>
          </w:p>
        </w:tc>
        <w:tc>
          <w:tcPr>
            <w:tcW w:w="1900" w:type="dxa"/>
            <w:vAlign w:val="center"/>
          </w:tcPr>
          <w:p>
            <w:pPr>
              <w:spacing w:before="0" w:after="0"/>
              <w:jc w:val="right"/>
            </w:pPr>
            <w:r>
              <w:rPr>
                <w:sz w:val="18"/>
                <w:szCs w:val="18"/>
              </w:rPr>
              <w:t xml:space="preserve">3.31</w:t>
            </w:r>
          </w:p>
        </w:tc>
      </w:tr>
      <w:tr>
        <w:tc>
          <w:tcPr>
            <w:tcW w:w="2872" w:type="dxa"/>
            <w:vAlign w:val="center"/>
          </w:tcPr>
          <w:p>
            <w:pPr>
              <w:spacing w:before="0" w:after="0"/>
              <w:jc w:val="left"/>
            </w:pPr>
            <w:r>
              <w:rPr>
                <w:sz w:val="18"/>
                <w:szCs w:val="18"/>
              </w:rPr>
              <w:t xml:space="preserve">Elkhorn Ridge Capital LP</w:t>
            </w:r>
          </w:p>
        </w:tc>
        <w:tc>
          <w:tcPr>
            <w:tcW w:w="2400" w:type="dxa"/>
            <w:vAlign w:val="center"/>
          </w:tcPr>
          <w:p>
            <w:pPr>
              <w:spacing w:before="0" w:after="0"/>
              <w:jc w:val="left"/>
            </w:pPr>
            <w:r>
              <w:rPr>
                <w:sz w:val="18"/>
                <w:szCs w:val="18"/>
              </w:rPr>
              <w:t xml:space="preserve">332 Harbor Street, Southport</w:t>
            </w:r>
          </w:p>
        </w:tc>
        <w:tc>
          <w:tcPr>
            <w:tcW w:w="1900" w:type="dxa"/>
            <w:vAlign w:val="center"/>
          </w:tcPr>
          <w:p>
            <w:pPr>
              <w:spacing w:before="0" w:after="0"/>
              <w:jc w:val="right"/>
            </w:pPr>
            <w:r>
              <w:rPr>
                <w:sz w:val="18"/>
                <w:szCs w:val="18"/>
              </w:rPr>
              <w:t xml:space="preserve">1,074,000</w:t>
            </w:r>
          </w:p>
        </w:tc>
        <w:tc>
          <w:tcPr>
            <w:tcW w:w="1900" w:type="dxa"/>
            <w:vAlign w:val="center"/>
          </w:tcPr>
          <w:p>
            <w:pPr>
              <w:spacing w:before="0" w:after="0"/>
              <w:jc w:val="right"/>
            </w:pPr>
            <w:r>
              <w:rPr>
                <w:sz w:val="18"/>
                <w:szCs w:val="18"/>
              </w:rPr>
              <w:t xml:space="preserve">8.27</w:t>
            </w:r>
          </w:p>
        </w:tc>
      </w:tr>
      <w:tr>
        <w:tc>
          <w:tcPr>
            <w:tcW w:w="2872" w:type="dxa"/>
            <w:vAlign w:val="center"/>
          </w:tcPr>
          <w:p>
            <w:pPr>
              <w:spacing w:before="0" w:after="0"/>
              <w:jc w:val="left"/>
            </w:pPr>
            <w:r>
              <w:rPr>
                <w:sz w:val="18"/>
                <w:szCs w:val="18"/>
              </w:rPr>
              <w:t xml:space="preserve">Fenwick Field Family Trust</w:t>
            </w:r>
          </w:p>
        </w:tc>
        <w:tc>
          <w:tcPr>
            <w:tcW w:w="2400" w:type="dxa"/>
            <w:vAlign w:val="center"/>
          </w:tcPr>
          <w:p>
            <w:pPr>
              <w:spacing w:before="0" w:after="0"/>
              <w:jc w:val="left"/>
            </w:pPr>
            <w:r>
              <w:rPr>
                <w:sz w:val="18"/>
                <w:szCs w:val="18"/>
              </w:rPr>
              <w:t xml:space="preserve">589 Orchard Street, Riverside</w:t>
            </w:r>
          </w:p>
        </w:tc>
        <w:tc>
          <w:tcPr>
            <w:tcW w:w="1900" w:type="dxa"/>
            <w:vAlign w:val="center"/>
          </w:tcPr>
          <w:p>
            <w:pPr>
              <w:spacing w:before="0" w:after="0"/>
              <w:jc w:val="right"/>
            </w:pPr>
            <w:r>
              <w:rPr>
                <w:sz w:val="18"/>
                <w:szCs w:val="18"/>
              </w:rPr>
              <w:t xml:space="preserve">1,544,000</w:t>
            </w:r>
          </w:p>
        </w:tc>
        <w:tc>
          <w:tcPr>
            <w:tcW w:w="1900" w:type="dxa"/>
            <w:vAlign w:val="center"/>
          </w:tcPr>
          <w:p>
            <w:pPr>
              <w:spacing w:before="0" w:after="0"/>
              <w:jc w:val="right"/>
            </w:pPr>
            <w:r>
              <w:rPr>
                <w:sz w:val="18"/>
                <w:szCs w:val="18"/>
              </w:rPr>
              <w:t xml:space="preserve">9.14</w:t>
            </w:r>
          </w:p>
        </w:tc>
      </w:tr>
      <w:tr>
        <w:tc>
          <w:tcPr>
            <w:tcW w:w="2872" w:type="dxa"/>
            <w:vAlign w:val="center"/>
          </w:tcPr>
          <w:p>
            <w:pPr>
              <w:spacing w:before="0" w:after="0"/>
              <w:jc w:val="left"/>
            </w:pPr>
            <w:r>
              <w:rPr>
                <w:sz w:val="18"/>
                <w:szCs w:val="18"/>
              </w:rPr>
              <w:t xml:space="preserve">Alder Crest Partners LLC</w:t>
            </w:r>
          </w:p>
        </w:tc>
        <w:tc>
          <w:tcPr>
            <w:tcW w:w="2400" w:type="dxa"/>
            <w:vAlign w:val="center"/>
          </w:tcPr>
          <w:p>
            <w:pPr>
              <w:spacing w:before="0" w:after="0"/>
              <w:jc w:val="left"/>
            </w:pPr>
            <w:r>
              <w:rPr>
                <w:sz w:val="18"/>
                <w:szCs w:val="18"/>
              </w:rPr>
              <w:t xml:space="preserve">643 Station Street, Riverside</w:t>
            </w:r>
          </w:p>
        </w:tc>
        <w:tc>
          <w:tcPr>
            <w:tcW w:w="1900" w:type="dxa"/>
            <w:vAlign w:val="center"/>
          </w:tcPr>
          <w:p>
            <w:pPr>
              <w:spacing w:before="0" w:after="0"/>
              <w:jc w:val="right"/>
            </w:pPr>
            <w:r>
              <w:rPr>
                <w:sz w:val="18"/>
                <w:szCs w:val="18"/>
              </w:rPr>
              <w:t xml:space="preserve">3,607,000</w:t>
            </w:r>
          </w:p>
        </w:tc>
        <w:tc>
          <w:tcPr>
            <w:tcW w:w="1900" w:type="dxa"/>
            <w:vAlign w:val="center"/>
          </w:tcPr>
          <w:p>
            <w:pPr>
              <w:spacing w:before="0" w:after="0"/>
              <w:jc w:val="right"/>
            </w:pPr>
            <w:r>
              <w:rPr>
                <w:sz w:val="18"/>
                <w:szCs w:val="18"/>
              </w:rPr>
              <w:t xml:space="preserve">4.26</w:t>
            </w:r>
          </w:p>
        </w:tc>
      </w:tr>
    </w:tbl>
    <w:p>
      <w:pPr/>
    </w:p>
    <w:p>
      <w:r>
        <w:br w:type="page"/>
      </w:r>
    </w:p>
    <w:p>
      <w:pPr>
        <w:pStyle w:val="Heading2"/>
        <w:keepNext/>
      </w:pPr>
      <w:r>
        <w:t xml:space="preserve">Item 2. Allotments to Third Parties</w:t>
      </w:r>
    </w:p>
    <w:p>
      <w:pPr>
        <w:ind w:left="0" w:firstLine="360"/>
      </w:pPr>
      <w:r>
        <w:t xml:space="preserve">Net cash used in financing activities was $12,038 thousand, reflecting repayments of the term loan and dividends paid. Labor costs are affected by minimum wage laws in the regions where the stores are located, and further increases could reduce store margins. During the fiscal year, Nimbus Coffee opened 11 new stores and closed 4 stores whose leases expired.</w:t>
      </w:r>
    </w:p>
    <w:p>
      <w:pPr>
        <w:ind w:left="0" w:firstLine="360"/>
      </w:pPr>
      <w:r>
        <w:t xml:space="preserve">Each store is managed by a store manager who reports to a district manager, and district managers report to the director for their region. Baristas complete a four-week training course before working on the floor, and store managers complete a further course at the Northfield training center. Wholesale revenue comes from sales of roasted beans to restaurants, hotels and grocery stores in the regions where the Group operates. Total revenue for the fiscal year was $75,974 thousand, an increase of 15.1% over the prior year, and operating income was $13,818 thousand, an increase of 1.6%. Net cash provided by operating activities was $92,862 thousand, mainly reflecting net income and depreciation and amortization.</w:t>
      </w:r>
    </w:p>
    <w:p>
      <w:pPr>
        <w:ind w:left="0" w:firstLine="360"/>
      </w:pPr>
      <w:r>
        <w:t xml:space="preserve">During the fiscal year, the Company opened 13 new stores and closed 1 stores whose leases expired. Capital expenditures totaled $8,284 thousand and consisted mainly of the build-out of new stores, the remodeling of existing stores and a second roasting line at the Northfield roastery. Occupancy costs increased to $5,339 thousand, reflecting rent for new stores and scheduled rent increases at existing locations.</w:t>
      </w:r>
    </w:p>
    <w:tbl>
      <w:tblPr>
        <w:tblW w:w="907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72" w:type="dxa"/>
          <w:right w:w="72" w:type="dxa"/>
        </w:tblCellMar>
      </w:tblPr>
      <w:tblGrid>
        <w:gridCol w:w="2872"/>
        <w:gridCol w:w="2400"/>
        <w:gridCol w:w="1900"/>
        <w:gridCol w:w="1900"/>
      </w:tblGrid>
      <w:tr>
        <w:trPr>
          <w:tblHeader/>
        </w:trPr>
        <w:tc>
          <w:tcPr>
            <w:tcW w:w="2872" w:type="dxa"/>
            <w:shd w:val="clear" w:color="auto" w:fill="DDEBF7"/>
            <w:vAlign w:val="center"/>
          </w:tcPr>
          <w:p>
            <w:pPr>
              <w:spacing w:before="0" w:after="0"/>
              <w:jc w:val="center"/>
            </w:pPr>
            <w:r>
              <w:rPr>
                <w:b/>
                <w:sz w:val="18"/>
                <w:szCs w:val="18"/>
              </w:rPr>
              <w:t xml:space="preserve">Name</w:t>
            </w:r>
          </w:p>
        </w:tc>
        <w:tc>
          <w:tcPr>
            <w:tcW w:w="2400" w:type="dxa"/>
            <w:shd w:val="clear" w:color="auto" w:fill="DDEBF7"/>
            <w:vAlign w:val="center"/>
          </w:tcPr>
          <w:p>
            <w:pPr>
              <w:spacing w:before="0" w:after="0"/>
              <w:jc w:val="center"/>
            </w:pPr>
            <w:r>
              <w:rPr>
                <w:b/>
                <w:sz w:val="18"/>
                <w:szCs w:val="18"/>
              </w:rPr>
              <w:t xml:space="preserve">Address</w:t>
            </w:r>
          </w:p>
        </w:tc>
        <w:tc>
          <w:tcPr>
            <w:tcW w:w="1900" w:type="dxa"/>
            <w:shd w:val="clear" w:color="auto" w:fill="DDEBF7"/>
            <w:vAlign w:val="center"/>
          </w:tcPr>
          <w:p>
            <w:pPr>
              <w:spacing w:before="0" w:after="0"/>
              <w:jc w:val="center"/>
            </w:pPr>
            <w:r>
              <w:rPr>
                <w:b/>
                <w:sz w:val="18"/>
                <w:szCs w:val="18"/>
              </w:rPr>
              <w:t xml:space="preserve">Shares held</w:t>
            </w:r>
          </w:p>
        </w:tc>
        <w:tc>
          <w:tcPr>
            <w:tcW w:w="1900" w:type="dxa"/>
            <w:shd w:val="clear" w:color="auto" w:fill="DDEBF7"/>
            <w:vAlign w:val="center"/>
          </w:tcPr>
          <w:p>
            <w:pPr>
              <w:spacing w:before="0" w:after="0"/>
              <w:jc w:val="center"/>
            </w:pPr>
            <w:r>
              <w:rPr>
                <w:b/>
                <w:sz w:val="18"/>
                <w:szCs w:val="18"/>
              </w:rPr>
              <w:t xml:space="preserve">Ownership of total shares outstanding (%)</w:t>
            </w:r>
          </w:p>
        </w:tc>
      </w:tr>
      <w:tr>
        <w:tc>
          <w:tcPr>
            <w:tcW w:w="2872" w:type="dxa"/>
            <w:vAlign w:val="center"/>
          </w:tcPr>
          <w:p>
            <w:pPr>
              <w:spacing w:before="0" w:after="0"/>
              <w:jc w:val="left"/>
            </w:pPr>
            <w:r>
              <w:rPr>
                <w:sz w:val="18"/>
                <w:szCs w:val="18"/>
              </w:rPr>
              <w:t xml:space="preserve">Fenwick Ridge Partners LLC</w:t>
            </w:r>
          </w:p>
        </w:tc>
        <w:tc>
          <w:tcPr>
            <w:tcW w:w="2400" w:type="dxa"/>
            <w:vAlign w:val="center"/>
          </w:tcPr>
          <w:p>
            <w:pPr>
              <w:spacing w:before="0" w:after="0"/>
              <w:jc w:val="left"/>
            </w:pPr>
            <w:r>
              <w:rPr>
                <w:sz w:val="18"/>
                <w:szCs w:val="18"/>
              </w:rPr>
              <w:t xml:space="preserve">605 Market Street, Southport</w:t>
            </w:r>
          </w:p>
        </w:tc>
        <w:tc>
          <w:tcPr>
            <w:tcW w:w="1900" w:type="dxa"/>
            <w:vAlign w:val="center"/>
          </w:tcPr>
          <w:p>
            <w:pPr>
              <w:spacing w:before="0" w:after="0"/>
              <w:jc w:val="right"/>
            </w:pPr>
            <w:r>
              <w:rPr>
                <w:sz w:val="18"/>
                <w:szCs w:val="18"/>
              </w:rPr>
              <w:t xml:space="preserve">2,054,000</w:t>
            </w:r>
          </w:p>
        </w:tc>
        <w:tc>
          <w:tcPr>
            <w:tcW w:w="1900" w:type="dxa"/>
            <w:vAlign w:val="center"/>
          </w:tcPr>
          <w:p>
            <w:pPr>
              <w:spacing w:before="0" w:after="0"/>
              <w:jc w:val="right"/>
            </w:pPr>
            <w:r>
              <w:rPr>
                <w:sz w:val="18"/>
                <w:szCs w:val="18"/>
              </w:rPr>
              <w:t xml:space="preserve">11.02</w:t>
            </w:r>
          </w:p>
        </w:tc>
      </w:tr>
      <w:tr>
        <w:tc>
          <w:tcPr>
            <w:tcW w:w="2872" w:type="dxa"/>
            <w:vAlign w:val="center"/>
          </w:tcPr>
          <w:p>
            <w:pPr>
              <w:spacing w:before="0" w:after="0"/>
              <w:jc w:val="left"/>
            </w:pPr>
            <w:r>
              <w:rPr>
                <w:sz w:val="18"/>
                <w:szCs w:val="18"/>
              </w:rPr>
              <w:t xml:space="preserve">Dunmore Crest Family Trust</w:t>
            </w:r>
          </w:p>
        </w:tc>
        <w:tc>
          <w:tcPr>
            <w:tcW w:w="2400" w:type="dxa"/>
            <w:vAlign w:val="center"/>
          </w:tcPr>
          <w:p>
            <w:pPr>
              <w:spacing w:before="0" w:after="0"/>
              <w:jc w:val="left"/>
            </w:pPr>
            <w:r>
              <w:rPr>
                <w:sz w:val="18"/>
                <w:szCs w:val="18"/>
              </w:rPr>
              <w:t xml:space="preserve">381 Orchard Street, Southport</w:t>
            </w:r>
          </w:p>
        </w:tc>
        <w:tc>
          <w:tcPr>
            <w:tcW w:w="1900" w:type="dxa"/>
            <w:vAlign w:val="center"/>
          </w:tcPr>
          <w:p>
            <w:pPr>
              <w:spacing w:before="0" w:after="0"/>
              <w:jc w:val="right"/>
            </w:pPr>
            <w:r>
              <w:rPr>
                <w:sz w:val="18"/>
                <w:szCs w:val="18"/>
              </w:rPr>
              <w:t xml:space="preserve">3,879,000</w:t>
            </w:r>
          </w:p>
        </w:tc>
        <w:tc>
          <w:tcPr>
            <w:tcW w:w="1900" w:type="dxa"/>
            <w:vAlign w:val="center"/>
          </w:tcPr>
          <w:p>
            <w:pPr>
              <w:spacing w:before="0" w:after="0"/>
              <w:jc w:val="right"/>
            </w:pPr>
            <w:r>
              <w:rPr>
                <w:sz w:val="18"/>
                <w:szCs w:val="18"/>
              </w:rPr>
              <w:t xml:space="preserve">5.32</w:t>
            </w:r>
          </w:p>
        </w:tc>
      </w:tr>
      <w:tr>
        <w:tc>
          <w:tcPr>
            <w:tcW w:w="2872" w:type="dxa"/>
            <w:vAlign w:val="center"/>
          </w:tcPr>
          <w:p>
            <w:pPr>
              <w:spacing w:before="0" w:after="0"/>
              <w:jc w:val="left"/>
            </w:pPr>
            <w:r>
              <w:rPr>
                <w:sz w:val="18"/>
                <w:szCs w:val="18"/>
              </w:rPr>
              <w:t xml:space="preserve">Cobalt Brook Investments LP</w:t>
            </w:r>
          </w:p>
        </w:tc>
        <w:tc>
          <w:tcPr>
            <w:tcW w:w="2400" w:type="dxa"/>
            <w:vAlign w:val="center"/>
          </w:tcPr>
          <w:p>
            <w:pPr>
              <w:spacing w:before="0" w:after="0"/>
              <w:jc w:val="left"/>
            </w:pPr>
            <w:r>
              <w:rPr>
                <w:sz w:val="18"/>
                <w:szCs w:val="18"/>
              </w:rPr>
              <w:t xml:space="preserve">14 Mill Street, Northfield</w:t>
            </w:r>
          </w:p>
        </w:tc>
        <w:tc>
          <w:tcPr>
            <w:tcW w:w="1900" w:type="dxa"/>
            <w:vAlign w:val="center"/>
          </w:tcPr>
          <w:p>
            <w:pPr>
              <w:spacing w:before="0" w:after="0"/>
              <w:jc w:val="right"/>
            </w:pPr>
            <w:r>
              <w:rPr>
                <w:sz w:val="18"/>
                <w:szCs w:val="18"/>
              </w:rPr>
              <w:t xml:space="preserve">3,522,000</w:t>
            </w:r>
          </w:p>
        </w:tc>
        <w:tc>
          <w:tcPr>
            <w:tcW w:w="1900" w:type="dxa"/>
            <w:vAlign w:val="center"/>
          </w:tcPr>
          <w:p>
            <w:pPr>
              <w:spacing w:before="0" w:after="0"/>
              <w:jc w:val="right"/>
            </w:pPr>
            <w:r>
              <w:rPr>
                <w:sz w:val="18"/>
                <w:szCs w:val="18"/>
              </w:rPr>
              <w:t xml:space="preserve">0.65</w:t>
            </w:r>
          </w:p>
        </w:tc>
      </w:tr>
      <w:tr>
        <w:tc>
          <w:tcPr>
            <w:tcW w:w="2872" w:type="dxa"/>
            <w:vAlign w:val="center"/>
          </w:tcPr>
          <w:p>
            <w:pPr>
              <w:spacing w:before="0" w:after="0"/>
              <w:jc w:val="left"/>
            </w:pPr>
            <w:r>
              <w:rPr>
                <w:sz w:val="18"/>
                <w:szCs w:val="18"/>
              </w:rPr>
              <w:t xml:space="preserve">Fenwick Brook Capital LP</w:t>
            </w:r>
          </w:p>
        </w:tc>
        <w:tc>
          <w:tcPr>
            <w:tcW w:w="2400" w:type="dxa"/>
            <w:vAlign w:val="center"/>
          </w:tcPr>
          <w:p>
            <w:pPr>
              <w:spacing w:before="0" w:after="0"/>
              <w:jc w:val="left"/>
            </w:pPr>
            <w:r>
              <w:rPr>
                <w:sz w:val="18"/>
                <w:szCs w:val="18"/>
              </w:rPr>
              <w:t xml:space="preserve">150 Market Street, Lakeside</w:t>
            </w:r>
          </w:p>
        </w:tc>
        <w:tc>
          <w:tcPr>
            <w:tcW w:w="1900" w:type="dxa"/>
            <w:vAlign w:val="center"/>
          </w:tcPr>
          <w:p>
            <w:pPr>
              <w:spacing w:before="0" w:after="0"/>
              <w:jc w:val="right"/>
            </w:pPr>
            <w:r>
              <w:rPr>
                <w:sz w:val="18"/>
                <w:szCs w:val="18"/>
              </w:rPr>
              <w:t xml:space="preserve">678,000</w:t>
            </w:r>
          </w:p>
        </w:tc>
        <w:tc>
          <w:tcPr>
            <w:tcW w:w="1900" w:type="dxa"/>
            <w:vAlign w:val="center"/>
          </w:tcPr>
          <w:p>
            <w:pPr>
              <w:spacing w:before="0" w:after="0"/>
              <w:jc w:val="right"/>
            </w:pPr>
            <w:r>
              <w:rPr>
                <w:sz w:val="18"/>
                <w:szCs w:val="18"/>
              </w:rPr>
              <w:t xml:space="preserve">5.20</w:t>
            </w:r>
          </w:p>
        </w:tc>
      </w:tr>
      <w:tr>
        <w:tc>
          <w:tcPr>
            <w:tcW w:w="2872" w:type="dxa"/>
            <w:vAlign w:val="center"/>
          </w:tcPr>
          <w:p>
            <w:pPr>
              <w:spacing w:before="0" w:after="0"/>
              <w:jc w:val="left"/>
            </w:pPr>
            <w:r>
              <w:rPr>
                <w:sz w:val="18"/>
                <w:szCs w:val="18"/>
              </w:rPr>
              <w:t xml:space="preserve">Glenhaven Hollow Capital LP</w:t>
            </w:r>
          </w:p>
        </w:tc>
        <w:tc>
          <w:tcPr>
            <w:tcW w:w="2400" w:type="dxa"/>
            <w:vAlign w:val="center"/>
          </w:tcPr>
          <w:p>
            <w:pPr>
              <w:spacing w:before="0" w:after="0"/>
              <w:jc w:val="left"/>
            </w:pPr>
            <w:r>
              <w:rPr>
                <w:sz w:val="18"/>
                <w:szCs w:val="18"/>
              </w:rPr>
              <w:t xml:space="preserve">250 Market Street, Northfield</w:t>
            </w:r>
          </w:p>
        </w:tc>
        <w:tc>
          <w:tcPr>
            <w:tcW w:w="1900" w:type="dxa"/>
            <w:vAlign w:val="center"/>
          </w:tcPr>
          <w:p>
            <w:pPr>
              <w:spacing w:before="0" w:after="0"/>
              <w:jc w:val="right"/>
            </w:pPr>
            <w:r>
              <w:rPr>
                <w:sz w:val="18"/>
                <w:szCs w:val="18"/>
              </w:rPr>
              <w:t xml:space="preserve">1,358,000</w:t>
            </w:r>
          </w:p>
        </w:tc>
        <w:tc>
          <w:tcPr>
            <w:tcW w:w="1900" w:type="dxa"/>
            <w:vAlign w:val="center"/>
          </w:tcPr>
          <w:p>
            <w:pPr>
              <w:spacing w:before="0" w:after="0"/>
              <w:jc w:val="right"/>
            </w:pPr>
            <w:r>
              <w:rPr>
                <w:sz w:val="18"/>
                <w:szCs w:val="18"/>
              </w:rPr>
              <w:t xml:space="preserve">5.33</w:t>
            </w:r>
          </w:p>
        </w:tc>
      </w:tr>
      <w:tr>
        <w:tc>
          <w:tcPr>
            <w:tcW w:w="2872" w:type="dxa"/>
            <w:vAlign w:val="center"/>
          </w:tcPr>
          <w:p>
            <w:pPr>
              <w:spacing w:before="0" w:after="0"/>
              <w:jc w:val="left"/>
            </w:pPr>
            <w:r>
              <w:rPr>
                <w:sz w:val="18"/>
                <w:szCs w:val="18"/>
              </w:rPr>
              <w:t xml:space="preserve">Hollis Bay Partners LLC</w:t>
            </w:r>
          </w:p>
        </w:tc>
        <w:tc>
          <w:tcPr>
            <w:tcW w:w="2400" w:type="dxa"/>
            <w:vAlign w:val="center"/>
          </w:tcPr>
          <w:p>
            <w:pPr>
              <w:spacing w:before="0" w:after="0"/>
              <w:jc w:val="left"/>
            </w:pPr>
            <w:r>
              <w:rPr>
                <w:sz w:val="18"/>
                <w:szCs w:val="18"/>
              </w:rPr>
              <w:t xml:space="preserve">262 Station Street, Hillcrest</w:t>
            </w:r>
          </w:p>
        </w:tc>
        <w:tc>
          <w:tcPr>
            <w:tcW w:w="1900" w:type="dxa"/>
            <w:vAlign w:val="center"/>
          </w:tcPr>
          <w:p>
            <w:pPr>
              <w:spacing w:before="0" w:after="0"/>
              <w:jc w:val="right"/>
            </w:pPr>
            <w:r>
              <w:rPr>
                <w:sz w:val="18"/>
                <w:szCs w:val="18"/>
              </w:rPr>
              <w:t xml:space="preserve">847,000</w:t>
            </w:r>
          </w:p>
        </w:tc>
        <w:tc>
          <w:tcPr>
            <w:tcW w:w="1900" w:type="dxa"/>
            <w:vAlign w:val="center"/>
          </w:tcPr>
          <w:p>
            <w:pPr>
              <w:spacing w:before="0" w:after="0"/>
              <w:jc w:val="right"/>
            </w:pPr>
            <w:r>
              <w:rPr>
                <w:sz w:val="18"/>
                <w:szCs w:val="18"/>
              </w:rPr>
              <w:t xml:space="preserve">3.73</w:t>
            </w:r>
          </w:p>
        </w:tc>
      </w:tr>
      <w:tr>
        <w:tc>
          <w:tcPr>
            <w:tcW w:w="2872" w:type="dxa"/>
            <w:vAlign w:val="center"/>
          </w:tcPr>
          <w:p>
            <w:pPr>
              <w:spacing w:before="0" w:after="0"/>
              <w:jc w:val="left"/>
            </w:pPr>
            <w:r>
              <w:rPr>
                <w:sz w:val="18"/>
                <w:szCs w:val="18"/>
              </w:rPr>
              <w:t xml:space="preserve">Glenhaven Field Capital LP</w:t>
            </w:r>
          </w:p>
        </w:tc>
        <w:tc>
          <w:tcPr>
            <w:tcW w:w="2400" w:type="dxa"/>
            <w:vAlign w:val="center"/>
          </w:tcPr>
          <w:p>
            <w:pPr>
              <w:spacing w:before="0" w:after="0"/>
              <w:jc w:val="left"/>
            </w:pPr>
            <w:r>
              <w:rPr>
                <w:sz w:val="18"/>
                <w:szCs w:val="18"/>
              </w:rPr>
              <w:t xml:space="preserve">975 Station Street, Hillcrest</w:t>
            </w:r>
          </w:p>
        </w:tc>
        <w:tc>
          <w:tcPr>
            <w:tcW w:w="1900" w:type="dxa"/>
            <w:vAlign w:val="center"/>
          </w:tcPr>
          <w:p>
            <w:pPr>
              <w:spacing w:before="0" w:after="0"/>
              <w:jc w:val="right"/>
            </w:pPr>
            <w:r>
              <w:rPr>
                <w:sz w:val="18"/>
                <w:szCs w:val="18"/>
              </w:rPr>
              <w:t xml:space="preserve">4,070,000</w:t>
            </w:r>
          </w:p>
        </w:tc>
        <w:tc>
          <w:tcPr>
            <w:tcW w:w="1900" w:type="dxa"/>
            <w:vAlign w:val="center"/>
          </w:tcPr>
          <w:p>
            <w:pPr>
              <w:spacing w:before="0" w:after="0"/>
              <w:jc w:val="right"/>
            </w:pPr>
            <w:r>
              <w:rPr>
                <w:sz w:val="18"/>
                <w:szCs w:val="18"/>
              </w:rPr>
              <w:t xml:space="preserve">5.58</w:t>
            </w:r>
          </w:p>
        </w:tc>
      </w:tr>
      <w:tr>
        <w:tc>
          <w:tcPr>
            <w:tcW w:w="2872" w:type="dxa"/>
            <w:vAlign w:val="center"/>
          </w:tcPr>
          <w:p>
            <w:pPr>
              <w:spacing w:before="0" w:after="0"/>
              <w:jc w:val="left"/>
            </w:pPr>
            <w:r>
              <w:rPr>
                <w:sz w:val="18"/>
                <w:szCs w:val="18"/>
              </w:rPr>
              <w:t xml:space="preserve">Bramble Hollow Holdings LLC</w:t>
            </w:r>
          </w:p>
        </w:tc>
        <w:tc>
          <w:tcPr>
            <w:tcW w:w="2400" w:type="dxa"/>
            <w:vAlign w:val="center"/>
          </w:tcPr>
          <w:p>
            <w:pPr>
              <w:spacing w:before="0" w:after="0"/>
              <w:jc w:val="left"/>
            </w:pPr>
            <w:r>
              <w:rPr>
                <w:sz w:val="18"/>
                <w:szCs w:val="18"/>
              </w:rPr>
              <w:t xml:space="preserve">271 Orchard Street, Riverside</w:t>
            </w:r>
          </w:p>
        </w:tc>
        <w:tc>
          <w:tcPr>
            <w:tcW w:w="1900" w:type="dxa"/>
            <w:vAlign w:val="center"/>
          </w:tcPr>
          <w:p>
            <w:pPr>
              <w:spacing w:before="0" w:after="0"/>
              <w:jc w:val="right"/>
            </w:pPr>
            <w:r>
              <w:rPr>
                <w:sz w:val="18"/>
                <w:szCs w:val="18"/>
              </w:rPr>
              <w:t xml:space="preserve">1,096,000</w:t>
            </w:r>
          </w:p>
        </w:tc>
        <w:tc>
          <w:tcPr>
            <w:tcW w:w="1900" w:type="dxa"/>
            <w:vAlign w:val="center"/>
          </w:tcPr>
          <w:p>
            <w:pPr>
              <w:spacing w:before="0" w:after="0"/>
              <w:jc w:val="right"/>
            </w:pPr>
            <w:r>
              <w:rPr>
                <w:sz w:val="18"/>
                <w:szCs w:val="18"/>
              </w:rPr>
              <w:t xml:space="preserve">4.22</w:t>
            </w:r>
          </w:p>
        </w:tc>
      </w:tr>
      <w:tr>
        <w:tc>
          <w:tcPr>
            <w:tcW w:w="2872" w:type="dxa"/>
            <w:vAlign w:val="center"/>
          </w:tcPr>
          <w:p>
            <w:pPr>
              <w:spacing w:before="0" w:after="0"/>
              <w:jc w:val="left"/>
            </w:pPr>
            <w:r>
              <w:rPr>
                <w:sz w:val="18"/>
                <w:szCs w:val="18"/>
              </w:rPr>
              <w:t xml:space="preserve">Alder Hollow Capital LP</w:t>
            </w:r>
          </w:p>
        </w:tc>
        <w:tc>
          <w:tcPr>
            <w:tcW w:w="2400" w:type="dxa"/>
            <w:vAlign w:val="center"/>
          </w:tcPr>
          <w:p>
            <w:pPr>
              <w:spacing w:before="0" w:after="0"/>
              <w:jc w:val="left"/>
            </w:pPr>
            <w:r>
              <w:rPr>
                <w:sz w:val="18"/>
                <w:szCs w:val="18"/>
              </w:rPr>
              <w:t xml:space="preserve">936 Station Street, Westridge</w:t>
            </w:r>
          </w:p>
        </w:tc>
        <w:tc>
          <w:tcPr>
            <w:tcW w:w="1900" w:type="dxa"/>
            <w:vAlign w:val="center"/>
          </w:tcPr>
          <w:p>
            <w:pPr>
              <w:spacing w:before="0" w:after="0"/>
              <w:jc w:val="right"/>
            </w:pPr>
            <w:r>
              <w:rPr>
                <w:sz w:val="18"/>
                <w:szCs w:val="18"/>
              </w:rPr>
              <w:t xml:space="preserve">3,229,000</w:t>
            </w:r>
          </w:p>
        </w:tc>
        <w:tc>
          <w:tcPr>
            <w:tcW w:w="1900" w:type="dxa"/>
            <w:vAlign w:val="center"/>
          </w:tcPr>
          <w:p>
            <w:pPr>
              <w:spacing w:before="0" w:after="0"/>
              <w:jc w:val="right"/>
            </w:pPr>
            <w:r>
              <w:rPr>
                <w:sz w:val="18"/>
                <w:szCs w:val="18"/>
              </w:rPr>
              <w:t xml:space="preserve">1.95</w:t>
            </w:r>
          </w:p>
        </w:tc>
      </w:tr>
      <w:tr>
        <w:tc>
          <w:tcPr>
            <w:tcW w:w="2872" w:type="dxa"/>
            <w:vAlign w:val="center"/>
          </w:tcPr>
          <w:p>
            <w:pPr>
              <w:spacing w:before="0" w:after="0"/>
              <w:jc w:val="left"/>
            </w:pPr>
            <w:r>
              <w:rPr>
                <w:sz w:val="18"/>
                <w:szCs w:val="18"/>
              </w:rPr>
              <w:t xml:space="preserve">Elkhorn Brook Holdings LLC</w:t>
            </w:r>
          </w:p>
        </w:tc>
        <w:tc>
          <w:tcPr>
            <w:tcW w:w="2400" w:type="dxa"/>
            <w:vAlign w:val="center"/>
          </w:tcPr>
          <w:p>
            <w:pPr>
              <w:spacing w:before="0" w:after="0"/>
              <w:jc w:val="left"/>
            </w:pPr>
            <w:r>
              <w:rPr>
                <w:sz w:val="18"/>
                <w:szCs w:val="18"/>
              </w:rPr>
              <w:t xml:space="preserve">406 Orchard Street, Eastbay</w:t>
            </w:r>
          </w:p>
        </w:tc>
        <w:tc>
          <w:tcPr>
            <w:tcW w:w="1900" w:type="dxa"/>
            <w:vAlign w:val="center"/>
          </w:tcPr>
          <w:p>
            <w:pPr>
              <w:spacing w:before="0" w:after="0"/>
              <w:jc w:val="right"/>
            </w:pPr>
            <w:r>
              <w:rPr>
                <w:sz w:val="18"/>
                <w:szCs w:val="18"/>
              </w:rPr>
              <w:t xml:space="preserve">3,688,000</w:t>
            </w:r>
          </w:p>
        </w:tc>
        <w:tc>
          <w:tcPr>
            <w:tcW w:w="1900" w:type="dxa"/>
            <w:vAlign w:val="center"/>
          </w:tcPr>
          <w:p>
            <w:pPr>
              <w:spacing w:before="0" w:after="0"/>
              <w:jc w:val="right"/>
            </w:pPr>
            <w:r>
              <w:rPr>
                <w:sz w:val="18"/>
                <w:szCs w:val="18"/>
              </w:rPr>
              <w:t xml:space="preserve">0.85</w:t>
            </w:r>
          </w:p>
        </w:tc>
      </w:tr>
      <w:tr>
        <w:tc>
          <w:tcPr>
            <w:tcW w:w="2872" w:type="dxa"/>
            <w:vAlign w:val="center"/>
          </w:tcPr>
          <w:p>
            <w:pPr>
              <w:spacing w:before="0" w:after="0"/>
              <w:jc w:val="left"/>
            </w:pPr>
            <w:r>
              <w:rPr>
                <w:sz w:val="18"/>
                <w:szCs w:val="18"/>
              </w:rPr>
              <w:t xml:space="preserve">Hollis Ridge Family Trust</w:t>
            </w:r>
          </w:p>
        </w:tc>
        <w:tc>
          <w:tcPr>
            <w:tcW w:w="2400" w:type="dxa"/>
            <w:vAlign w:val="center"/>
          </w:tcPr>
          <w:p>
            <w:pPr>
              <w:spacing w:before="0" w:after="0"/>
              <w:jc w:val="left"/>
            </w:pPr>
            <w:r>
              <w:rPr>
                <w:sz w:val="18"/>
                <w:szCs w:val="18"/>
              </w:rPr>
              <w:t xml:space="preserve">581 Chapel Street, Eastbay</w:t>
            </w:r>
          </w:p>
        </w:tc>
        <w:tc>
          <w:tcPr>
            <w:tcW w:w="1900" w:type="dxa"/>
            <w:vAlign w:val="center"/>
          </w:tcPr>
          <w:p>
            <w:pPr>
              <w:spacing w:before="0" w:after="0"/>
              <w:jc w:val="right"/>
            </w:pPr>
            <w:r>
              <w:rPr>
                <w:sz w:val="18"/>
                <w:szCs w:val="18"/>
              </w:rPr>
              <w:t xml:space="preserve">3,272,000</w:t>
            </w:r>
          </w:p>
        </w:tc>
        <w:tc>
          <w:tcPr>
            <w:tcW w:w="1900" w:type="dxa"/>
            <w:vAlign w:val="center"/>
          </w:tcPr>
          <w:p>
            <w:pPr>
              <w:spacing w:before="0" w:after="0"/>
              <w:jc w:val="right"/>
            </w:pPr>
            <w:r>
              <w:rPr>
                <w:sz w:val="18"/>
                <w:szCs w:val="18"/>
              </w:rPr>
              <w:t xml:space="preserve">11.83</w:t>
            </w:r>
          </w:p>
        </w:tc>
      </w:tr>
      <w:tr>
        <w:tc>
          <w:tcPr>
            <w:tcW w:w="2872" w:type="dxa"/>
            <w:vAlign w:val="center"/>
          </w:tcPr>
          <w:p>
            <w:pPr>
              <w:spacing w:before="0" w:after="0"/>
              <w:jc w:val="left"/>
            </w:pPr>
            <w:r>
              <w:rPr>
                <w:sz w:val="18"/>
                <w:szCs w:val="18"/>
              </w:rPr>
              <w:t xml:space="preserve">Hollis Crest Growth Fund LP</w:t>
            </w:r>
          </w:p>
        </w:tc>
        <w:tc>
          <w:tcPr>
            <w:tcW w:w="2400" w:type="dxa"/>
            <w:vAlign w:val="center"/>
          </w:tcPr>
          <w:p>
            <w:pPr>
              <w:spacing w:before="0" w:after="0"/>
              <w:jc w:val="left"/>
            </w:pPr>
            <w:r>
              <w:rPr>
                <w:sz w:val="18"/>
                <w:szCs w:val="18"/>
              </w:rPr>
              <w:t xml:space="preserve">586 Mill Street, Northfield</w:t>
            </w:r>
          </w:p>
        </w:tc>
        <w:tc>
          <w:tcPr>
            <w:tcW w:w="1900" w:type="dxa"/>
            <w:vAlign w:val="center"/>
          </w:tcPr>
          <w:p>
            <w:pPr>
              <w:spacing w:before="0" w:after="0"/>
              <w:jc w:val="right"/>
            </w:pPr>
            <w:r>
              <w:rPr>
                <w:sz w:val="18"/>
                <w:szCs w:val="18"/>
              </w:rPr>
              <w:t xml:space="preserve">448,000</w:t>
            </w:r>
          </w:p>
        </w:tc>
        <w:tc>
          <w:tcPr>
            <w:tcW w:w="1900" w:type="dxa"/>
            <w:vAlign w:val="center"/>
          </w:tcPr>
          <w:p>
            <w:pPr>
              <w:spacing w:before="0" w:after="0"/>
              <w:jc w:val="right"/>
            </w:pPr>
            <w:r>
              <w:rPr>
                <w:sz w:val="18"/>
                <w:szCs w:val="18"/>
              </w:rPr>
              <w:t xml:space="preserve">11.15</w:t>
            </w:r>
          </w:p>
        </w:tc>
      </w:tr>
      <w:tr>
        <w:tc>
          <w:tcPr>
            <w:tcW w:w="2872" w:type="dxa"/>
            <w:vAlign w:val="center"/>
          </w:tcPr>
          <w:p>
            <w:pPr>
              <w:spacing w:before="0" w:after="0"/>
              <w:jc w:val="left"/>
            </w:pPr>
            <w:r>
              <w:rPr>
                <w:sz w:val="18"/>
                <w:szCs w:val="18"/>
              </w:rPr>
              <w:t xml:space="preserve">Hollis Crest Family Trust</w:t>
            </w:r>
          </w:p>
        </w:tc>
        <w:tc>
          <w:tcPr>
            <w:tcW w:w="2400" w:type="dxa"/>
            <w:vAlign w:val="center"/>
          </w:tcPr>
          <w:p>
            <w:pPr>
              <w:spacing w:before="0" w:after="0"/>
              <w:jc w:val="left"/>
            </w:pPr>
            <w:r>
              <w:rPr>
                <w:sz w:val="18"/>
                <w:szCs w:val="18"/>
              </w:rPr>
              <w:t xml:space="preserve">481 Station Street, Northfield</w:t>
            </w:r>
          </w:p>
        </w:tc>
        <w:tc>
          <w:tcPr>
            <w:tcW w:w="1900" w:type="dxa"/>
            <w:vAlign w:val="center"/>
          </w:tcPr>
          <w:p>
            <w:pPr>
              <w:spacing w:before="0" w:after="0"/>
              <w:jc w:val="right"/>
            </w:pPr>
            <w:r>
              <w:rPr>
                <w:sz w:val="18"/>
                <w:szCs w:val="18"/>
              </w:rPr>
              <w:t xml:space="preserve">2,709,000</w:t>
            </w:r>
          </w:p>
        </w:tc>
        <w:tc>
          <w:tcPr>
            <w:tcW w:w="1900" w:type="dxa"/>
            <w:vAlign w:val="center"/>
          </w:tcPr>
          <w:p>
            <w:pPr>
              <w:spacing w:before="0" w:after="0"/>
              <w:jc w:val="right"/>
            </w:pPr>
            <w:r>
              <w:rPr>
                <w:sz w:val="18"/>
                <w:szCs w:val="18"/>
              </w:rPr>
              <w:t xml:space="preserve">11.32</w:t>
            </w:r>
          </w:p>
        </w:tc>
      </w:tr>
      <w:tr>
        <w:tc>
          <w:tcPr>
            <w:tcW w:w="2872" w:type="dxa"/>
            <w:vAlign w:val="center"/>
          </w:tcPr>
          <w:p>
            <w:pPr>
              <w:spacing w:before="0" w:after="0"/>
              <w:jc w:val="left"/>
            </w:pPr>
            <w:r>
              <w:rPr>
                <w:sz w:val="18"/>
                <w:szCs w:val="18"/>
              </w:rPr>
              <w:t xml:space="preserve">Elkhorn Hollow Capital LP</w:t>
            </w:r>
          </w:p>
        </w:tc>
        <w:tc>
          <w:tcPr>
            <w:tcW w:w="2400" w:type="dxa"/>
            <w:vAlign w:val="center"/>
          </w:tcPr>
          <w:p>
            <w:pPr>
              <w:spacing w:before="0" w:after="0"/>
              <w:jc w:val="left"/>
            </w:pPr>
            <w:r>
              <w:rPr>
                <w:sz w:val="18"/>
                <w:szCs w:val="18"/>
              </w:rPr>
              <w:t xml:space="preserve">121 Harbor Street, Riverside</w:t>
            </w:r>
          </w:p>
        </w:tc>
        <w:tc>
          <w:tcPr>
            <w:tcW w:w="1900" w:type="dxa"/>
            <w:vAlign w:val="center"/>
          </w:tcPr>
          <w:p>
            <w:pPr>
              <w:spacing w:before="0" w:after="0"/>
              <w:jc w:val="right"/>
            </w:pPr>
            <w:r>
              <w:rPr>
                <w:sz w:val="18"/>
                <w:szCs w:val="18"/>
              </w:rPr>
              <w:t xml:space="preserve">2,433,000</w:t>
            </w:r>
          </w:p>
        </w:tc>
        <w:tc>
          <w:tcPr>
            <w:tcW w:w="1900" w:type="dxa"/>
            <w:vAlign w:val="center"/>
          </w:tcPr>
          <w:p>
            <w:pPr>
              <w:spacing w:before="0" w:after="0"/>
              <w:jc w:val="right"/>
            </w:pPr>
            <w:r>
              <w:rPr>
                <w:sz w:val="18"/>
                <w:szCs w:val="18"/>
              </w:rPr>
              <w:t xml:space="preserve">8.65</w:t>
            </w:r>
          </w:p>
        </w:tc>
      </w:tr>
      <w:tr>
        <w:tc>
          <w:tcPr>
            <w:tcW w:w="2872" w:type="dxa"/>
            <w:vAlign w:val="center"/>
          </w:tcPr>
          <w:p>
            <w:pPr>
              <w:spacing w:before="0" w:after="0"/>
              <w:jc w:val="left"/>
            </w:pPr>
            <w:r>
              <w:rPr>
                <w:sz w:val="18"/>
                <w:szCs w:val="18"/>
              </w:rPr>
              <w:t xml:space="preserve">Cobalt Crest Partners LLC</w:t>
            </w:r>
          </w:p>
        </w:tc>
        <w:tc>
          <w:tcPr>
            <w:tcW w:w="2400" w:type="dxa"/>
            <w:vAlign w:val="center"/>
          </w:tcPr>
          <w:p>
            <w:pPr>
              <w:spacing w:before="0" w:after="0"/>
              <w:jc w:val="left"/>
            </w:pPr>
            <w:r>
              <w:rPr>
                <w:sz w:val="18"/>
                <w:szCs w:val="18"/>
              </w:rPr>
              <w:t xml:space="preserve">269 Station Street, Westridge</w:t>
            </w:r>
          </w:p>
        </w:tc>
        <w:tc>
          <w:tcPr>
            <w:tcW w:w="1900" w:type="dxa"/>
            <w:vAlign w:val="center"/>
          </w:tcPr>
          <w:p>
            <w:pPr>
              <w:spacing w:before="0" w:after="0"/>
              <w:jc w:val="right"/>
            </w:pPr>
            <w:r>
              <w:rPr>
                <w:sz w:val="18"/>
                <w:szCs w:val="18"/>
              </w:rPr>
              <w:t xml:space="preserve">137,000</w:t>
            </w:r>
          </w:p>
        </w:tc>
        <w:tc>
          <w:tcPr>
            <w:tcW w:w="1900" w:type="dxa"/>
            <w:vAlign w:val="center"/>
          </w:tcPr>
          <w:p>
            <w:pPr>
              <w:spacing w:before="0" w:after="0"/>
              <w:jc w:val="right"/>
            </w:pPr>
            <w:r>
              <w:rPr>
                <w:sz w:val="18"/>
                <w:szCs w:val="18"/>
              </w:rPr>
              <w:t xml:space="preserve">4.73</w:t>
            </w:r>
          </w:p>
        </w:tc>
      </w:tr>
      <w:tr>
        <w:tc>
          <w:tcPr>
            <w:tcW w:w="2872" w:type="dxa"/>
            <w:vAlign w:val="center"/>
          </w:tcPr>
          <w:p>
            <w:pPr>
              <w:spacing w:before="0" w:after="0"/>
              <w:jc w:val="left"/>
            </w:pPr>
            <w:r>
              <w:rPr>
                <w:sz w:val="18"/>
                <w:szCs w:val="18"/>
              </w:rPr>
              <w:t xml:space="preserve">Cobalt Bay Holdings LLC</w:t>
            </w:r>
          </w:p>
        </w:tc>
        <w:tc>
          <w:tcPr>
            <w:tcW w:w="2400" w:type="dxa"/>
            <w:vAlign w:val="center"/>
          </w:tcPr>
          <w:p>
            <w:pPr>
              <w:spacing w:before="0" w:after="0"/>
              <w:jc w:val="left"/>
            </w:pPr>
            <w:r>
              <w:rPr>
                <w:sz w:val="18"/>
                <w:szCs w:val="18"/>
              </w:rPr>
              <w:t xml:space="preserve">815 Harbor Street, Southport</w:t>
            </w:r>
          </w:p>
        </w:tc>
        <w:tc>
          <w:tcPr>
            <w:tcW w:w="1900" w:type="dxa"/>
            <w:vAlign w:val="center"/>
          </w:tcPr>
          <w:p>
            <w:pPr>
              <w:spacing w:before="0" w:after="0"/>
              <w:jc w:val="right"/>
            </w:pPr>
            <w:r>
              <w:rPr>
                <w:sz w:val="18"/>
                <w:szCs w:val="18"/>
              </w:rPr>
              <w:t xml:space="preserve">31,000</w:t>
            </w:r>
          </w:p>
        </w:tc>
        <w:tc>
          <w:tcPr>
            <w:tcW w:w="1900" w:type="dxa"/>
            <w:vAlign w:val="center"/>
          </w:tcPr>
          <w:p>
            <w:pPr>
              <w:spacing w:before="0" w:after="0"/>
              <w:jc w:val="right"/>
            </w:pPr>
            <w:r>
              <w:rPr>
                <w:sz w:val="18"/>
                <w:szCs w:val="18"/>
              </w:rPr>
              <w:t xml:space="preserve">10.20</w:t>
            </w:r>
          </w:p>
        </w:tc>
      </w:tr>
      <w:tr>
        <w:tc>
          <w:tcPr>
            <w:tcW w:w="2872" w:type="dxa"/>
            <w:vAlign w:val="center"/>
          </w:tcPr>
          <w:p>
            <w:pPr>
              <w:spacing w:before="0" w:after="0"/>
              <w:jc w:val="left"/>
            </w:pPr>
            <w:r>
              <w:rPr>
                <w:sz w:val="18"/>
                <w:szCs w:val="18"/>
              </w:rPr>
              <w:t xml:space="preserve">Alder Field Family Trust</w:t>
            </w:r>
          </w:p>
        </w:tc>
        <w:tc>
          <w:tcPr>
            <w:tcW w:w="2400" w:type="dxa"/>
            <w:vAlign w:val="center"/>
          </w:tcPr>
          <w:p>
            <w:pPr>
              <w:spacing w:before="0" w:after="0"/>
              <w:jc w:val="left"/>
            </w:pPr>
            <w:r>
              <w:rPr>
                <w:sz w:val="18"/>
                <w:szCs w:val="18"/>
              </w:rPr>
              <w:t xml:space="preserve">389 Harbor Street, Eastbay</w:t>
            </w:r>
          </w:p>
        </w:tc>
        <w:tc>
          <w:tcPr>
            <w:tcW w:w="1900" w:type="dxa"/>
            <w:vAlign w:val="center"/>
          </w:tcPr>
          <w:p>
            <w:pPr>
              <w:spacing w:before="0" w:after="0"/>
              <w:jc w:val="right"/>
            </w:pPr>
            <w:r>
              <w:rPr>
                <w:sz w:val="18"/>
                <w:szCs w:val="18"/>
              </w:rPr>
              <w:t xml:space="preserve">640,000</w:t>
            </w:r>
          </w:p>
        </w:tc>
        <w:tc>
          <w:tcPr>
            <w:tcW w:w="1900" w:type="dxa"/>
            <w:vAlign w:val="center"/>
          </w:tcPr>
          <w:p>
            <w:pPr>
              <w:spacing w:before="0" w:after="0"/>
              <w:jc w:val="right"/>
            </w:pPr>
            <w:r>
              <w:rPr>
                <w:sz w:val="18"/>
                <w:szCs w:val="18"/>
              </w:rPr>
              <w:t xml:space="preserve">2.08</w:t>
            </w:r>
          </w:p>
        </w:tc>
      </w:tr>
      <w:tr>
        <w:tc>
          <w:tcPr>
            <w:tcW w:w="2872" w:type="dxa"/>
            <w:vAlign w:val="center"/>
          </w:tcPr>
          <w:p>
            <w:pPr>
              <w:spacing w:before="0" w:after="0"/>
              <w:jc w:val="left"/>
            </w:pPr>
            <w:r>
              <w:rPr>
                <w:sz w:val="18"/>
                <w:szCs w:val="18"/>
              </w:rPr>
              <w:t xml:space="preserve">Dunmore Ridge Family Trust</w:t>
            </w:r>
          </w:p>
        </w:tc>
        <w:tc>
          <w:tcPr>
            <w:tcW w:w="2400" w:type="dxa"/>
            <w:vAlign w:val="center"/>
          </w:tcPr>
          <w:p>
            <w:pPr>
              <w:spacing w:before="0" w:after="0"/>
              <w:jc w:val="left"/>
            </w:pPr>
            <w:r>
              <w:rPr>
                <w:sz w:val="18"/>
                <w:szCs w:val="18"/>
              </w:rPr>
              <w:t xml:space="preserve">50 Orchard Street, Lakeside</w:t>
            </w:r>
          </w:p>
        </w:tc>
        <w:tc>
          <w:tcPr>
            <w:tcW w:w="1900" w:type="dxa"/>
            <w:vAlign w:val="center"/>
          </w:tcPr>
          <w:p>
            <w:pPr>
              <w:spacing w:before="0" w:after="0"/>
              <w:jc w:val="right"/>
            </w:pPr>
            <w:r>
              <w:rPr>
                <w:sz w:val="18"/>
                <w:szCs w:val="18"/>
              </w:rPr>
              <w:t xml:space="preserve">849,000</w:t>
            </w:r>
          </w:p>
        </w:tc>
        <w:tc>
          <w:tcPr>
            <w:tcW w:w="1900" w:type="dxa"/>
            <w:vAlign w:val="center"/>
          </w:tcPr>
          <w:p>
            <w:pPr>
              <w:spacing w:before="0" w:after="0"/>
              <w:jc w:val="right"/>
            </w:pPr>
            <w:r>
              <w:rPr>
                <w:sz w:val="18"/>
                <w:szCs w:val="18"/>
              </w:rPr>
              <w:t xml:space="preserve">8.34</w:t>
            </w:r>
          </w:p>
        </w:tc>
      </w:tr>
      <w:tr>
        <w:tc>
          <w:tcPr>
            <w:tcW w:w="2872" w:type="dxa"/>
            <w:vAlign w:val="center"/>
          </w:tcPr>
          <w:p>
            <w:pPr>
              <w:spacing w:before="0" w:after="0"/>
              <w:jc w:val="left"/>
            </w:pPr>
            <w:r>
              <w:rPr>
                <w:sz w:val="18"/>
                <w:szCs w:val="18"/>
              </w:rPr>
              <w:t xml:space="preserve">Cobalt Hollow Family Trust</w:t>
            </w:r>
          </w:p>
        </w:tc>
        <w:tc>
          <w:tcPr>
            <w:tcW w:w="2400" w:type="dxa"/>
            <w:vAlign w:val="center"/>
          </w:tcPr>
          <w:p>
            <w:pPr>
              <w:spacing w:before="0" w:after="0"/>
              <w:jc w:val="left"/>
            </w:pPr>
            <w:r>
              <w:rPr>
                <w:sz w:val="18"/>
                <w:szCs w:val="18"/>
              </w:rPr>
              <w:t xml:space="preserve">973 Mill Street, Eastbay</w:t>
            </w:r>
          </w:p>
        </w:tc>
        <w:tc>
          <w:tcPr>
            <w:tcW w:w="1900" w:type="dxa"/>
            <w:vAlign w:val="center"/>
          </w:tcPr>
          <w:p>
            <w:pPr>
              <w:spacing w:before="0" w:after="0"/>
              <w:jc w:val="right"/>
            </w:pPr>
            <w:r>
              <w:rPr>
                <w:sz w:val="18"/>
                <w:szCs w:val="18"/>
              </w:rPr>
              <w:t xml:space="preserve">4,198,000</w:t>
            </w:r>
          </w:p>
        </w:tc>
        <w:tc>
          <w:tcPr>
            <w:tcW w:w="1900" w:type="dxa"/>
            <w:vAlign w:val="center"/>
          </w:tcPr>
          <w:p>
            <w:pPr>
              <w:spacing w:before="0" w:after="0"/>
              <w:jc w:val="right"/>
            </w:pPr>
            <w:r>
              <w:rPr>
                <w:sz w:val="18"/>
                <w:szCs w:val="18"/>
              </w:rPr>
              <w:t xml:space="preserve">0.33</w:t>
            </w:r>
          </w:p>
        </w:tc>
      </w:tr>
      <w:tr>
        <w:tc>
          <w:tcPr>
            <w:tcW w:w="2872" w:type="dxa"/>
            <w:vAlign w:val="center"/>
          </w:tcPr>
          <w:p>
            <w:pPr>
              <w:spacing w:before="0" w:after="0"/>
              <w:jc w:val="left"/>
            </w:pPr>
            <w:r>
              <w:rPr>
                <w:sz w:val="18"/>
                <w:szCs w:val="18"/>
              </w:rPr>
              <w:t xml:space="preserve">Ivorydale Stone Capital LP</w:t>
            </w:r>
          </w:p>
        </w:tc>
        <w:tc>
          <w:tcPr>
            <w:tcW w:w="2400" w:type="dxa"/>
            <w:vAlign w:val="center"/>
          </w:tcPr>
          <w:p>
            <w:pPr>
              <w:spacing w:before="0" w:after="0"/>
              <w:jc w:val="left"/>
            </w:pPr>
            <w:r>
              <w:rPr>
                <w:sz w:val="18"/>
                <w:szCs w:val="18"/>
              </w:rPr>
              <w:t xml:space="preserve">62 Orchard Street, Westridge</w:t>
            </w:r>
          </w:p>
        </w:tc>
        <w:tc>
          <w:tcPr>
            <w:tcW w:w="1900" w:type="dxa"/>
            <w:vAlign w:val="center"/>
          </w:tcPr>
          <w:p>
            <w:pPr>
              <w:spacing w:before="0" w:after="0"/>
              <w:jc w:val="right"/>
            </w:pPr>
            <w:r>
              <w:rPr>
                <w:sz w:val="18"/>
                <w:szCs w:val="18"/>
              </w:rPr>
              <w:t xml:space="preserve">4,817,000</w:t>
            </w:r>
          </w:p>
        </w:tc>
        <w:tc>
          <w:tcPr>
            <w:tcW w:w="1900" w:type="dxa"/>
            <w:vAlign w:val="center"/>
          </w:tcPr>
          <w:p>
            <w:pPr>
              <w:spacing w:before="0" w:after="0"/>
              <w:jc w:val="right"/>
            </w:pPr>
            <w:r>
              <w:rPr>
                <w:sz w:val="18"/>
                <w:szCs w:val="18"/>
              </w:rPr>
              <w:t xml:space="preserve">10.03</w:t>
            </w:r>
          </w:p>
        </w:tc>
      </w:tr>
      <w:tr>
        <w:tc>
          <w:tcPr>
            <w:tcW w:w="2872" w:type="dxa"/>
            <w:vAlign w:val="center"/>
          </w:tcPr>
          <w:p>
            <w:pPr>
              <w:spacing w:before="0" w:after="0"/>
              <w:jc w:val="left"/>
            </w:pPr>
            <w:r>
              <w:rPr>
                <w:sz w:val="18"/>
                <w:szCs w:val="18"/>
              </w:rPr>
              <w:t xml:space="preserve">Glenhaven Field Holdings LLC</w:t>
            </w:r>
          </w:p>
        </w:tc>
        <w:tc>
          <w:tcPr>
            <w:tcW w:w="2400" w:type="dxa"/>
            <w:vAlign w:val="center"/>
          </w:tcPr>
          <w:p>
            <w:pPr>
              <w:spacing w:before="0" w:after="0"/>
              <w:jc w:val="left"/>
            </w:pPr>
            <w:r>
              <w:rPr>
                <w:sz w:val="18"/>
                <w:szCs w:val="18"/>
              </w:rPr>
              <w:t xml:space="preserve">774 Station Street, Lakeside</w:t>
            </w:r>
          </w:p>
        </w:tc>
        <w:tc>
          <w:tcPr>
            <w:tcW w:w="1900" w:type="dxa"/>
            <w:vAlign w:val="center"/>
          </w:tcPr>
          <w:p>
            <w:pPr>
              <w:spacing w:before="0" w:after="0"/>
              <w:jc w:val="right"/>
            </w:pPr>
            <w:r>
              <w:rPr>
                <w:sz w:val="18"/>
                <w:szCs w:val="18"/>
              </w:rPr>
              <w:t xml:space="preserve">2,772,000</w:t>
            </w:r>
          </w:p>
        </w:tc>
        <w:tc>
          <w:tcPr>
            <w:tcW w:w="1900" w:type="dxa"/>
            <w:vAlign w:val="center"/>
          </w:tcPr>
          <w:p>
            <w:pPr>
              <w:spacing w:before="0" w:after="0"/>
              <w:jc w:val="right"/>
            </w:pPr>
            <w:r>
              <w:rPr>
                <w:sz w:val="18"/>
                <w:szCs w:val="18"/>
              </w:rPr>
              <w:t xml:space="preserve">6.42</w:t>
            </w:r>
          </w:p>
        </w:tc>
      </w:tr>
      <w:tr>
        <w:tc>
          <w:tcPr>
            <w:tcW w:w="2872" w:type="dxa"/>
            <w:vAlign w:val="center"/>
          </w:tcPr>
          <w:p>
            <w:pPr>
              <w:spacing w:before="0" w:after="0"/>
              <w:jc w:val="left"/>
            </w:pPr>
            <w:r>
              <w:rPr>
                <w:sz w:val="18"/>
                <w:szCs w:val="18"/>
              </w:rPr>
              <w:t xml:space="preserve">Hollis Crest Partners LLC</w:t>
            </w:r>
          </w:p>
        </w:tc>
        <w:tc>
          <w:tcPr>
            <w:tcW w:w="2400" w:type="dxa"/>
            <w:vAlign w:val="center"/>
          </w:tcPr>
          <w:p>
            <w:pPr>
              <w:spacing w:before="0" w:after="0"/>
              <w:jc w:val="left"/>
            </w:pPr>
            <w:r>
              <w:rPr>
                <w:sz w:val="18"/>
                <w:szCs w:val="18"/>
              </w:rPr>
              <w:t xml:space="preserve">676 Orchard Street, Riverside</w:t>
            </w:r>
          </w:p>
        </w:tc>
        <w:tc>
          <w:tcPr>
            <w:tcW w:w="1900" w:type="dxa"/>
            <w:vAlign w:val="center"/>
          </w:tcPr>
          <w:p>
            <w:pPr>
              <w:spacing w:before="0" w:after="0"/>
              <w:jc w:val="right"/>
            </w:pPr>
            <w:r>
              <w:rPr>
                <w:sz w:val="18"/>
                <w:szCs w:val="18"/>
              </w:rPr>
              <w:t xml:space="preserve">4,020,000</w:t>
            </w:r>
          </w:p>
        </w:tc>
        <w:tc>
          <w:tcPr>
            <w:tcW w:w="1900" w:type="dxa"/>
            <w:vAlign w:val="center"/>
          </w:tcPr>
          <w:p>
            <w:pPr>
              <w:spacing w:before="0" w:after="0"/>
              <w:jc w:val="right"/>
            </w:pPr>
            <w:r>
              <w:rPr>
                <w:sz w:val="18"/>
                <w:szCs w:val="18"/>
              </w:rPr>
              <w:t xml:space="preserve">1.75</w:t>
            </w:r>
          </w:p>
        </w:tc>
      </w:tr>
      <w:tr>
        <w:tc>
          <w:tcPr>
            <w:tcW w:w="2872" w:type="dxa"/>
            <w:vAlign w:val="center"/>
          </w:tcPr>
          <w:p>
            <w:pPr>
              <w:spacing w:before="0" w:after="0"/>
              <w:jc w:val="left"/>
            </w:pPr>
            <w:r>
              <w:rPr>
                <w:sz w:val="18"/>
                <w:szCs w:val="18"/>
              </w:rPr>
              <w:t xml:space="preserve">Juniper Crest Growth Fund LP</w:t>
            </w:r>
          </w:p>
        </w:tc>
        <w:tc>
          <w:tcPr>
            <w:tcW w:w="2400" w:type="dxa"/>
            <w:vAlign w:val="center"/>
          </w:tcPr>
          <w:p>
            <w:pPr>
              <w:spacing w:before="0" w:after="0"/>
              <w:jc w:val="left"/>
            </w:pPr>
            <w:r>
              <w:rPr>
                <w:sz w:val="18"/>
                <w:szCs w:val="18"/>
              </w:rPr>
              <w:t xml:space="preserve">177 Mill Street, Harborview</w:t>
            </w:r>
          </w:p>
        </w:tc>
        <w:tc>
          <w:tcPr>
            <w:tcW w:w="1900" w:type="dxa"/>
            <w:vAlign w:val="center"/>
          </w:tcPr>
          <w:p>
            <w:pPr>
              <w:spacing w:before="0" w:after="0"/>
              <w:jc w:val="right"/>
            </w:pPr>
            <w:r>
              <w:rPr>
                <w:sz w:val="18"/>
                <w:szCs w:val="18"/>
              </w:rPr>
              <w:t xml:space="preserve">3,313,000</w:t>
            </w:r>
          </w:p>
        </w:tc>
        <w:tc>
          <w:tcPr>
            <w:tcW w:w="1900" w:type="dxa"/>
            <w:vAlign w:val="center"/>
          </w:tcPr>
          <w:p>
            <w:pPr>
              <w:spacing w:before="0" w:after="0"/>
              <w:jc w:val="right"/>
            </w:pPr>
            <w:r>
              <w:rPr>
                <w:sz w:val="18"/>
                <w:szCs w:val="18"/>
              </w:rPr>
              <w:t xml:space="preserve">1.49</w:t>
            </w:r>
          </w:p>
        </w:tc>
      </w:tr>
      <w:tr>
        <w:tc>
          <w:tcPr>
            <w:tcW w:w="2872" w:type="dxa"/>
            <w:vAlign w:val="center"/>
          </w:tcPr>
          <w:p>
            <w:pPr>
              <w:spacing w:before="0" w:after="0"/>
              <w:jc w:val="left"/>
            </w:pPr>
            <w:r>
              <w:rPr>
                <w:sz w:val="18"/>
                <w:szCs w:val="18"/>
              </w:rPr>
              <w:t xml:space="preserve">Fenwick Hollow Capital LP</w:t>
            </w:r>
          </w:p>
        </w:tc>
        <w:tc>
          <w:tcPr>
            <w:tcW w:w="2400" w:type="dxa"/>
            <w:vAlign w:val="center"/>
          </w:tcPr>
          <w:p>
            <w:pPr>
              <w:spacing w:before="0" w:after="0"/>
              <w:jc w:val="left"/>
            </w:pPr>
            <w:r>
              <w:rPr>
                <w:sz w:val="18"/>
                <w:szCs w:val="18"/>
              </w:rPr>
              <w:t xml:space="preserve">303 Mill Street, Southport</w:t>
            </w:r>
          </w:p>
        </w:tc>
        <w:tc>
          <w:tcPr>
            <w:tcW w:w="1900" w:type="dxa"/>
            <w:vAlign w:val="center"/>
          </w:tcPr>
          <w:p>
            <w:pPr>
              <w:spacing w:before="0" w:after="0"/>
              <w:jc w:val="right"/>
            </w:pPr>
            <w:r>
              <w:rPr>
                <w:sz w:val="18"/>
                <w:szCs w:val="18"/>
              </w:rPr>
              <w:t xml:space="preserve">3,154,000</w:t>
            </w:r>
          </w:p>
        </w:tc>
        <w:tc>
          <w:tcPr>
            <w:tcW w:w="1900" w:type="dxa"/>
            <w:vAlign w:val="center"/>
          </w:tcPr>
          <w:p>
            <w:pPr>
              <w:spacing w:before="0" w:after="0"/>
              <w:jc w:val="right"/>
            </w:pPr>
            <w:r>
              <w:rPr>
                <w:sz w:val="18"/>
                <w:szCs w:val="18"/>
              </w:rPr>
              <w:t xml:space="preserve">10.18</w:t>
            </w:r>
          </w:p>
        </w:tc>
      </w:tr>
      <w:tr>
        <w:tc>
          <w:tcPr>
            <w:tcW w:w="2872" w:type="dxa"/>
            <w:vAlign w:val="center"/>
          </w:tcPr>
          <w:p>
            <w:pPr>
              <w:spacing w:before="0" w:after="0"/>
              <w:jc w:val="left"/>
            </w:pPr>
            <w:r>
              <w:rPr>
                <w:sz w:val="18"/>
                <w:szCs w:val="18"/>
              </w:rPr>
              <w:t xml:space="preserve">Fenwick Bay Holdings LLC</w:t>
            </w:r>
          </w:p>
        </w:tc>
        <w:tc>
          <w:tcPr>
            <w:tcW w:w="2400" w:type="dxa"/>
            <w:vAlign w:val="center"/>
          </w:tcPr>
          <w:p>
            <w:pPr>
              <w:spacing w:before="0" w:after="0"/>
              <w:jc w:val="left"/>
            </w:pPr>
            <w:r>
              <w:rPr>
                <w:sz w:val="18"/>
                <w:szCs w:val="18"/>
              </w:rPr>
              <w:t xml:space="preserve">235 Orchard Street, Hillcrest</w:t>
            </w:r>
          </w:p>
        </w:tc>
        <w:tc>
          <w:tcPr>
            <w:tcW w:w="1900" w:type="dxa"/>
            <w:vAlign w:val="center"/>
          </w:tcPr>
          <w:p>
            <w:pPr>
              <w:spacing w:before="0" w:after="0"/>
              <w:jc w:val="right"/>
            </w:pPr>
            <w:r>
              <w:rPr>
                <w:sz w:val="18"/>
                <w:szCs w:val="18"/>
              </w:rPr>
              <w:t xml:space="preserve">4,353,000</w:t>
            </w:r>
          </w:p>
        </w:tc>
        <w:tc>
          <w:tcPr>
            <w:tcW w:w="1900" w:type="dxa"/>
            <w:vAlign w:val="center"/>
          </w:tcPr>
          <w:p>
            <w:pPr>
              <w:spacing w:before="0" w:after="0"/>
              <w:jc w:val="right"/>
            </w:pPr>
            <w:r>
              <w:rPr>
                <w:sz w:val="18"/>
                <w:szCs w:val="18"/>
              </w:rPr>
              <w:t xml:space="preserve">1.24</w:t>
            </w:r>
          </w:p>
        </w:tc>
      </w:tr>
      <w:tr>
        <w:tc>
          <w:tcPr>
            <w:tcW w:w="2872" w:type="dxa"/>
            <w:vAlign w:val="center"/>
          </w:tcPr>
          <w:p>
            <w:pPr>
              <w:spacing w:before="0" w:after="0"/>
              <w:jc w:val="left"/>
            </w:pPr>
            <w:r>
              <w:rPr>
                <w:sz w:val="18"/>
                <w:szCs w:val="18"/>
              </w:rPr>
              <w:t xml:space="preserve">Ivorydale Bay Growth Fund LP</w:t>
            </w:r>
          </w:p>
        </w:tc>
        <w:tc>
          <w:tcPr>
            <w:tcW w:w="2400" w:type="dxa"/>
            <w:vAlign w:val="center"/>
          </w:tcPr>
          <w:p>
            <w:pPr>
              <w:spacing w:before="0" w:after="0"/>
              <w:jc w:val="left"/>
            </w:pPr>
            <w:r>
              <w:rPr>
                <w:sz w:val="18"/>
                <w:szCs w:val="18"/>
              </w:rPr>
              <w:t xml:space="preserve">542 Orchard Street, Hillcrest</w:t>
            </w:r>
          </w:p>
        </w:tc>
        <w:tc>
          <w:tcPr>
            <w:tcW w:w="1900" w:type="dxa"/>
            <w:vAlign w:val="center"/>
          </w:tcPr>
          <w:p>
            <w:pPr>
              <w:spacing w:before="0" w:after="0"/>
              <w:jc w:val="right"/>
            </w:pPr>
            <w:r>
              <w:rPr>
                <w:sz w:val="18"/>
                <w:szCs w:val="18"/>
              </w:rPr>
              <w:t xml:space="preserve">2,530,000</w:t>
            </w:r>
          </w:p>
        </w:tc>
        <w:tc>
          <w:tcPr>
            <w:tcW w:w="1900" w:type="dxa"/>
            <w:vAlign w:val="center"/>
          </w:tcPr>
          <w:p>
            <w:pPr>
              <w:spacing w:before="0" w:after="0"/>
              <w:jc w:val="right"/>
            </w:pPr>
            <w:r>
              <w:rPr>
                <w:sz w:val="18"/>
                <w:szCs w:val="18"/>
              </w:rPr>
              <w:t xml:space="preserve">8.17</w:t>
            </w:r>
          </w:p>
        </w:tc>
      </w:tr>
      <w:tr>
        <w:tc>
          <w:tcPr>
            <w:tcW w:w="2872" w:type="dxa"/>
            <w:vAlign w:val="center"/>
          </w:tcPr>
          <w:p>
            <w:pPr>
              <w:spacing w:before="0" w:after="0"/>
              <w:jc w:val="left"/>
            </w:pPr>
            <w:r>
              <w:rPr>
                <w:sz w:val="18"/>
                <w:szCs w:val="18"/>
              </w:rPr>
              <w:t xml:space="preserve">Ivorydale Bay Investments LP</w:t>
            </w:r>
          </w:p>
        </w:tc>
        <w:tc>
          <w:tcPr>
            <w:tcW w:w="2400" w:type="dxa"/>
            <w:vAlign w:val="center"/>
          </w:tcPr>
          <w:p>
            <w:pPr>
              <w:spacing w:before="0" w:after="0"/>
              <w:jc w:val="left"/>
            </w:pPr>
            <w:r>
              <w:rPr>
                <w:sz w:val="18"/>
                <w:szCs w:val="18"/>
              </w:rPr>
              <w:t xml:space="preserve">689 Orchard Street, Northfield</w:t>
            </w:r>
          </w:p>
        </w:tc>
        <w:tc>
          <w:tcPr>
            <w:tcW w:w="1900" w:type="dxa"/>
            <w:vAlign w:val="center"/>
          </w:tcPr>
          <w:p>
            <w:pPr>
              <w:spacing w:before="0" w:after="0"/>
              <w:jc w:val="right"/>
            </w:pPr>
            <w:r>
              <w:rPr>
                <w:sz w:val="18"/>
                <w:szCs w:val="18"/>
              </w:rPr>
              <w:t xml:space="preserve">1,625,000</w:t>
            </w:r>
          </w:p>
        </w:tc>
        <w:tc>
          <w:tcPr>
            <w:tcW w:w="1900" w:type="dxa"/>
            <w:vAlign w:val="center"/>
          </w:tcPr>
          <w:p>
            <w:pPr>
              <w:spacing w:before="0" w:after="0"/>
              <w:jc w:val="right"/>
            </w:pPr>
            <w:r>
              <w:rPr>
                <w:sz w:val="18"/>
                <w:szCs w:val="18"/>
              </w:rPr>
              <w:t xml:space="preserve">2.49</w:t>
            </w:r>
          </w:p>
        </w:tc>
      </w:tr>
      <w:tr>
        <w:tc>
          <w:tcPr>
            <w:tcW w:w="2872" w:type="dxa"/>
            <w:vAlign w:val="center"/>
          </w:tcPr>
          <w:p>
            <w:pPr>
              <w:spacing w:before="0" w:after="0"/>
              <w:jc w:val="left"/>
            </w:pPr>
            <w:r>
              <w:rPr>
                <w:sz w:val="18"/>
                <w:szCs w:val="18"/>
              </w:rPr>
              <w:t xml:space="preserve">Elkhorn Brook Family Trust</w:t>
            </w:r>
          </w:p>
        </w:tc>
        <w:tc>
          <w:tcPr>
            <w:tcW w:w="2400" w:type="dxa"/>
            <w:vAlign w:val="center"/>
          </w:tcPr>
          <w:p>
            <w:pPr>
              <w:spacing w:before="0" w:after="0"/>
              <w:jc w:val="left"/>
            </w:pPr>
            <w:r>
              <w:rPr>
                <w:sz w:val="18"/>
                <w:szCs w:val="18"/>
              </w:rPr>
              <w:t xml:space="preserve">812 Station Street, Hillcrest</w:t>
            </w:r>
          </w:p>
        </w:tc>
        <w:tc>
          <w:tcPr>
            <w:tcW w:w="1900" w:type="dxa"/>
            <w:vAlign w:val="center"/>
          </w:tcPr>
          <w:p>
            <w:pPr>
              <w:spacing w:before="0" w:after="0"/>
              <w:jc w:val="right"/>
            </w:pPr>
            <w:r>
              <w:rPr>
                <w:sz w:val="18"/>
                <w:szCs w:val="18"/>
              </w:rPr>
              <w:t xml:space="preserve">3,613,000</w:t>
            </w:r>
          </w:p>
        </w:tc>
        <w:tc>
          <w:tcPr>
            <w:tcW w:w="1900" w:type="dxa"/>
            <w:vAlign w:val="center"/>
          </w:tcPr>
          <w:p>
            <w:pPr>
              <w:spacing w:before="0" w:after="0"/>
              <w:jc w:val="right"/>
            </w:pPr>
            <w:r>
              <w:rPr>
                <w:sz w:val="18"/>
                <w:szCs w:val="18"/>
              </w:rPr>
              <w:t xml:space="preserve">3.75</w:t>
            </w:r>
          </w:p>
        </w:tc>
      </w:tr>
      <w:tr>
        <w:tc>
          <w:tcPr>
            <w:tcW w:w="2872" w:type="dxa"/>
            <w:vAlign w:val="center"/>
          </w:tcPr>
          <w:p>
            <w:pPr>
              <w:spacing w:before="0" w:after="0"/>
              <w:jc w:val="left"/>
            </w:pPr>
            <w:r>
              <w:rPr>
                <w:sz w:val="18"/>
                <w:szCs w:val="18"/>
              </w:rPr>
              <w:t xml:space="preserve">Ivorydale Crest Growth Fund LP</w:t>
            </w:r>
          </w:p>
        </w:tc>
        <w:tc>
          <w:tcPr>
            <w:tcW w:w="2400" w:type="dxa"/>
            <w:vAlign w:val="center"/>
          </w:tcPr>
          <w:p>
            <w:pPr>
              <w:spacing w:before="0" w:after="0"/>
              <w:jc w:val="left"/>
            </w:pPr>
            <w:r>
              <w:rPr>
                <w:sz w:val="18"/>
                <w:szCs w:val="18"/>
              </w:rPr>
              <w:t xml:space="preserve">28 Orchard Street, Hillcrest</w:t>
            </w:r>
          </w:p>
        </w:tc>
        <w:tc>
          <w:tcPr>
            <w:tcW w:w="1900" w:type="dxa"/>
            <w:vAlign w:val="center"/>
          </w:tcPr>
          <w:p>
            <w:pPr>
              <w:spacing w:before="0" w:after="0"/>
              <w:jc w:val="right"/>
            </w:pPr>
            <w:r>
              <w:rPr>
                <w:sz w:val="18"/>
                <w:szCs w:val="18"/>
              </w:rPr>
              <w:t xml:space="preserve">4,410,000</w:t>
            </w:r>
          </w:p>
        </w:tc>
        <w:tc>
          <w:tcPr>
            <w:tcW w:w="1900" w:type="dxa"/>
            <w:vAlign w:val="center"/>
          </w:tcPr>
          <w:p>
            <w:pPr>
              <w:spacing w:before="0" w:after="0"/>
              <w:jc w:val="right"/>
            </w:pPr>
            <w:r>
              <w:rPr>
                <w:sz w:val="18"/>
                <w:szCs w:val="18"/>
              </w:rPr>
              <w:t xml:space="preserve">8.25</w:t>
            </w:r>
          </w:p>
        </w:tc>
      </w:tr>
      <w:tr>
        <w:tc>
          <w:tcPr>
            <w:tcW w:w="2872" w:type="dxa"/>
            <w:vAlign w:val="center"/>
          </w:tcPr>
          <w:p>
            <w:pPr>
              <w:spacing w:before="0" w:after="0"/>
              <w:jc w:val="left"/>
            </w:pPr>
            <w:r>
              <w:rPr>
                <w:sz w:val="18"/>
                <w:szCs w:val="18"/>
              </w:rPr>
              <w:t xml:space="preserve">Kestrel Field Capital LP</w:t>
            </w:r>
          </w:p>
        </w:tc>
        <w:tc>
          <w:tcPr>
            <w:tcW w:w="2400" w:type="dxa"/>
            <w:vAlign w:val="center"/>
          </w:tcPr>
          <w:p>
            <w:pPr>
              <w:spacing w:before="0" w:after="0"/>
              <w:jc w:val="left"/>
            </w:pPr>
            <w:r>
              <w:rPr>
                <w:sz w:val="18"/>
                <w:szCs w:val="18"/>
              </w:rPr>
              <w:t xml:space="preserve">33 Mill Street, Hillcrest</w:t>
            </w:r>
          </w:p>
        </w:tc>
        <w:tc>
          <w:tcPr>
            <w:tcW w:w="1900" w:type="dxa"/>
            <w:vAlign w:val="center"/>
          </w:tcPr>
          <w:p>
            <w:pPr>
              <w:spacing w:before="0" w:after="0"/>
              <w:jc w:val="right"/>
            </w:pPr>
            <w:r>
              <w:rPr>
                <w:sz w:val="18"/>
                <w:szCs w:val="18"/>
              </w:rPr>
              <w:t xml:space="preserve">4,694,000</w:t>
            </w:r>
          </w:p>
        </w:tc>
        <w:tc>
          <w:tcPr>
            <w:tcW w:w="1900" w:type="dxa"/>
            <w:vAlign w:val="center"/>
          </w:tcPr>
          <w:p>
            <w:pPr>
              <w:spacing w:before="0" w:after="0"/>
              <w:jc w:val="right"/>
            </w:pPr>
            <w:r>
              <w:rPr>
                <w:sz w:val="18"/>
                <w:szCs w:val="18"/>
              </w:rPr>
              <w:t xml:space="preserve">3.62</w:t>
            </w:r>
          </w:p>
        </w:tc>
      </w:tr>
      <w:tr>
        <w:tc>
          <w:tcPr>
            <w:tcW w:w="2872" w:type="dxa"/>
            <w:vAlign w:val="center"/>
          </w:tcPr>
          <w:p>
            <w:pPr>
              <w:spacing w:before="0" w:after="0"/>
              <w:jc w:val="left"/>
            </w:pPr>
            <w:r>
              <w:rPr>
                <w:sz w:val="18"/>
                <w:szCs w:val="18"/>
              </w:rPr>
              <w:t xml:space="preserve">Dunmore Brook Holdings LLC</w:t>
            </w:r>
          </w:p>
        </w:tc>
        <w:tc>
          <w:tcPr>
            <w:tcW w:w="2400" w:type="dxa"/>
            <w:vAlign w:val="center"/>
          </w:tcPr>
          <w:p>
            <w:pPr>
              <w:spacing w:before="0" w:after="0"/>
              <w:jc w:val="left"/>
            </w:pPr>
            <w:r>
              <w:rPr>
                <w:sz w:val="18"/>
                <w:szCs w:val="18"/>
              </w:rPr>
              <w:t xml:space="preserve">547 Station Street, Northfield</w:t>
            </w:r>
          </w:p>
        </w:tc>
        <w:tc>
          <w:tcPr>
            <w:tcW w:w="1900" w:type="dxa"/>
            <w:vAlign w:val="center"/>
          </w:tcPr>
          <w:p>
            <w:pPr>
              <w:spacing w:before="0" w:after="0"/>
              <w:jc w:val="right"/>
            </w:pPr>
            <w:r>
              <w:rPr>
                <w:sz w:val="18"/>
                <w:szCs w:val="18"/>
              </w:rPr>
              <w:t xml:space="preserve">3,528,000</w:t>
            </w:r>
          </w:p>
        </w:tc>
        <w:tc>
          <w:tcPr>
            <w:tcW w:w="1900" w:type="dxa"/>
            <w:vAlign w:val="center"/>
          </w:tcPr>
          <w:p>
            <w:pPr>
              <w:spacing w:before="0" w:after="0"/>
              <w:jc w:val="right"/>
            </w:pPr>
            <w:r>
              <w:rPr>
                <w:sz w:val="18"/>
                <w:szCs w:val="18"/>
              </w:rPr>
              <w:t xml:space="preserve">8.31</w:t>
            </w:r>
          </w:p>
        </w:tc>
      </w:tr>
      <w:tr>
        <w:tc>
          <w:tcPr>
            <w:tcW w:w="2872" w:type="dxa"/>
            <w:vAlign w:val="center"/>
          </w:tcPr>
          <w:p>
            <w:pPr>
              <w:spacing w:before="0" w:after="0"/>
              <w:jc w:val="left"/>
            </w:pPr>
            <w:r>
              <w:rPr>
                <w:sz w:val="18"/>
                <w:szCs w:val="18"/>
              </w:rPr>
              <w:t xml:space="preserve">Larchmont Field Growth Fund LP</w:t>
            </w:r>
          </w:p>
        </w:tc>
        <w:tc>
          <w:tcPr>
            <w:tcW w:w="2400" w:type="dxa"/>
            <w:vAlign w:val="center"/>
          </w:tcPr>
          <w:p>
            <w:pPr>
              <w:spacing w:before="0" w:after="0"/>
              <w:jc w:val="left"/>
            </w:pPr>
            <w:r>
              <w:rPr>
                <w:sz w:val="18"/>
                <w:szCs w:val="18"/>
              </w:rPr>
              <w:t xml:space="preserve">441 Market Street, Eastbay</w:t>
            </w:r>
          </w:p>
        </w:tc>
        <w:tc>
          <w:tcPr>
            <w:tcW w:w="1900" w:type="dxa"/>
            <w:vAlign w:val="center"/>
          </w:tcPr>
          <w:p>
            <w:pPr>
              <w:spacing w:before="0" w:after="0"/>
              <w:jc w:val="right"/>
            </w:pPr>
            <w:r>
              <w:rPr>
                <w:sz w:val="18"/>
                <w:szCs w:val="18"/>
              </w:rPr>
              <w:t xml:space="preserve">2,673,000</w:t>
            </w:r>
          </w:p>
        </w:tc>
        <w:tc>
          <w:tcPr>
            <w:tcW w:w="1900" w:type="dxa"/>
            <w:vAlign w:val="center"/>
          </w:tcPr>
          <w:p>
            <w:pPr>
              <w:spacing w:before="0" w:after="0"/>
              <w:jc w:val="right"/>
            </w:pPr>
            <w:r>
              <w:rPr>
                <w:sz w:val="18"/>
                <w:szCs w:val="18"/>
              </w:rPr>
              <w:t xml:space="preserve">2.88</w:t>
            </w:r>
          </w:p>
        </w:tc>
      </w:tr>
      <w:tr>
        <w:tc>
          <w:tcPr>
            <w:tcW w:w="2872" w:type="dxa"/>
            <w:vAlign w:val="center"/>
          </w:tcPr>
          <w:p>
            <w:pPr>
              <w:spacing w:before="0" w:after="0"/>
              <w:jc w:val="left"/>
            </w:pPr>
            <w:r>
              <w:rPr>
                <w:sz w:val="18"/>
                <w:szCs w:val="18"/>
              </w:rPr>
              <w:t xml:space="preserve">Dunmore Bay Family Trust</w:t>
            </w:r>
          </w:p>
        </w:tc>
        <w:tc>
          <w:tcPr>
            <w:tcW w:w="2400" w:type="dxa"/>
            <w:vAlign w:val="center"/>
          </w:tcPr>
          <w:p>
            <w:pPr>
              <w:spacing w:before="0" w:after="0"/>
              <w:jc w:val="left"/>
            </w:pPr>
            <w:r>
              <w:rPr>
                <w:sz w:val="18"/>
                <w:szCs w:val="18"/>
              </w:rPr>
              <w:t xml:space="preserve">281 Chapel Street, Eastbay</w:t>
            </w:r>
          </w:p>
        </w:tc>
        <w:tc>
          <w:tcPr>
            <w:tcW w:w="1900" w:type="dxa"/>
            <w:vAlign w:val="center"/>
          </w:tcPr>
          <w:p>
            <w:pPr>
              <w:spacing w:before="0" w:after="0"/>
              <w:jc w:val="right"/>
            </w:pPr>
            <w:r>
              <w:rPr>
                <w:sz w:val="18"/>
                <w:szCs w:val="18"/>
              </w:rPr>
              <w:t xml:space="preserve">2,081,000</w:t>
            </w:r>
          </w:p>
        </w:tc>
        <w:tc>
          <w:tcPr>
            <w:tcW w:w="1900" w:type="dxa"/>
            <w:vAlign w:val="center"/>
          </w:tcPr>
          <w:p>
            <w:pPr>
              <w:spacing w:before="0" w:after="0"/>
              <w:jc w:val="right"/>
            </w:pPr>
            <w:r>
              <w:rPr>
                <w:sz w:val="18"/>
                <w:szCs w:val="18"/>
              </w:rPr>
              <w:t xml:space="preserve">8.54</w:t>
            </w:r>
          </w:p>
        </w:tc>
      </w:tr>
      <w:tr>
        <w:tc>
          <w:tcPr>
            <w:tcW w:w="2872" w:type="dxa"/>
            <w:vAlign w:val="center"/>
          </w:tcPr>
          <w:p>
            <w:pPr>
              <w:spacing w:before="0" w:after="0"/>
              <w:jc w:val="left"/>
            </w:pPr>
            <w:r>
              <w:rPr>
                <w:sz w:val="18"/>
                <w:szCs w:val="18"/>
              </w:rPr>
              <w:t xml:space="preserve">Fenwick Hollow Family Trust</w:t>
            </w:r>
          </w:p>
        </w:tc>
        <w:tc>
          <w:tcPr>
            <w:tcW w:w="2400" w:type="dxa"/>
            <w:vAlign w:val="center"/>
          </w:tcPr>
          <w:p>
            <w:pPr>
              <w:spacing w:before="0" w:after="0"/>
              <w:jc w:val="left"/>
            </w:pPr>
            <w:r>
              <w:rPr>
                <w:sz w:val="18"/>
                <w:szCs w:val="18"/>
              </w:rPr>
              <w:t xml:space="preserve">153 Harbor Street, Northfield</w:t>
            </w:r>
          </w:p>
        </w:tc>
        <w:tc>
          <w:tcPr>
            <w:tcW w:w="1900" w:type="dxa"/>
            <w:vAlign w:val="center"/>
          </w:tcPr>
          <w:p>
            <w:pPr>
              <w:spacing w:before="0" w:after="0"/>
              <w:jc w:val="right"/>
            </w:pPr>
            <w:r>
              <w:rPr>
                <w:sz w:val="18"/>
                <w:szCs w:val="18"/>
              </w:rPr>
              <w:t xml:space="preserve">4,805,000</w:t>
            </w:r>
          </w:p>
        </w:tc>
        <w:tc>
          <w:tcPr>
            <w:tcW w:w="1900" w:type="dxa"/>
            <w:vAlign w:val="center"/>
          </w:tcPr>
          <w:p>
            <w:pPr>
              <w:spacing w:before="0" w:after="0"/>
              <w:jc w:val="right"/>
            </w:pPr>
            <w:r>
              <w:rPr>
                <w:sz w:val="18"/>
                <w:szCs w:val="18"/>
              </w:rPr>
              <w:t xml:space="preserve">10.80</w:t>
            </w:r>
          </w:p>
        </w:tc>
      </w:tr>
      <w:tr>
        <w:tc>
          <w:tcPr>
            <w:tcW w:w="2872" w:type="dxa"/>
            <w:vAlign w:val="center"/>
          </w:tcPr>
          <w:p>
            <w:pPr>
              <w:spacing w:before="0" w:after="0"/>
              <w:jc w:val="left"/>
            </w:pPr>
            <w:r>
              <w:rPr>
                <w:sz w:val="18"/>
                <w:szCs w:val="18"/>
              </w:rPr>
              <w:t xml:space="preserve">Dunmore Field Growth Fund LP</w:t>
            </w:r>
          </w:p>
        </w:tc>
        <w:tc>
          <w:tcPr>
            <w:tcW w:w="2400" w:type="dxa"/>
            <w:vAlign w:val="center"/>
          </w:tcPr>
          <w:p>
            <w:pPr>
              <w:spacing w:before="0" w:after="0"/>
              <w:jc w:val="left"/>
            </w:pPr>
            <w:r>
              <w:rPr>
                <w:sz w:val="18"/>
                <w:szCs w:val="18"/>
              </w:rPr>
              <w:t xml:space="preserve">80 Market Street, Hillcrest</w:t>
            </w:r>
          </w:p>
        </w:tc>
        <w:tc>
          <w:tcPr>
            <w:tcW w:w="1900" w:type="dxa"/>
            <w:vAlign w:val="center"/>
          </w:tcPr>
          <w:p>
            <w:pPr>
              <w:spacing w:before="0" w:after="0"/>
              <w:jc w:val="right"/>
            </w:pPr>
            <w:r>
              <w:rPr>
                <w:sz w:val="18"/>
                <w:szCs w:val="18"/>
              </w:rPr>
              <w:t xml:space="preserve">2,648,000</w:t>
            </w:r>
          </w:p>
        </w:tc>
        <w:tc>
          <w:tcPr>
            <w:tcW w:w="1900" w:type="dxa"/>
            <w:vAlign w:val="center"/>
          </w:tcPr>
          <w:p>
            <w:pPr>
              <w:spacing w:before="0" w:after="0"/>
              <w:jc w:val="right"/>
            </w:pPr>
            <w:r>
              <w:rPr>
                <w:sz w:val="18"/>
                <w:szCs w:val="18"/>
              </w:rPr>
              <w:t xml:space="preserve">8.42</w:t>
            </w:r>
          </w:p>
        </w:tc>
      </w:tr>
      <w:tr>
        <w:tc>
          <w:tcPr>
            <w:tcW w:w="2872" w:type="dxa"/>
            <w:vAlign w:val="center"/>
          </w:tcPr>
          <w:p>
            <w:pPr>
              <w:spacing w:before="0" w:after="0"/>
              <w:jc w:val="left"/>
            </w:pPr>
            <w:r>
              <w:rPr>
                <w:sz w:val="18"/>
                <w:szCs w:val="18"/>
              </w:rPr>
              <w:t xml:space="preserve">Hollis Crest Capital LP</w:t>
            </w:r>
          </w:p>
        </w:tc>
        <w:tc>
          <w:tcPr>
            <w:tcW w:w="2400" w:type="dxa"/>
            <w:vAlign w:val="center"/>
          </w:tcPr>
          <w:p>
            <w:pPr>
              <w:spacing w:before="0" w:after="0"/>
              <w:jc w:val="left"/>
            </w:pPr>
            <w:r>
              <w:rPr>
                <w:sz w:val="18"/>
                <w:szCs w:val="18"/>
              </w:rPr>
              <w:t xml:space="preserve">437 Orchard Street, Hillcrest</w:t>
            </w:r>
          </w:p>
        </w:tc>
        <w:tc>
          <w:tcPr>
            <w:tcW w:w="1900" w:type="dxa"/>
            <w:vAlign w:val="center"/>
          </w:tcPr>
          <w:p>
            <w:pPr>
              <w:spacing w:before="0" w:after="0"/>
              <w:jc w:val="right"/>
            </w:pPr>
            <w:r>
              <w:rPr>
                <w:sz w:val="18"/>
                <w:szCs w:val="18"/>
              </w:rPr>
              <w:t xml:space="preserve">2,099,000</w:t>
            </w:r>
          </w:p>
        </w:tc>
        <w:tc>
          <w:tcPr>
            <w:tcW w:w="1900" w:type="dxa"/>
            <w:vAlign w:val="center"/>
          </w:tcPr>
          <w:p>
            <w:pPr>
              <w:spacing w:before="0" w:after="0"/>
              <w:jc w:val="right"/>
            </w:pPr>
            <w:r>
              <w:rPr>
                <w:sz w:val="18"/>
                <w:szCs w:val="18"/>
              </w:rPr>
              <w:t xml:space="preserve">9.02</w:t>
            </w:r>
          </w:p>
        </w:tc>
      </w:tr>
      <w:tr>
        <w:tc>
          <w:tcPr>
            <w:tcW w:w="2872" w:type="dxa"/>
            <w:vAlign w:val="center"/>
          </w:tcPr>
          <w:p>
            <w:pPr>
              <w:spacing w:before="0" w:after="0"/>
              <w:jc w:val="left"/>
            </w:pPr>
            <w:r>
              <w:rPr>
                <w:sz w:val="18"/>
                <w:szCs w:val="18"/>
              </w:rPr>
              <w:t xml:space="preserve">Kestrel Ridge Family Trust</w:t>
            </w:r>
          </w:p>
        </w:tc>
        <w:tc>
          <w:tcPr>
            <w:tcW w:w="2400" w:type="dxa"/>
            <w:vAlign w:val="center"/>
          </w:tcPr>
          <w:p>
            <w:pPr>
              <w:spacing w:before="0" w:after="0"/>
              <w:jc w:val="left"/>
            </w:pPr>
            <w:r>
              <w:rPr>
                <w:sz w:val="18"/>
                <w:szCs w:val="18"/>
              </w:rPr>
              <w:t xml:space="preserve">873 Station Street, Eastbay</w:t>
            </w:r>
          </w:p>
        </w:tc>
        <w:tc>
          <w:tcPr>
            <w:tcW w:w="1900" w:type="dxa"/>
            <w:vAlign w:val="center"/>
          </w:tcPr>
          <w:p>
            <w:pPr>
              <w:spacing w:before="0" w:after="0"/>
              <w:jc w:val="right"/>
            </w:pPr>
            <w:r>
              <w:rPr>
                <w:sz w:val="18"/>
                <w:szCs w:val="18"/>
              </w:rPr>
              <w:t xml:space="preserve">1,135,000</w:t>
            </w:r>
          </w:p>
        </w:tc>
        <w:tc>
          <w:tcPr>
            <w:tcW w:w="1900" w:type="dxa"/>
            <w:vAlign w:val="center"/>
          </w:tcPr>
          <w:p>
            <w:pPr>
              <w:spacing w:before="0" w:after="0"/>
              <w:jc w:val="right"/>
            </w:pPr>
            <w:r>
              <w:rPr>
                <w:sz w:val="18"/>
                <w:szCs w:val="18"/>
              </w:rPr>
              <w:t xml:space="preserve">7.74</w:t>
            </w:r>
          </w:p>
        </w:tc>
      </w:tr>
      <w:tr>
        <w:tc>
          <w:tcPr>
            <w:tcW w:w="2872" w:type="dxa"/>
            <w:vAlign w:val="center"/>
          </w:tcPr>
          <w:p>
            <w:pPr>
              <w:spacing w:before="0" w:after="0"/>
              <w:jc w:val="left"/>
            </w:pPr>
            <w:r>
              <w:rPr>
                <w:sz w:val="18"/>
                <w:szCs w:val="18"/>
              </w:rPr>
              <w:t xml:space="preserve">Larchmont Hollow Partners LLC</w:t>
            </w:r>
          </w:p>
        </w:tc>
        <w:tc>
          <w:tcPr>
            <w:tcW w:w="2400" w:type="dxa"/>
            <w:vAlign w:val="center"/>
          </w:tcPr>
          <w:p>
            <w:pPr>
              <w:spacing w:before="0" w:after="0"/>
              <w:jc w:val="left"/>
            </w:pPr>
            <w:r>
              <w:rPr>
                <w:sz w:val="18"/>
                <w:szCs w:val="18"/>
              </w:rPr>
              <w:t xml:space="preserve">909 Harbor Street, Westridge</w:t>
            </w:r>
          </w:p>
        </w:tc>
        <w:tc>
          <w:tcPr>
            <w:tcW w:w="1900" w:type="dxa"/>
            <w:vAlign w:val="center"/>
          </w:tcPr>
          <w:p>
            <w:pPr>
              <w:spacing w:before="0" w:after="0"/>
              <w:jc w:val="right"/>
            </w:pPr>
            <w:r>
              <w:rPr>
                <w:sz w:val="18"/>
                <w:szCs w:val="18"/>
              </w:rPr>
              <w:t xml:space="preserve">1,628,000</w:t>
            </w:r>
          </w:p>
        </w:tc>
        <w:tc>
          <w:tcPr>
            <w:tcW w:w="1900" w:type="dxa"/>
            <w:vAlign w:val="center"/>
          </w:tcPr>
          <w:p>
            <w:pPr>
              <w:spacing w:before="0" w:after="0"/>
              <w:jc w:val="right"/>
            </w:pPr>
            <w:r>
              <w:rPr>
                <w:sz w:val="18"/>
                <w:szCs w:val="18"/>
              </w:rPr>
              <w:t xml:space="preserve">0.71</w:t>
            </w:r>
          </w:p>
        </w:tc>
      </w:tr>
      <w:tr>
        <w:tc>
          <w:tcPr>
            <w:tcW w:w="2872" w:type="dxa"/>
            <w:vAlign w:val="center"/>
          </w:tcPr>
          <w:p>
            <w:pPr>
              <w:spacing w:before="0" w:after="0"/>
              <w:jc w:val="left"/>
            </w:pPr>
            <w:r>
              <w:rPr>
                <w:sz w:val="18"/>
                <w:szCs w:val="18"/>
              </w:rPr>
              <w:t xml:space="preserve">Dunmore Ridge Growth Fund LP</w:t>
            </w:r>
          </w:p>
        </w:tc>
        <w:tc>
          <w:tcPr>
            <w:tcW w:w="2400" w:type="dxa"/>
            <w:vAlign w:val="center"/>
          </w:tcPr>
          <w:p>
            <w:pPr>
              <w:spacing w:before="0" w:after="0"/>
              <w:jc w:val="left"/>
            </w:pPr>
            <w:r>
              <w:rPr>
                <w:sz w:val="18"/>
                <w:szCs w:val="18"/>
              </w:rPr>
              <w:t xml:space="preserve">618 Market Street, Eastbay</w:t>
            </w:r>
          </w:p>
        </w:tc>
        <w:tc>
          <w:tcPr>
            <w:tcW w:w="1900" w:type="dxa"/>
            <w:vAlign w:val="center"/>
          </w:tcPr>
          <w:p>
            <w:pPr>
              <w:spacing w:before="0" w:after="0"/>
              <w:jc w:val="right"/>
            </w:pPr>
            <w:r>
              <w:rPr>
                <w:sz w:val="18"/>
                <w:szCs w:val="18"/>
              </w:rPr>
              <w:t xml:space="preserve">4,561,000</w:t>
            </w:r>
          </w:p>
        </w:tc>
        <w:tc>
          <w:tcPr>
            <w:tcW w:w="1900" w:type="dxa"/>
            <w:vAlign w:val="center"/>
          </w:tcPr>
          <w:p>
            <w:pPr>
              <w:spacing w:before="0" w:after="0"/>
              <w:jc w:val="right"/>
            </w:pPr>
            <w:r>
              <w:rPr>
                <w:sz w:val="18"/>
                <w:szCs w:val="18"/>
              </w:rPr>
              <w:t xml:space="preserve">1.52</w:t>
            </w:r>
          </w:p>
        </w:tc>
      </w:tr>
      <w:tr>
        <w:tc>
          <w:tcPr>
            <w:tcW w:w="2872" w:type="dxa"/>
            <w:vAlign w:val="center"/>
          </w:tcPr>
          <w:p>
            <w:pPr>
              <w:spacing w:before="0" w:after="0"/>
              <w:jc w:val="left"/>
            </w:pPr>
            <w:r>
              <w:rPr>
                <w:sz w:val="18"/>
                <w:szCs w:val="18"/>
              </w:rPr>
              <w:t xml:space="preserve">Larchmont Crest Growth Fund LP</w:t>
            </w:r>
          </w:p>
        </w:tc>
        <w:tc>
          <w:tcPr>
            <w:tcW w:w="2400" w:type="dxa"/>
            <w:vAlign w:val="center"/>
          </w:tcPr>
          <w:p>
            <w:pPr>
              <w:spacing w:before="0" w:after="0"/>
              <w:jc w:val="left"/>
            </w:pPr>
            <w:r>
              <w:rPr>
                <w:sz w:val="18"/>
                <w:szCs w:val="18"/>
              </w:rPr>
              <w:t xml:space="preserve">731 Market Street, Southport</w:t>
            </w:r>
          </w:p>
        </w:tc>
        <w:tc>
          <w:tcPr>
            <w:tcW w:w="1900" w:type="dxa"/>
            <w:vAlign w:val="center"/>
          </w:tcPr>
          <w:p>
            <w:pPr>
              <w:spacing w:before="0" w:after="0"/>
              <w:jc w:val="right"/>
            </w:pPr>
            <w:r>
              <w:rPr>
                <w:sz w:val="18"/>
                <w:szCs w:val="18"/>
              </w:rPr>
              <w:t xml:space="preserve">195,000</w:t>
            </w:r>
          </w:p>
        </w:tc>
        <w:tc>
          <w:tcPr>
            <w:tcW w:w="1900" w:type="dxa"/>
            <w:vAlign w:val="center"/>
          </w:tcPr>
          <w:p>
            <w:pPr>
              <w:spacing w:before="0" w:after="0"/>
              <w:jc w:val="right"/>
            </w:pPr>
            <w:r>
              <w:rPr>
                <w:sz w:val="18"/>
                <w:szCs w:val="18"/>
              </w:rPr>
              <w:t xml:space="preserve">7.38</w:t>
            </w:r>
          </w:p>
        </w:tc>
      </w:tr>
      <w:tr>
        <w:tc>
          <w:tcPr>
            <w:tcW w:w="2872" w:type="dxa"/>
            <w:vAlign w:val="center"/>
          </w:tcPr>
          <w:p>
            <w:pPr>
              <w:spacing w:before="0" w:after="0"/>
              <w:jc w:val="left"/>
            </w:pPr>
            <w:r>
              <w:rPr>
                <w:sz w:val="18"/>
                <w:szCs w:val="18"/>
              </w:rPr>
              <w:t xml:space="preserve">Juniper Bay Investments LP</w:t>
            </w:r>
          </w:p>
        </w:tc>
        <w:tc>
          <w:tcPr>
            <w:tcW w:w="2400" w:type="dxa"/>
            <w:vAlign w:val="center"/>
          </w:tcPr>
          <w:p>
            <w:pPr>
              <w:spacing w:before="0" w:after="0"/>
              <w:jc w:val="left"/>
            </w:pPr>
            <w:r>
              <w:rPr>
                <w:sz w:val="18"/>
                <w:szCs w:val="18"/>
              </w:rPr>
              <w:t xml:space="preserve">485 Station Street, Riverside</w:t>
            </w:r>
          </w:p>
        </w:tc>
        <w:tc>
          <w:tcPr>
            <w:tcW w:w="1900" w:type="dxa"/>
            <w:vAlign w:val="center"/>
          </w:tcPr>
          <w:p>
            <w:pPr>
              <w:spacing w:before="0" w:after="0"/>
              <w:jc w:val="right"/>
            </w:pPr>
            <w:r>
              <w:rPr>
                <w:sz w:val="18"/>
                <w:szCs w:val="18"/>
              </w:rPr>
              <w:t xml:space="preserve">2,854,000</w:t>
            </w:r>
          </w:p>
        </w:tc>
        <w:tc>
          <w:tcPr>
            <w:tcW w:w="1900" w:type="dxa"/>
            <w:vAlign w:val="center"/>
          </w:tcPr>
          <w:p>
            <w:pPr>
              <w:spacing w:before="0" w:after="0"/>
              <w:jc w:val="right"/>
            </w:pPr>
            <w:r>
              <w:rPr>
                <w:sz w:val="18"/>
                <w:szCs w:val="18"/>
              </w:rPr>
              <w:t xml:space="preserve">1.61</w:t>
            </w:r>
          </w:p>
        </w:tc>
      </w:tr>
      <w:tr>
        <w:tc>
          <w:tcPr>
            <w:tcW w:w="2872" w:type="dxa"/>
            <w:vAlign w:val="center"/>
          </w:tcPr>
          <w:p>
            <w:pPr>
              <w:spacing w:before="0" w:after="0"/>
              <w:jc w:val="left"/>
            </w:pPr>
            <w:r>
              <w:rPr>
                <w:sz w:val="18"/>
                <w:szCs w:val="18"/>
              </w:rPr>
              <w:t xml:space="preserve">Kestrel Field Investments LP</w:t>
            </w:r>
          </w:p>
        </w:tc>
        <w:tc>
          <w:tcPr>
            <w:tcW w:w="2400" w:type="dxa"/>
            <w:vAlign w:val="center"/>
          </w:tcPr>
          <w:p>
            <w:pPr>
              <w:spacing w:before="0" w:after="0"/>
              <w:jc w:val="left"/>
            </w:pPr>
            <w:r>
              <w:rPr>
                <w:sz w:val="18"/>
                <w:szCs w:val="18"/>
              </w:rPr>
              <w:t xml:space="preserve">913 Harbor Street, Hillcrest</w:t>
            </w:r>
          </w:p>
        </w:tc>
        <w:tc>
          <w:tcPr>
            <w:tcW w:w="1900" w:type="dxa"/>
            <w:vAlign w:val="center"/>
          </w:tcPr>
          <w:p>
            <w:pPr>
              <w:spacing w:before="0" w:after="0"/>
              <w:jc w:val="right"/>
            </w:pPr>
            <w:r>
              <w:rPr>
                <w:sz w:val="18"/>
                <w:szCs w:val="18"/>
              </w:rPr>
              <w:t xml:space="preserve">4,541,000</w:t>
            </w:r>
          </w:p>
        </w:tc>
        <w:tc>
          <w:tcPr>
            <w:tcW w:w="1900" w:type="dxa"/>
            <w:vAlign w:val="center"/>
          </w:tcPr>
          <w:p>
            <w:pPr>
              <w:spacing w:before="0" w:after="0"/>
              <w:jc w:val="right"/>
            </w:pPr>
            <w:r>
              <w:rPr>
                <w:sz w:val="18"/>
                <w:szCs w:val="18"/>
              </w:rPr>
              <w:t xml:space="preserve">3.14</w:t>
            </w:r>
          </w:p>
        </w:tc>
      </w:tr>
      <w:tr>
        <w:tc>
          <w:tcPr>
            <w:tcW w:w="2872" w:type="dxa"/>
            <w:vAlign w:val="center"/>
          </w:tcPr>
          <w:p>
            <w:pPr>
              <w:spacing w:before="0" w:after="0"/>
              <w:jc w:val="left"/>
            </w:pPr>
            <w:r>
              <w:rPr>
                <w:sz w:val="18"/>
                <w:szCs w:val="18"/>
              </w:rPr>
              <w:t xml:space="preserve">Cobalt Field Capital LP</w:t>
            </w:r>
          </w:p>
        </w:tc>
        <w:tc>
          <w:tcPr>
            <w:tcW w:w="2400" w:type="dxa"/>
            <w:vAlign w:val="center"/>
          </w:tcPr>
          <w:p>
            <w:pPr>
              <w:spacing w:before="0" w:after="0"/>
              <w:jc w:val="left"/>
            </w:pPr>
            <w:r>
              <w:rPr>
                <w:sz w:val="18"/>
                <w:szCs w:val="18"/>
              </w:rPr>
              <w:t xml:space="preserve">920 Orchard Street, Riverside</w:t>
            </w:r>
          </w:p>
        </w:tc>
        <w:tc>
          <w:tcPr>
            <w:tcW w:w="1900" w:type="dxa"/>
            <w:vAlign w:val="center"/>
          </w:tcPr>
          <w:p>
            <w:pPr>
              <w:spacing w:before="0" w:after="0"/>
              <w:jc w:val="right"/>
            </w:pPr>
            <w:r>
              <w:rPr>
                <w:sz w:val="18"/>
                <w:szCs w:val="18"/>
              </w:rPr>
              <w:t xml:space="preserve">3,603,000</w:t>
            </w:r>
          </w:p>
        </w:tc>
        <w:tc>
          <w:tcPr>
            <w:tcW w:w="1900" w:type="dxa"/>
            <w:vAlign w:val="center"/>
          </w:tcPr>
          <w:p>
            <w:pPr>
              <w:spacing w:before="0" w:after="0"/>
              <w:jc w:val="right"/>
            </w:pPr>
            <w:r>
              <w:rPr>
                <w:sz w:val="18"/>
                <w:szCs w:val="18"/>
              </w:rPr>
              <w:t xml:space="preserve">2.12</w:t>
            </w:r>
          </w:p>
        </w:tc>
      </w:tr>
      <w:tr>
        <w:tc>
          <w:tcPr>
            <w:tcW w:w="2872" w:type="dxa"/>
            <w:vAlign w:val="center"/>
          </w:tcPr>
          <w:p>
            <w:pPr>
              <w:spacing w:before="0" w:after="0"/>
              <w:jc w:val="left"/>
            </w:pPr>
            <w:r>
              <w:rPr>
                <w:sz w:val="18"/>
                <w:szCs w:val="18"/>
              </w:rPr>
              <w:t xml:space="preserve">Larchmont Brook Partners LLC</w:t>
            </w:r>
          </w:p>
        </w:tc>
        <w:tc>
          <w:tcPr>
            <w:tcW w:w="2400" w:type="dxa"/>
            <w:vAlign w:val="center"/>
          </w:tcPr>
          <w:p>
            <w:pPr>
              <w:spacing w:before="0" w:after="0"/>
              <w:jc w:val="left"/>
            </w:pPr>
            <w:r>
              <w:rPr>
                <w:sz w:val="18"/>
                <w:szCs w:val="18"/>
              </w:rPr>
              <w:t xml:space="preserve">592 Market Street, Westridge</w:t>
            </w:r>
          </w:p>
        </w:tc>
        <w:tc>
          <w:tcPr>
            <w:tcW w:w="1900" w:type="dxa"/>
            <w:vAlign w:val="center"/>
          </w:tcPr>
          <w:p>
            <w:pPr>
              <w:spacing w:before="0" w:after="0"/>
              <w:jc w:val="right"/>
            </w:pPr>
            <w:r>
              <w:rPr>
                <w:sz w:val="18"/>
                <w:szCs w:val="18"/>
              </w:rPr>
              <w:t xml:space="preserve">2,166,000</w:t>
            </w:r>
          </w:p>
        </w:tc>
        <w:tc>
          <w:tcPr>
            <w:tcW w:w="1900" w:type="dxa"/>
            <w:vAlign w:val="center"/>
          </w:tcPr>
          <w:p>
            <w:pPr>
              <w:spacing w:before="0" w:after="0"/>
              <w:jc w:val="right"/>
            </w:pPr>
            <w:r>
              <w:rPr>
                <w:sz w:val="18"/>
                <w:szCs w:val="18"/>
              </w:rPr>
              <w:t xml:space="preserve">4.80</w:t>
            </w:r>
          </w:p>
        </w:tc>
      </w:tr>
      <w:tr>
        <w:tc>
          <w:tcPr>
            <w:tcW w:w="2872" w:type="dxa"/>
            <w:vAlign w:val="center"/>
          </w:tcPr>
          <w:p>
            <w:pPr>
              <w:spacing w:before="0" w:after="0"/>
              <w:jc w:val="left"/>
            </w:pPr>
            <w:r>
              <w:rPr>
                <w:sz w:val="18"/>
                <w:szCs w:val="18"/>
              </w:rPr>
              <w:t xml:space="preserve">Dunmore Hollow Partners LLC</w:t>
            </w:r>
          </w:p>
        </w:tc>
        <w:tc>
          <w:tcPr>
            <w:tcW w:w="2400" w:type="dxa"/>
            <w:vAlign w:val="center"/>
          </w:tcPr>
          <w:p>
            <w:pPr>
              <w:spacing w:before="0" w:after="0"/>
              <w:jc w:val="left"/>
            </w:pPr>
            <w:r>
              <w:rPr>
                <w:sz w:val="18"/>
                <w:szCs w:val="18"/>
              </w:rPr>
              <w:t xml:space="preserve">824 Mill Street, Lakeside</w:t>
            </w:r>
          </w:p>
        </w:tc>
        <w:tc>
          <w:tcPr>
            <w:tcW w:w="1900" w:type="dxa"/>
            <w:vAlign w:val="center"/>
          </w:tcPr>
          <w:p>
            <w:pPr>
              <w:spacing w:before="0" w:after="0"/>
              <w:jc w:val="right"/>
            </w:pPr>
            <w:r>
              <w:rPr>
                <w:sz w:val="18"/>
                <w:szCs w:val="18"/>
              </w:rPr>
              <w:t xml:space="preserve">3,024,000</w:t>
            </w:r>
          </w:p>
        </w:tc>
        <w:tc>
          <w:tcPr>
            <w:tcW w:w="1900" w:type="dxa"/>
            <w:vAlign w:val="center"/>
          </w:tcPr>
          <w:p>
            <w:pPr>
              <w:spacing w:before="0" w:after="0"/>
              <w:jc w:val="right"/>
            </w:pPr>
            <w:r>
              <w:rPr>
                <w:sz w:val="18"/>
                <w:szCs w:val="18"/>
              </w:rPr>
              <w:t xml:space="preserve">8.99</w:t>
            </w:r>
          </w:p>
        </w:tc>
      </w:tr>
      <w:tr>
        <w:tc>
          <w:tcPr>
            <w:tcW w:w="2872" w:type="dxa"/>
            <w:vAlign w:val="center"/>
          </w:tcPr>
          <w:p>
            <w:pPr>
              <w:spacing w:before="0" w:after="0"/>
              <w:jc w:val="left"/>
            </w:pPr>
            <w:r>
              <w:rPr>
                <w:sz w:val="18"/>
                <w:szCs w:val="18"/>
              </w:rPr>
              <w:t xml:space="preserve">Fenwick Crest Capital LP</w:t>
            </w:r>
          </w:p>
        </w:tc>
        <w:tc>
          <w:tcPr>
            <w:tcW w:w="2400" w:type="dxa"/>
            <w:vAlign w:val="center"/>
          </w:tcPr>
          <w:p>
            <w:pPr>
              <w:spacing w:before="0" w:after="0"/>
              <w:jc w:val="left"/>
            </w:pPr>
            <w:r>
              <w:rPr>
                <w:sz w:val="18"/>
                <w:szCs w:val="18"/>
              </w:rPr>
              <w:t xml:space="preserve">203 Market Street, Hillcrest</w:t>
            </w:r>
          </w:p>
        </w:tc>
        <w:tc>
          <w:tcPr>
            <w:tcW w:w="1900" w:type="dxa"/>
            <w:vAlign w:val="center"/>
          </w:tcPr>
          <w:p>
            <w:pPr>
              <w:spacing w:before="0" w:after="0"/>
              <w:jc w:val="right"/>
            </w:pPr>
            <w:r>
              <w:rPr>
                <w:sz w:val="18"/>
                <w:szCs w:val="18"/>
              </w:rPr>
              <w:t xml:space="preserve">1,758,000</w:t>
            </w:r>
          </w:p>
        </w:tc>
        <w:tc>
          <w:tcPr>
            <w:tcW w:w="1900" w:type="dxa"/>
            <w:vAlign w:val="center"/>
          </w:tcPr>
          <w:p>
            <w:pPr>
              <w:spacing w:before="0" w:after="0"/>
              <w:jc w:val="right"/>
            </w:pPr>
            <w:r>
              <w:rPr>
                <w:sz w:val="18"/>
                <w:szCs w:val="18"/>
              </w:rPr>
              <w:t xml:space="preserve">5.90</w:t>
            </w:r>
          </w:p>
        </w:tc>
      </w:tr>
      <w:tr>
        <w:tc>
          <w:tcPr>
            <w:tcW w:w="2872" w:type="dxa"/>
            <w:vAlign w:val="center"/>
          </w:tcPr>
          <w:p>
            <w:pPr>
              <w:spacing w:before="0" w:after="0"/>
              <w:jc w:val="left"/>
            </w:pPr>
            <w:r>
              <w:rPr>
                <w:sz w:val="18"/>
                <w:szCs w:val="18"/>
              </w:rPr>
              <w:t xml:space="preserve">Hollis Ridge Holdings LLC</w:t>
            </w:r>
          </w:p>
        </w:tc>
        <w:tc>
          <w:tcPr>
            <w:tcW w:w="2400" w:type="dxa"/>
            <w:vAlign w:val="center"/>
          </w:tcPr>
          <w:p>
            <w:pPr>
              <w:spacing w:before="0" w:after="0"/>
              <w:jc w:val="left"/>
            </w:pPr>
            <w:r>
              <w:rPr>
                <w:sz w:val="18"/>
                <w:szCs w:val="18"/>
              </w:rPr>
              <w:t xml:space="preserve">47 Orchard Street, Lakeside</w:t>
            </w:r>
          </w:p>
        </w:tc>
        <w:tc>
          <w:tcPr>
            <w:tcW w:w="1900" w:type="dxa"/>
            <w:vAlign w:val="center"/>
          </w:tcPr>
          <w:p>
            <w:pPr>
              <w:spacing w:before="0" w:after="0"/>
              <w:jc w:val="right"/>
            </w:pPr>
            <w:r>
              <w:rPr>
                <w:sz w:val="18"/>
                <w:szCs w:val="18"/>
              </w:rPr>
              <w:t xml:space="preserve">3,795,000</w:t>
            </w:r>
          </w:p>
        </w:tc>
        <w:tc>
          <w:tcPr>
            <w:tcW w:w="1900" w:type="dxa"/>
            <w:vAlign w:val="center"/>
          </w:tcPr>
          <w:p>
            <w:pPr>
              <w:spacing w:before="0" w:after="0"/>
              <w:jc w:val="right"/>
            </w:pPr>
            <w:r>
              <w:rPr>
                <w:sz w:val="18"/>
                <w:szCs w:val="18"/>
              </w:rPr>
              <w:t xml:space="preserve">5.66</w:t>
            </w:r>
          </w:p>
        </w:tc>
      </w:tr>
      <w:tr>
        <w:tc>
          <w:tcPr>
            <w:tcW w:w="2872" w:type="dxa"/>
            <w:vAlign w:val="center"/>
          </w:tcPr>
          <w:p>
            <w:pPr>
              <w:spacing w:before="0" w:after="0"/>
              <w:jc w:val="left"/>
            </w:pPr>
            <w:r>
              <w:rPr>
                <w:sz w:val="18"/>
                <w:szCs w:val="18"/>
              </w:rPr>
              <w:t xml:space="preserve">Elkhorn Bay Investments LP</w:t>
            </w:r>
          </w:p>
        </w:tc>
        <w:tc>
          <w:tcPr>
            <w:tcW w:w="2400" w:type="dxa"/>
            <w:vAlign w:val="center"/>
          </w:tcPr>
          <w:p>
            <w:pPr>
              <w:spacing w:before="0" w:after="0"/>
              <w:jc w:val="left"/>
            </w:pPr>
            <w:r>
              <w:rPr>
                <w:sz w:val="18"/>
                <w:szCs w:val="18"/>
              </w:rPr>
              <w:t xml:space="preserve">366 Harbor Street, Northfield</w:t>
            </w:r>
          </w:p>
        </w:tc>
        <w:tc>
          <w:tcPr>
            <w:tcW w:w="1900" w:type="dxa"/>
            <w:vAlign w:val="center"/>
          </w:tcPr>
          <w:p>
            <w:pPr>
              <w:spacing w:before="0" w:after="0"/>
              <w:jc w:val="right"/>
            </w:pPr>
            <w:r>
              <w:rPr>
                <w:sz w:val="18"/>
                <w:szCs w:val="18"/>
              </w:rPr>
              <w:t xml:space="preserve">1,197,000</w:t>
            </w:r>
          </w:p>
        </w:tc>
        <w:tc>
          <w:tcPr>
            <w:tcW w:w="1900" w:type="dxa"/>
            <w:vAlign w:val="center"/>
          </w:tcPr>
          <w:p>
            <w:pPr>
              <w:spacing w:before="0" w:after="0"/>
              <w:jc w:val="right"/>
            </w:pPr>
            <w:r>
              <w:rPr>
                <w:sz w:val="18"/>
                <w:szCs w:val="18"/>
              </w:rPr>
              <w:t xml:space="preserve">4.82</w:t>
            </w:r>
          </w:p>
        </w:tc>
      </w:tr>
      <w:tr>
        <w:tc>
          <w:tcPr>
            <w:tcW w:w="2872" w:type="dxa"/>
            <w:vAlign w:val="center"/>
          </w:tcPr>
          <w:p>
            <w:pPr>
              <w:spacing w:before="0" w:after="0"/>
              <w:jc w:val="left"/>
            </w:pPr>
            <w:r>
              <w:rPr>
                <w:sz w:val="18"/>
                <w:szCs w:val="18"/>
              </w:rPr>
              <w:t xml:space="preserve">Elkhorn Field Investments LP</w:t>
            </w:r>
          </w:p>
        </w:tc>
        <w:tc>
          <w:tcPr>
            <w:tcW w:w="2400" w:type="dxa"/>
            <w:vAlign w:val="center"/>
          </w:tcPr>
          <w:p>
            <w:pPr>
              <w:spacing w:before="0" w:after="0"/>
              <w:jc w:val="left"/>
            </w:pPr>
            <w:r>
              <w:rPr>
                <w:sz w:val="18"/>
                <w:szCs w:val="18"/>
              </w:rPr>
              <w:t xml:space="preserve">728 Station Street, Westridge</w:t>
            </w:r>
          </w:p>
        </w:tc>
        <w:tc>
          <w:tcPr>
            <w:tcW w:w="1900" w:type="dxa"/>
            <w:vAlign w:val="center"/>
          </w:tcPr>
          <w:p>
            <w:pPr>
              <w:spacing w:before="0" w:after="0"/>
              <w:jc w:val="right"/>
            </w:pPr>
            <w:r>
              <w:rPr>
                <w:sz w:val="18"/>
                <w:szCs w:val="18"/>
              </w:rPr>
              <w:t xml:space="preserve">2,553,000</w:t>
            </w:r>
          </w:p>
        </w:tc>
        <w:tc>
          <w:tcPr>
            <w:tcW w:w="1900" w:type="dxa"/>
            <w:vAlign w:val="center"/>
          </w:tcPr>
          <w:p>
            <w:pPr>
              <w:spacing w:before="0" w:after="0"/>
              <w:jc w:val="right"/>
            </w:pPr>
            <w:r>
              <w:rPr>
                <w:sz w:val="18"/>
                <w:szCs w:val="18"/>
              </w:rPr>
              <w:t xml:space="preserve">2.81</w:t>
            </w:r>
          </w:p>
        </w:tc>
      </w:tr>
      <w:tr>
        <w:tc>
          <w:tcPr>
            <w:tcW w:w="2872" w:type="dxa"/>
            <w:vAlign w:val="center"/>
          </w:tcPr>
          <w:p>
            <w:pPr>
              <w:spacing w:before="0" w:after="0"/>
              <w:jc w:val="left"/>
            </w:pPr>
            <w:r>
              <w:rPr>
                <w:sz w:val="18"/>
                <w:szCs w:val="18"/>
              </w:rPr>
              <w:t xml:space="preserve">Larchmont Field Growth Fund LP</w:t>
            </w:r>
          </w:p>
        </w:tc>
        <w:tc>
          <w:tcPr>
            <w:tcW w:w="2400" w:type="dxa"/>
            <w:vAlign w:val="center"/>
          </w:tcPr>
          <w:p>
            <w:pPr>
              <w:spacing w:before="0" w:after="0"/>
              <w:jc w:val="left"/>
            </w:pPr>
            <w:r>
              <w:rPr>
                <w:sz w:val="18"/>
                <w:szCs w:val="18"/>
              </w:rPr>
              <w:t xml:space="preserve">722 Harbor Street, Eastbay</w:t>
            </w:r>
          </w:p>
        </w:tc>
        <w:tc>
          <w:tcPr>
            <w:tcW w:w="1900" w:type="dxa"/>
            <w:vAlign w:val="center"/>
          </w:tcPr>
          <w:p>
            <w:pPr>
              <w:spacing w:before="0" w:after="0"/>
              <w:jc w:val="right"/>
            </w:pPr>
            <w:r>
              <w:rPr>
                <w:sz w:val="18"/>
                <w:szCs w:val="18"/>
              </w:rPr>
              <w:t xml:space="preserve">1,341,000</w:t>
            </w:r>
          </w:p>
        </w:tc>
        <w:tc>
          <w:tcPr>
            <w:tcW w:w="1900" w:type="dxa"/>
            <w:vAlign w:val="center"/>
          </w:tcPr>
          <w:p>
            <w:pPr>
              <w:spacing w:before="0" w:after="0"/>
              <w:jc w:val="right"/>
            </w:pPr>
            <w:r>
              <w:rPr>
                <w:sz w:val="18"/>
                <w:szCs w:val="18"/>
              </w:rPr>
              <w:t xml:space="preserve">6.45</w:t>
            </w:r>
          </w:p>
        </w:tc>
      </w:tr>
      <w:tr>
        <w:tc>
          <w:tcPr>
            <w:tcW w:w="2872" w:type="dxa"/>
            <w:vAlign w:val="center"/>
          </w:tcPr>
          <w:p>
            <w:pPr>
              <w:spacing w:before="0" w:after="0"/>
              <w:jc w:val="left"/>
            </w:pPr>
            <w:r>
              <w:rPr>
                <w:sz w:val="18"/>
                <w:szCs w:val="18"/>
              </w:rPr>
              <w:t xml:space="preserve">Bramble Crest Partners LLC</w:t>
            </w:r>
          </w:p>
        </w:tc>
        <w:tc>
          <w:tcPr>
            <w:tcW w:w="2400" w:type="dxa"/>
            <w:vAlign w:val="center"/>
          </w:tcPr>
          <w:p>
            <w:pPr>
              <w:spacing w:before="0" w:after="0"/>
              <w:jc w:val="left"/>
            </w:pPr>
            <w:r>
              <w:rPr>
                <w:sz w:val="18"/>
                <w:szCs w:val="18"/>
              </w:rPr>
              <w:t xml:space="preserve">625 Mill Street, Southport</w:t>
            </w:r>
          </w:p>
        </w:tc>
        <w:tc>
          <w:tcPr>
            <w:tcW w:w="1900" w:type="dxa"/>
            <w:vAlign w:val="center"/>
          </w:tcPr>
          <w:p>
            <w:pPr>
              <w:spacing w:before="0" w:after="0"/>
              <w:jc w:val="right"/>
            </w:pPr>
            <w:r>
              <w:rPr>
                <w:sz w:val="18"/>
                <w:szCs w:val="18"/>
              </w:rPr>
              <w:t xml:space="preserve">4,818,000</w:t>
            </w:r>
          </w:p>
        </w:tc>
        <w:tc>
          <w:tcPr>
            <w:tcW w:w="1900" w:type="dxa"/>
            <w:vAlign w:val="center"/>
          </w:tcPr>
          <w:p>
            <w:pPr>
              <w:spacing w:before="0" w:after="0"/>
              <w:jc w:val="right"/>
            </w:pPr>
            <w:r>
              <w:rPr>
                <w:sz w:val="18"/>
                <w:szCs w:val="18"/>
              </w:rPr>
              <w:t xml:space="preserve">10.88</w:t>
            </w:r>
          </w:p>
        </w:tc>
      </w:tr>
      <w:tr>
        <w:tc>
          <w:tcPr>
            <w:tcW w:w="2872" w:type="dxa"/>
            <w:vAlign w:val="center"/>
          </w:tcPr>
          <w:p>
            <w:pPr>
              <w:spacing w:before="0" w:after="0"/>
              <w:jc w:val="left"/>
            </w:pPr>
            <w:r>
              <w:rPr>
                <w:sz w:val="18"/>
                <w:szCs w:val="18"/>
              </w:rPr>
              <w:t xml:space="preserve">Juniper Stone Partners LLC</w:t>
            </w:r>
          </w:p>
        </w:tc>
        <w:tc>
          <w:tcPr>
            <w:tcW w:w="2400" w:type="dxa"/>
            <w:vAlign w:val="center"/>
          </w:tcPr>
          <w:p>
            <w:pPr>
              <w:spacing w:before="0" w:after="0"/>
              <w:jc w:val="left"/>
            </w:pPr>
            <w:r>
              <w:rPr>
                <w:sz w:val="18"/>
                <w:szCs w:val="18"/>
              </w:rPr>
              <w:t xml:space="preserve">928 Harbor Street, Eastbay</w:t>
            </w:r>
          </w:p>
        </w:tc>
        <w:tc>
          <w:tcPr>
            <w:tcW w:w="1900" w:type="dxa"/>
            <w:vAlign w:val="center"/>
          </w:tcPr>
          <w:p>
            <w:pPr>
              <w:spacing w:before="0" w:after="0"/>
              <w:jc w:val="right"/>
            </w:pPr>
            <w:r>
              <w:rPr>
                <w:sz w:val="18"/>
                <w:szCs w:val="18"/>
              </w:rPr>
              <w:t xml:space="preserve">3,992,000</w:t>
            </w:r>
          </w:p>
        </w:tc>
        <w:tc>
          <w:tcPr>
            <w:tcW w:w="1900" w:type="dxa"/>
            <w:vAlign w:val="center"/>
          </w:tcPr>
          <w:p>
            <w:pPr>
              <w:spacing w:before="0" w:after="0"/>
              <w:jc w:val="right"/>
            </w:pPr>
            <w:r>
              <w:rPr>
                <w:sz w:val="18"/>
                <w:szCs w:val="18"/>
              </w:rPr>
              <w:t xml:space="preserve">2.52</w:t>
            </w:r>
          </w:p>
        </w:tc>
      </w:tr>
      <w:tr>
        <w:tc>
          <w:tcPr>
            <w:tcW w:w="2872" w:type="dxa"/>
            <w:vAlign w:val="center"/>
          </w:tcPr>
          <w:p>
            <w:pPr>
              <w:spacing w:before="0" w:after="0"/>
              <w:jc w:val="left"/>
            </w:pPr>
            <w:r>
              <w:rPr>
                <w:sz w:val="18"/>
                <w:szCs w:val="18"/>
              </w:rPr>
              <w:t xml:space="preserve">Hollis Bay Growth Fund LP</w:t>
            </w:r>
          </w:p>
        </w:tc>
        <w:tc>
          <w:tcPr>
            <w:tcW w:w="2400" w:type="dxa"/>
            <w:vAlign w:val="center"/>
          </w:tcPr>
          <w:p>
            <w:pPr>
              <w:spacing w:before="0" w:after="0"/>
              <w:jc w:val="left"/>
            </w:pPr>
            <w:r>
              <w:rPr>
                <w:sz w:val="18"/>
                <w:szCs w:val="18"/>
              </w:rPr>
              <w:t xml:space="preserve">150 Mill Street, Westridge</w:t>
            </w:r>
          </w:p>
        </w:tc>
        <w:tc>
          <w:tcPr>
            <w:tcW w:w="1900" w:type="dxa"/>
            <w:vAlign w:val="center"/>
          </w:tcPr>
          <w:p>
            <w:pPr>
              <w:spacing w:before="0" w:after="0"/>
              <w:jc w:val="right"/>
            </w:pPr>
            <w:r>
              <w:rPr>
                <w:sz w:val="18"/>
                <w:szCs w:val="18"/>
              </w:rPr>
              <w:t xml:space="preserve">3,670,000</w:t>
            </w:r>
          </w:p>
        </w:tc>
        <w:tc>
          <w:tcPr>
            <w:tcW w:w="1900" w:type="dxa"/>
            <w:vAlign w:val="center"/>
          </w:tcPr>
          <w:p>
            <w:pPr>
              <w:spacing w:before="0" w:after="0"/>
              <w:jc w:val="right"/>
            </w:pPr>
            <w:r>
              <w:rPr>
                <w:sz w:val="18"/>
                <w:szCs w:val="18"/>
              </w:rPr>
              <w:t xml:space="preserve">10.66</w:t>
            </w:r>
          </w:p>
        </w:tc>
      </w:tr>
      <w:tr>
        <w:tc>
          <w:tcPr>
            <w:tcW w:w="2872" w:type="dxa"/>
            <w:vAlign w:val="center"/>
          </w:tcPr>
          <w:p>
            <w:pPr>
              <w:spacing w:before="0" w:after="0"/>
              <w:jc w:val="left"/>
            </w:pPr>
            <w:r>
              <w:rPr>
                <w:sz w:val="18"/>
                <w:szCs w:val="18"/>
              </w:rPr>
              <w:t xml:space="preserve">Alder Field Partners LLC</w:t>
            </w:r>
          </w:p>
        </w:tc>
        <w:tc>
          <w:tcPr>
            <w:tcW w:w="2400" w:type="dxa"/>
            <w:vAlign w:val="center"/>
          </w:tcPr>
          <w:p>
            <w:pPr>
              <w:spacing w:before="0" w:after="0"/>
              <w:jc w:val="left"/>
            </w:pPr>
            <w:r>
              <w:rPr>
                <w:sz w:val="18"/>
                <w:szCs w:val="18"/>
              </w:rPr>
              <w:t xml:space="preserve">804 Harbor Street, Hillcrest</w:t>
            </w:r>
          </w:p>
        </w:tc>
        <w:tc>
          <w:tcPr>
            <w:tcW w:w="1900" w:type="dxa"/>
            <w:vAlign w:val="center"/>
          </w:tcPr>
          <w:p>
            <w:pPr>
              <w:spacing w:before="0" w:after="0"/>
              <w:jc w:val="right"/>
            </w:pPr>
            <w:r>
              <w:rPr>
                <w:sz w:val="18"/>
                <w:szCs w:val="18"/>
              </w:rPr>
              <w:t xml:space="preserve">3,881,000</w:t>
            </w:r>
          </w:p>
        </w:tc>
        <w:tc>
          <w:tcPr>
            <w:tcW w:w="1900" w:type="dxa"/>
            <w:vAlign w:val="center"/>
          </w:tcPr>
          <w:p>
            <w:pPr>
              <w:spacing w:before="0" w:after="0"/>
              <w:jc w:val="right"/>
            </w:pPr>
            <w:r>
              <w:rPr>
                <w:sz w:val="18"/>
                <w:szCs w:val="18"/>
              </w:rPr>
              <w:t xml:space="preserve">11.41</w:t>
            </w:r>
          </w:p>
        </w:tc>
      </w:tr>
      <w:tr>
        <w:tc>
          <w:tcPr>
            <w:tcW w:w="2872" w:type="dxa"/>
            <w:vAlign w:val="center"/>
          </w:tcPr>
          <w:p>
            <w:pPr>
              <w:spacing w:before="0" w:after="0"/>
              <w:jc w:val="left"/>
            </w:pPr>
            <w:r>
              <w:rPr>
                <w:sz w:val="18"/>
                <w:szCs w:val="18"/>
              </w:rPr>
              <w:t xml:space="preserve">Juniper Crest Family Trust</w:t>
            </w:r>
          </w:p>
        </w:tc>
        <w:tc>
          <w:tcPr>
            <w:tcW w:w="2400" w:type="dxa"/>
            <w:vAlign w:val="center"/>
          </w:tcPr>
          <w:p>
            <w:pPr>
              <w:spacing w:before="0" w:after="0"/>
              <w:jc w:val="left"/>
            </w:pPr>
            <w:r>
              <w:rPr>
                <w:sz w:val="18"/>
                <w:szCs w:val="18"/>
              </w:rPr>
              <w:t xml:space="preserve">39 Station Street, Harborview</w:t>
            </w:r>
          </w:p>
        </w:tc>
        <w:tc>
          <w:tcPr>
            <w:tcW w:w="1900" w:type="dxa"/>
            <w:vAlign w:val="center"/>
          </w:tcPr>
          <w:p>
            <w:pPr>
              <w:spacing w:before="0" w:after="0"/>
              <w:jc w:val="right"/>
            </w:pPr>
            <w:r>
              <w:rPr>
                <w:sz w:val="18"/>
                <w:szCs w:val="18"/>
              </w:rPr>
              <w:t xml:space="preserve">2,432,000</w:t>
            </w:r>
          </w:p>
        </w:tc>
        <w:tc>
          <w:tcPr>
            <w:tcW w:w="1900" w:type="dxa"/>
            <w:vAlign w:val="center"/>
          </w:tcPr>
          <w:p>
            <w:pPr>
              <w:spacing w:before="0" w:after="0"/>
              <w:jc w:val="right"/>
            </w:pPr>
            <w:r>
              <w:rPr>
                <w:sz w:val="18"/>
                <w:szCs w:val="18"/>
              </w:rPr>
              <w:t xml:space="preserve">10.41</w:t>
            </w:r>
          </w:p>
        </w:tc>
      </w:tr>
      <w:tr>
        <w:tc>
          <w:tcPr>
            <w:tcW w:w="2872" w:type="dxa"/>
            <w:vAlign w:val="center"/>
          </w:tcPr>
          <w:p>
            <w:pPr>
              <w:spacing w:before="0" w:after="0"/>
              <w:jc w:val="left"/>
            </w:pPr>
            <w:r>
              <w:rPr>
                <w:sz w:val="18"/>
                <w:szCs w:val="18"/>
              </w:rPr>
              <w:t xml:space="preserve">Fenwick Brook Investments LP</w:t>
            </w:r>
          </w:p>
        </w:tc>
        <w:tc>
          <w:tcPr>
            <w:tcW w:w="2400" w:type="dxa"/>
            <w:vAlign w:val="center"/>
          </w:tcPr>
          <w:p>
            <w:pPr>
              <w:spacing w:before="0" w:after="0"/>
              <w:jc w:val="left"/>
            </w:pPr>
            <w:r>
              <w:rPr>
                <w:sz w:val="18"/>
                <w:szCs w:val="18"/>
              </w:rPr>
              <w:t xml:space="preserve">370 Market Street, Hillcrest</w:t>
            </w:r>
          </w:p>
        </w:tc>
        <w:tc>
          <w:tcPr>
            <w:tcW w:w="1900" w:type="dxa"/>
            <w:vAlign w:val="center"/>
          </w:tcPr>
          <w:p>
            <w:pPr>
              <w:spacing w:before="0" w:after="0"/>
              <w:jc w:val="right"/>
            </w:pPr>
            <w:r>
              <w:rPr>
                <w:sz w:val="18"/>
                <w:szCs w:val="18"/>
              </w:rPr>
              <w:t xml:space="preserve">3,205,000</w:t>
            </w:r>
          </w:p>
        </w:tc>
        <w:tc>
          <w:tcPr>
            <w:tcW w:w="1900" w:type="dxa"/>
            <w:vAlign w:val="center"/>
          </w:tcPr>
          <w:p>
            <w:pPr>
              <w:spacing w:before="0" w:after="0"/>
              <w:jc w:val="right"/>
            </w:pPr>
            <w:r>
              <w:rPr>
                <w:sz w:val="18"/>
                <w:szCs w:val="18"/>
              </w:rPr>
              <w:t xml:space="preserve">5.57</w:t>
            </w:r>
          </w:p>
        </w:tc>
      </w:tr>
      <w:tr>
        <w:tc>
          <w:tcPr>
            <w:tcW w:w="2872" w:type="dxa"/>
            <w:vAlign w:val="center"/>
          </w:tcPr>
          <w:p>
            <w:pPr>
              <w:spacing w:before="0" w:after="0"/>
              <w:jc w:val="left"/>
            </w:pPr>
            <w:r>
              <w:rPr>
                <w:sz w:val="18"/>
                <w:szCs w:val="18"/>
              </w:rPr>
              <w:t xml:space="preserve">Bramble Crest Family Trust</w:t>
            </w:r>
          </w:p>
        </w:tc>
        <w:tc>
          <w:tcPr>
            <w:tcW w:w="2400" w:type="dxa"/>
            <w:vAlign w:val="center"/>
          </w:tcPr>
          <w:p>
            <w:pPr>
              <w:spacing w:before="0" w:after="0"/>
              <w:jc w:val="left"/>
            </w:pPr>
            <w:r>
              <w:rPr>
                <w:sz w:val="18"/>
                <w:szCs w:val="18"/>
              </w:rPr>
              <w:t xml:space="preserve">330 Chapel Street, Lakeside</w:t>
            </w:r>
          </w:p>
        </w:tc>
        <w:tc>
          <w:tcPr>
            <w:tcW w:w="1900" w:type="dxa"/>
            <w:vAlign w:val="center"/>
          </w:tcPr>
          <w:p>
            <w:pPr>
              <w:spacing w:before="0" w:after="0"/>
              <w:jc w:val="right"/>
            </w:pPr>
            <w:r>
              <w:rPr>
                <w:sz w:val="18"/>
                <w:szCs w:val="18"/>
              </w:rPr>
              <w:t xml:space="preserve">4,196,000</w:t>
            </w:r>
          </w:p>
        </w:tc>
        <w:tc>
          <w:tcPr>
            <w:tcW w:w="1900" w:type="dxa"/>
            <w:vAlign w:val="center"/>
          </w:tcPr>
          <w:p>
            <w:pPr>
              <w:spacing w:before="0" w:after="0"/>
              <w:jc w:val="right"/>
            </w:pPr>
            <w:r>
              <w:rPr>
                <w:sz w:val="18"/>
                <w:szCs w:val="18"/>
              </w:rPr>
              <w:t xml:space="preserve">4.08</w:t>
            </w:r>
          </w:p>
        </w:tc>
      </w:tr>
      <w:tr>
        <w:tc>
          <w:tcPr>
            <w:tcW w:w="2872" w:type="dxa"/>
            <w:vAlign w:val="center"/>
          </w:tcPr>
          <w:p>
            <w:pPr>
              <w:spacing w:before="0" w:after="0"/>
              <w:jc w:val="left"/>
            </w:pPr>
            <w:r>
              <w:rPr>
                <w:sz w:val="18"/>
                <w:szCs w:val="18"/>
              </w:rPr>
              <w:t xml:space="preserve">Kestrel Brook Capital LP</w:t>
            </w:r>
          </w:p>
        </w:tc>
        <w:tc>
          <w:tcPr>
            <w:tcW w:w="2400" w:type="dxa"/>
            <w:vAlign w:val="center"/>
          </w:tcPr>
          <w:p>
            <w:pPr>
              <w:spacing w:before="0" w:after="0"/>
              <w:jc w:val="left"/>
            </w:pPr>
            <w:r>
              <w:rPr>
                <w:sz w:val="18"/>
                <w:szCs w:val="18"/>
              </w:rPr>
              <w:t xml:space="preserve">430 Mill Street, Eastbay</w:t>
            </w:r>
          </w:p>
        </w:tc>
        <w:tc>
          <w:tcPr>
            <w:tcW w:w="1900" w:type="dxa"/>
            <w:vAlign w:val="center"/>
          </w:tcPr>
          <w:p>
            <w:pPr>
              <w:spacing w:before="0" w:after="0"/>
              <w:jc w:val="right"/>
            </w:pPr>
            <w:r>
              <w:rPr>
                <w:sz w:val="18"/>
                <w:szCs w:val="18"/>
              </w:rPr>
              <w:t xml:space="preserve">1,078,000</w:t>
            </w:r>
          </w:p>
        </w:tc>
        <w:tc>
          <w:tcPr>
            <w:tcW w:w="1900" w:type="dxa"/>
            <w:vAlign w:val="center"/>
          </w:tcPr>
          <w:p>
            <w:pPr>
              <w:spacing w:before="0" w:after="0"/>
              <w:jc w:val="right"/>
            </w:pPr>
            <w:r>
              <w:rPr>
                <w:sz w:val="18"/>
                <w:szCs w:val="18"/>
              </w:rPr>
              <w:t xml:space="preserve">9.75</w:t>
            </w:r>
          </w:p>
        </w:tc>
      </w:tr>
      <w:tr>
        <w:tc>
          <w:tcPr>
            <w:tcW w:w="2872" w:type="dxa"/>
            <w:vAlign w:val="center"/>
          </w:tcPr>
          <w:p>
            <w:pPr>
              <w:spacing w:before="0" w:after="0"/>
              <w:jc w:val="left"/>
            </w:pPr>
            <w:r>
              <w:rPr>
                <w:sz w:val="18"/>
                <w:szCs w:val="18"/>
              </w:rPr>
              <w:t xml:space="preserve">Dunmore Field Family Trust</w:t>
            </w:r>
          </w:p>
        </w:tc>
        <w:tc>
          <w:tcPr>
            <w:tcW w:w="2400" w:type="dxa"/>
            <w:vAlign w:val="center"/>
          </w:tcPr>
          <w:p>
            <w:pPr>
              <w:spacing w:before="0" w:after="0"/>
              <w:jc w:val="left"/>
            </w:pPr>
            <w:r>
              <w:rPr>
                <w:sz w:val="18"/>
                <w:szCs w:val="18"/>
              </w:rPr>
              <w:t xml:space="preserve">549 Station Street, Eastbay</w:t>
            </w:r>
          </w:p>
        </w:tc>
        <w:tc>
          <w:tcPr>
            <w:tcW w:w="1900" w:type="dxa"/>
            <w:vAlign w:val="center"/>
          </w:tcPr>
          <w:p>
            <w:pPr>
              <w:spacing w:before="0" w:after="0"/>
              <w:jc w:val="right"/>
            </w:pPr>
            <w:r>
              <w:rPr>
                <w:sz w:val="18"/>
                <w:szCs w:val="18"/>
              </w:rPr>
              <w:t xml:space="preserve">4,706,000</w:t>
            </w:r>
          </w:p>
        </w:tc>
        <w:tc>
          <w:tcPr>
            <w:tcW w:w="1900" w:type="dxa"/>
            <w:vAlign w:val="center"/>
          </w:tcPr>
          <w:p>
            <w:pPr>
              <w:spacing w:before="0" w:after="0"/>
              <w:jc w:val="right"/>
            </w:pPr>
            <w:r>
              <w:rPr>
                <w:sz w:val="18"/>
                <w:szCs w:val="18"/>
              </w:rPr>
              <w:t xml:space="preserve">4.75</w:t>
            </w:r>
          </w:p>
        </w:tc>
      </w:tr>
      <w:tr>
        <w:tc>
          <w:tcPr>
            <w:tcW w:w="2872" w:type="dxa"/>
            <w:vAlign w:val="center"/>
          </w:tcPr>
          <w:p>
            <w:pPr>
              <w:spacing w:before="0" w:after="0"/>
              <w:jc w:val="left"/>
            </w:pPr>
            <w:r>
              <w:rPr>
                <w:sz w:val="18"/>
                <w:szCs w:val="18"/>
              </w:rPr>
              <w:t xml:space="preserve">Bramble Ridge Growth Fund LP</w:t>
            </w:r>
          </w:p>
        </w:tc>
        <w:tc>
          <w:tcPr>
            <w:tcW w:w="2400" w:type="dxa"/>
            <w:vAlign w:val="center"/>
          </w:tcPr>
          <w:p>
            <w:pPr>
              <w:spacing w:before="0" w:after="0"/>
              <w:jc w:val="left"/>
            </w:pPr>
            <w:r>
              <w:rPr>
                <w:sz w:val="18"/>
                <w:szCs w:val="18"/>
              </w:rPr>
              <w:t xml:space="preserve">368 Chapel Street, Northfield</w:t>
            </w:r>
          </w:p>
        </w:tc>
        <w:tc>
          <w:tcPr>
            <w:tcW w:w="1900" w:type="dxa"/>
            <w:vAlign w:val="center"/>
          </w:tcPr>
          <w:p>
            <w:pPr>
              <w:spacing w:before="0" w:after="0"/>
              <w:jc w:val="right"/>
            </w:pPr>
            <w:r>
              <w:rPr>
                <w:sz w:val="18"/>
                <w:szCs w:val="18"/>
              </w:rPr>
              <w:t xml:space="preserve">2,727,000</w:t>
            </w:r>
          </w:p>
        </w:tc>
        <w:tc>
          <w:tcPr>
            <w:tcW w:w="1900" w:type="dxa"/>
            <w:vAlign w:val="center"/>
          </w:tcPr>
          <w:p>
            <w:pPr>
              <w:spacing w:before="0" w:after="0"/>
              <w:jc w:val="right"/>
            </w:pPr>
            <w:r>
              <w:rPr>
                <w:sz w:val="18"/>
                <w:szCs w:val="18"/>
              </w:rPr>
              <w:t xml:space="preserve">5.02</w:t>
            </w:r>
          </w:p>
        </w:tc>
      </w:tr>
    </w:tbl>
    <w:p>
      <w:pPr/>
    </w:p>
    <w:p>
      <w:r>
        <w:br w:type="page"/>
      </w:r>
    </w:p>
    <w:p>
      <w:pPr>
        <w:pStyle w:val="Heading2"/>
        <w:keepNext/>
      </w:pPr>
      <w:r>
        <w:t xml:space="preserve">Item 3. Principal Stockholders</w:t>
      </w:r>
    </w:p>
    <w:p>
      <w:pPr>
        <w:ind w:left="0" w:firstLine="360"/>
      </w:pPr>
      <w:r>
        <w:t xml:space="preserve">Net cash used in financing activities was $11,662 thousand, reflecting repayments of the term loan and dividends paid. Comparable store sales increased 1.8%, driven by a 1.2% increase in average ticket and a 2.5% increase in transactions. The Group holds no derivatives other than coffee futures contracts used to fix the price of part of its future green coffee purchases. Store operating expenses, which consist mainly of wages, benefits and supplies, were 35.5% of revenue, compared with 28.4% in the prior year.</w:t>
      </w:r>
    </w:p>
    <w:p>
      <w:pPr>
        <w:ind w:left="0" w:firstLine="360"/>
      </w:pPr>
      <w:r>
        <w:t xml:space="preserve">The price of green coffee is volatile, and a sustained increase could reduce gross margin if the Group is unable to pass the cost on to customers through menu prices. The price of green coffee is volatile, and a sustained increase could reduce gross margin if the Group is unable to pass the cost on to customers through menu prices. Net cash provided by operating activities was $45,707 thousand, mainly reflecting net income and depreciation and amortization. The Company buys 59.4% of its green coffee by volume from farms certified under recognized sustainability standards. Comparable store sales increased 4.1%, driven by a 4.0% increase in average ticket and a 2.8% increase in transactions.</w:t>
      </w:r>
    </w:p>
    <w:p>
      <w:pPr>
        <w:ind w:left="0" w:firstLine="360"/>
      </w:pPr>
      <w:r>
        <w:t xml:space="preserve">Revenue from stores in the Harborview region was $41,878 thousand, or 39.7% of total revenue. The loyalty program had 1,421 thousand active members at the end of the fiscal year, and purchases by members accounted for 20.0% of store revenue. Revenue from stores in the Lakeside region increased 9.5% compared with the prior year, while its share of total revenue was little changed. New stores generally reach the sales level of a mature store within eighteen to twenty-four months of opening. Total assets at the end of the fiscal year were $184,625 thousand, an increase of $10,333 thousand from the end of the prior fiscal year. Labor costs are affected by minimum wage laws in the regions where the stores are located, and further increases could reduce store margins.</w:t>
      </w:r>
    </w:p>
    <w:tbl>
      <w:tblPr>
        <w:tblW w:w="907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72" w:type="dxa"/>
          <w:right w:w="72" w:type="dxa"/>
        </w:tblCellMar>
      </w:tblPr>
      <w:tblGrid>
        <w:gridCol w:w="2872"/>
        <w:gridCol w:w="2400"/>
        <w:gridCol w:w="1900"/>
        <w:gridCol w:w="1900"/>
      </w:tblGrid>
      <w:tr>
        <w:trPr>
          <w:tblHeader/>
        </w:trPr>
        <w:tc>
          <w:tcPr>
            <w:tcW w:w="2872" w:type="dxa"/>
            <w:shd w:val="clear" w:color="auto" w:fill="DDEBF7"/>
            <w:vAlign w:val="center"/>
          </w:tcPr>
          <w:p>
            <w:pPr>
              <w:spacing w:before="0" w:after="0"/>
              <w:jc w:val="center"/>
            </w:pPr>
            <w:r>
              <w:rPr>
                <w:b/>
                <w:sz w:val="18"/>
                <w:szCs w:val="18"/>
              </w:rPr>
              <w:t xml:space="preserve">Name</w:t>
            </w:r>
          </w:p>
        </w:tc>
        <w:tc>
          <w:tcPr>
            <w:tcW w:w="2400" w:type="dxa"/>
            <w:shd w:val="clear" w:color="auto" w:fill="DDEBF7"/>
            <w:vAlign w:val="center"/>
          </w:tcPr>
          <w:p>
            <w:pPr>
              <w:spacing w:before="0" w:after="0"/>
              <w:jc w:val="center"/>
            </w:pPr>
            <w:r>
              <w:rPr>
                <w:b/>
                <w:sz w:val="18"/>
                <w:szCs w:val="18"/>
              </w:rPr>
              <w:t xml:space="preserve">Address</w:t>
            </w:r>
          </w:p>
        </w:tc>
        <w:tc>
          <w:tcPr>
            <w:tcW w:w="1900" w:type="dxa"/>
            <w:shd w:val="clear" w:color="auto" w:fill="DDEBF7"/>
            <w:vAlign w:val="center"/>
          </w:tcPr>
          <w:p>
            <w:pPr>
              <w:spacing w:before="0" w:after="0"/>
              <w:jc w:val="center"/>
            </w:pPr>
            <w:r>
              <w:rPr>
                <w:b/>
                <w:sz w:val="18"/>
                <w:szCs w:val="18"/>
              </w:rPr>
              <w:t xml:space="preserve">Shares held</w:t>
            </w:r>
          </w:p>
        </w:tc>
        <w:tc>
          <w:tcPr>
            <w:tcW w:w="1900" w:type="dxa"/>
            <w:shd w:val="clear" w:color="auto" w:fill="DDEBF7"/>
            <w:vAlign w:val="center"/>
          </w:tcPr>
          <w:p>
            <w:pPr>
              <w:spacing w:before="0" w:after="0"/>
              <w:jc w:val="center"/>
            </w:pPr>
            <w:r>
              <w:rPr>
                <w:b/>
                <w:sz w:val="18"/>
                <w:szCs w:val="18"/>
              </w:rPr>
              <w:t xml:space="preserve">Ownership of total shares outstanding (%)</w:t>
            </w:r>
          </w:p>
        </w:tc>
      </w:tr>
      <w:tr>
        <w:tc>
          <w:tcPr>
            <w:tcW w:w="2872" w:type="dxa"/>
            <w:vAlign w:val="center"/>
          </w:tcPr>
          <w:p>
            <w:pPr>
              <w:spacing w:before="0" w:after="0"/>
              <w:jc w:val="left"/>
            </w:pPr>
            <w:r>
              <w:rPr>
                <w:sz w:val="18"/>
                <w:szCs w:val="18"/>
              </w:rPr>
              <w:t xml:space="preserve">Alder Crest Holdings LLC</w:t>
            </w:r>
          </w:p>
        </w:tc>
        <w:tc>
          <w:tcPr>
            <w:tcW w:w="2400" w:type="dxa"/>
            <w:vAlign w:val="center"/>
          </w:tcPr>
          <w:p>
            <w:pPr>
              <w:spacing w:before="0" w:after="0"/>
              <w:jc w:val="left"/>
            </w:pPr>
            <w:r>
              <w:rPr>
                <w:sz w:val="18"/>
                <w:szCs w:val="18"/>
              </w:rPr>
              <w:t xml:space="preserve">142 Mill Street, Westridge</w:t>
            </w:r>
          </w:p>
        </w:tc>
        <w:tc>
          <w:tcPr>
            <w:tcW w:w="1900" w:type="dxa"/>
            <w:vAlign w:val="center"/>
          </w:tcPr>
          <w:p>
            <w:pPr>
              <w:spacing w:before="0" w:after="0"/>
              <w:jc w:val="right"/>
            </w:pPr>
            <w:r>
              <w:rPr>
                <w:sz w:val="18"/>
                <w:szCs w:val="18"/>
              </w:rPr>
              <w:t xml:space="preserve">1,841,000</w:t>
            </w:r>
          </w:p>
        </w:tc>
        <w:tc>
          <w:tcPr>
            <w:tcW w:w="1900" w:type="dxa"/>
            <w:vAlign w:val="center"/>
          </w:tcPr>
          <w:p>
            <w:pPr>
              <w:spacing w:before="0" w:after="0"/>
              <w:jc w:val="right"/>
            </w:pPr>
            <w:r>
              <w:rPr>
                <w:sz w:val="18"/>
                <w:szCs w:val="18"/>
              </w:rPr>
              <w:t xml:space="preserve">5.40</w:t>
            </w:r>
          </w:p>
        </w:tc>
      </w:tr>
      <w:tr>
        <w:tc>
          <w:tcPr>
            <w:tcW w:w="2872" w:type="dxa"/>
            <w:vAlign w:val="center"/>
          </w:tcPr>
          <w:p>
            <w:pPr>
              <w:spacing w:before="0" w:after="0"/>
              <w:jc w:val="left"/>
            </w:pPr>
            <w:r>
              <w:rPr>
                <w:sz w:val="18"/>
                <w:szCs w:val="18"/>
              </w:rPr>
              <w:t xml:space="preserve">Alder Field Capital LP</w:t>
            </w:r>
          </w:p>
        </w:tc>
        <w:tc>
          <w:tcPr>
            <w:tcW w:w="2400" w:type="dxa"/>
            <w:vAlign w:val="center"/>
          </w:tcPr>
          <w:p>
            <w:pPr>
              <w:spacing w:before="0" w:after="0"/>
              <w:jc w:val="left"/>
            </w:pPr>
            <w:r>
              <w:rPr>
                <w:sz w:val="18"/>
                <w:szCs w:val="18"/>
              </w:rPr>
              <w:t xml:space="preserve">885 Station Street, Riverside</w:t>
            </w:r>
          </w:p>
        </w:tc>
        <w:tc>
          <w:tcPr>
            <w:tcW w:w="1900" w:type="dxa"/>
            <w:vAlign w:val="center"/>
          </w:tcPr>
          <w:p>
            <w:pPr>
              <w:spacing w:before="0" w:after="0"/>
              <w:jc w:val="right"/>
            </w:pPr>
            <w:r>
              <w:rPr>
                <w:sz w:val="18"/>
                <w:szCs w:val="18"/>
              </w:rPr>
              <w:t xml:space="preserve">762,000</w:t>
            </w:r>
          </w:p>
        </w:tc>
        <w:tc>
          <w:tcPr>
            <w:tcW w:w="1900" w:type="dxa"/>
            <w:vAlign w:val="center"/>
          </w:tcPr>
          <w:p>
            <w:pPr>
              <w:spacing w:before="0" w:after="0"/>
              <w:jc w:val="right"/>
            </w:pPr>
            <w:r>
              <w:rPr>
                <w:sz w:val="18"/>
                <w:szCs w:val="18"/>
              </w:rPr>
              <w:t xml:space="preserve">11.05</w:t>
            </w:r>
          </w:p>
        </w:tc>
      </w:tr>
      <w:tr>
        <w:tc>
          <w:tcPr>
            <w:tcW w:w="2872" w:type="dxa"/>
            <w:vAlign w:val="center"/>
          </w:tcPr>
          <w:p>
            <w:pPr>
              <w:spacing w:before="0" w:after="0"/>
              <w:jc w:val="left"/>
            </w:pPr>
            <w:r>
              <w:rPr>
                <w:sz w:val="18"/>
                <w:szCs w:val="18"/>
              </w:rPr>
              <w:t xml:space="preserve">Alder Brook Capital LP</w:t>
            </w:r>
          </w:p>
        </w:tc>
        <w:tc>
          <w:tcPr>
            <w:tcW w:w="2400" w:type="dxa"/>
            <w:vAlign w:val="center"/>
          </w:tcPr>
          <w:p>
            <w:pPr>
              <w:spacing w:before="0" w:after="0"/>
              <w:jc w:val="left"/>
            </w:pPr>
            <w:r>
              <w:rPr>
                <w:sz w:val="18"/>
                <w:szCs w:val="18"/>
              </w:rPr>
              <w:t xml:space="preserve">932 Chapel Street, Eastbay</w:t>
            </w:r>
          </w:p>
        </w:tc>
        <w:tc>
          <w:tcPr>
            <w:tcW w:w="1900" w:type="dxa"/>
            <w:vAlign w:val="center"/>
          </w:tcPr>
          <w:p>
            <w:pPr>
              <w:spacing w:before="0" w:after="0"/>
              <w:jc w:val="right"/>
            </w:pPr>
            <w:r>
              <w:rPr>
                <w:sz w:val="18"/>
                <w:szCs w:val="18"/>
              </w:rPr>
              <w:t xml:space="preserve">2,846,000</w:t>
            </w:r>
          </w:p>
        </w:tc>
        <w:tc>
          <w:tcPr>
            <w:tcW w:w="1900" w:type="dxa"/>
            <w:vAlign w:val="center"/>
          </w:tcPr>
          <w:p>
            <w:pPr>
              <w:spacing w:before="0" w:after="0"/>
              <w:jc w:val="right"/>
            </w:pPr>
            <w:r>
              <w:rPr>
                <w:sz w:val="18"/>
                <w:szCs w:val="18"/>
              </w:rPr>
              <w:t xml:space="preserve">1.08</w:t>
            </w:r>
          </w:p>
        </w:tc>
      </w:tr>
      <w:tr>
        <w:tc>
          <w:tcPr>
            <w:tcW w:w="2872" w:type="dxa"/>
            <w:vAlign w:val="center"/>
          </w:tcPr>
          <w:p>
            <w:pPr>
              <w:spacing w:before="0" w:after="0"/>
              <w:jc w:val="left"/>
            </w:pPr>
            <w:r>
              <w:rPr>
                <w:sz w:val="18"/>
                <w:szCs w:val="18"/>
              </w:rPr>
              <w:t xml:space="preserve">Kestrel Ridge Family Trust</w:t>
            </w:r>
          </w:p>
        </w:tc>
        <w:tc>
          <w:tcPr>
            <w:tcW w:w="2400" w:type="dxa"/>
            <w:vAlign w:val="center"/>
          </w:tcPr>
          <w:p>
            <w:pPr>
              <w:spacing w:before="0" w:after="0"/>
              <w:jc w:val="left"/>
            </w:pPr>
            <w:r>
              <w:rPr>
                <w:sz w:val="18"/>
                <w:szCs w:val="18"/>
              </w:rPr>
              <w:t xml:space="preserve">114 Market Street, Southport</w:t>
            </w:r>
          </w:p>
        </w:tc>
        <w:tc>
          <w:tcPr>
            <w:tcW w:w="1900" w:type="dxa"/>
            <w:vAlign w:val="center"/>
          </w:tcPr>
          <w:p>
            <w:pPr>
              <w:spacing w:before="0" w:after="0"/>
              <w:jc w:val="right"/>
            </w:pPr>
            <w:r>
              <w:rPr>
                <w:sz w:val="18"/>
                <w:szCs w:val="18"/>
              </w:rPr>
              <w:t xml:space="preserve">1,979,000</w:t>
            </w:r>
          </w:p>
        </w:tc>
        <w:tc>
          <w:tcPr>
            <w:tcW w:w="1900" w:type="dxa"/>
            <w:vAlign w:val="center"/>
          </w:tcPr>
          <w:p>
            <w:pPr>
              <w:spacing w:before="0" w:after="0"/>
              <w:jc w:val="right"/>
            </w:pPr>
            <w:r>
              <w:rPr>
                <w:sz w:val="18"/>
                <w:szCs w:val="18"/>
              </w:rPr>
              <w:t xml:space="preserve">9.55</w:t>
            </w:r>
          </w:p>
        </w:tc>
      </w:tr>
      <w:tr>
        <w:tc>
          <w:tcPr>
            <w:tcW w:w="2872" w:type="dxa"/>
            <w:vAlign w:val="center"/>
          </w:tcPr>
          <w:p>
            <w:pPr>
              <w:spacing w:before="0" w:after="0"/>
              <w:jc w:val="left"/>
            </w:pPr>
            <w:r>
              <w:rPr>
                <w:sz w:val="18"/>
                <w:szCs w:val="18"/>
              </w:rPr>
              <w:t xml:space="preserve">Alder Crest Capital LP</w:t>
            </w:r>
          </w:p>
        </w:tc>
        <w:tc>
          <w:tcPr>
            <w:tcW w:w="2400" w:type="dxa"/>
            <w:vAlign w:val="center"/>
          </w:tcPr>
          <w:p>
            <w:pPr>
              <w:spacing w:before="0" w:after="0"/>
              <w:jc w:val="left"/>
            </w:pPr>
            <w:r>
              <w:rPr>
                <w:sz w:val="18"/>
                <w:szCs w:val="18"/>
              </w:rPr>
              <w:t xml:space="preserve">330 Market Street, Northfield</w:t>
            </w:r>
          </w:p>
        </w:tc>
        <w:tc>
          <w:tcPr>
            <w:tcW w:w="1900" w:type="dxa"/>
            <w:vAlign w:val="center"/>
          </w:tcPr>
          <w:p>
            <w:pPr>
              <w:spacing w:before="0" w:after="0"/>
              <w:jc w:val="right"/>
            </w:pPr>
            <w:r>
              <w:rPr>
                <w:sz w:val="18"/>
                <w:szCs w:val="18"/>
              </w:rPr>
              <w:t xml:space="preserve">826,000</w:t>
            </w:r>
          </w:p>
        </w:tc>
        <w:tc>
          <w:tcPr>
            <w:tcW w:w="1900" w:type="dxa"/>
            <w:vAlign w:val="center"/>
          </w:tcPr>
          <w:p>
            <w:pPr>
              <w:spacing w:before="0" w:after="0"/>
              <w:jc w:val="right"/>
            </w:pPr>
            <w:r>
              <w:rPr>
                <w:sz w:val="18"/>
                <w:szCs w:val="18"/>
              </w:rPr>
              <w:t xml:space="preserve">8.59</w:t>
            </w:r>
          </w:p>
        </w:tc>
      </w:tr>
      <w:tr>
        <w:tc>
          <w:tcPr>
            <w:tcW w:w="2872" w:type="dxa"/>
            <w:vAlign w:val="center"/>
          </w:tcPr>
          <w:p>
            <w:pPr>
              <w:spacing w:before="0" w:after="0"/>
              <w:jc w:val="left"/>
            </w:pPr>
            <w:r>
              <w:rPr>
                <w:sz w:val="18"/>
                <w:szCs w:val="18"/>
              </w:rPr>
              <w:t xml:space="preserve">Bramble Brook Investments LP</w:t>
            </w:r>
          </w:p>
        </w:tc>
        <w:tc>
          <w:tcPr>
            <w:tcW w:w="2400" w:type="dxa"/>
            <w:vAlign w:val="center"/>
          </w:tcPr>
          <w:p>
            <w:pPr>
              <w:spacing w:before="0" w:after="0"/>
              <w:jc w:val="left"/>
            </w:pPr>
            <w:r>
              <w:rPr>
                <w:sz w:val="18"/>
                <w:szCs w:val="18"/>
              </w:rPr>
              <w:t xml:space="preserve">834 Chapel Street, Riverside</w:t>
            </w:r>
          </w:p>
        </w:tc>
        <w:tc>
          <w:tcPr>
            <w:tcW w:w="1900" w:type="dxa"/>
            <w:vAlign w:val="center"/>
          </w:tcPr>
          <w:p>
            <w:pPr>
              <w:spacing w:before="0" w:after="0"/>
              <w:jc w:val="right"/>
            </w:pPr>
            <w:r>
              <w:rPr>
                <w:sz w:val="18"/>
                <w:szCs w:val="18"/>
              </w:rPr>
              <w:t xml:space="preserve">1,181,000</w:t>
            </w:r>
          </w:p>
        </w:tc>
        <w:tc>
          <w:tcPr>
            <w:tcW w:w="1900" w:type="dxa"/>
            <w:vAlign w:val="center"/>
          </w:tcPr>
          <w:p>
            <w:pPr>
              <w:spacing w:before="0" w:after="0"/>
              <w:jc w:val="right"/>
            </w:pPr>
            <w:r>
              <w:rPr>
                <w:sz w:val="18"/>
                <w:szCs w:val="18"/>
              </w:rPr>
              <w:t xml:space="preserve">8.08</w:t>
            </w:r>
          </w:p>
        </w:tc>
      </w:tr>
      <w:tr>
        <w:tc>
          <w:tcPr>
            <w:tcW w:w="2872" w:type="dxa"/>
            <w:vAlign w:val="center"/>
          </w:tcPr>
          <w:p>
            <w:pPr>
              <w:spacing w:before="0" w:after="0"/>
              <w:jc w:val="left"/>
            </w:pPr>
            <w:r>
              <w:rPr>
                <w:sz w:val="18"/>
                <w:szCs w:val="18"/>
              </w:rPr>
              <w:t xml:space="preserve">Dunmore Field Capital LP</w:t>
            </w:r>
          </w:p>
        </w:tc>
        <w:tc>
          <w:tcPr>
            <w:tcW w:w="2400" w:type="dxa"/>
            <w:vAlign w:val="center"/>
          </w:tcPr>
          <w:p>
            <w:pPr>
              <w:spacing w:before="0" w:after="0"/>
              <w:jc w:val="left"/>
            </w:pPr>
            <w:r>
              <w:rPr>
                <w:sz w:val="18"/>
                <w:szCs w:val="18"/>
              </w:rPr>
              <w:t xml:space="preserve">888 Chapel Street, Riverside</w:t>
            </w:r>
          </w:p>
        </w:tc>
        <w:tc>
          <w:tcPr>
            <w:tcW w:w="1900" w:type="dxa"/>
            <w:vAlign w:val="center"/>
          </w:tcPr>
          <w:p>
            <w:pPr>
              <w:spacing w:before="0" w:after="0"/>
              <w:jc w:val="right"/>
            </w:pPr>
            <w:r>
              <w:rPr>
                <w:sz w:val="18"/>
                <w:szCs w:val="18"/>
              </w:rPr>
              <w:t xml:space="preserve">4,510,000</w:t>
            </w:r>
          </w:p>
        </w:tc>
        <w:tc>
          <w:tcPr>
            <w:tcW w:w="1900" w:type="dxa"/>
            <w:vAlign w:val="center"/>
          </w:tcPr>
          <w:p>
            <w:pPr>
              <w:spacing w:before="0" w:after="0"/>
              <w:jc w:val="right"/>
            </w:pPr>
            <w:r>
              <w:rPr>
                <w:sz w:val="18"/>
                <w:szCs w:val="18"/>
              </w:rPr>
              <w:t xml:space="preserve">6.93</w:t>
            </w:r>
          </w:p>
        </w:tc>
      </w:tr>
      <w:tr>
        <w:tc>
          <w:tcPr>
            <w:tcW w:w="2872" w:type="dxa"/>
            <w:vAlign w:val="center"/>
          </w:tcPr>
          <w:p>
            <w:pPr>
              <w:spacing w:before="0" w:after="0"/>
              <w:jc w:val="left"/>
            </w:pPr>
            <w:r>
              <w:rPr>
                <w:sz w:val="18"/>
                <w:szCs w:val="18"/>
              </w:rPr>
              <w:t xml:space="preserve">Dunmore Hollow Holdings LLC</w:t>
            </w:r>
          </w:p>
        </w:tc>
        <w:tc>
          <w:tcPr>
            <w:tcW w:w="2400" w:type="dxa"/>
            <w:vAlign w:val="center"/>
          </w:tcPr>
          <w:p>
            <w:pPr>
              <w:spacing w:before="0" w:after="0"/>
              <w:jc w:val="left"/>
            </w:pPr>
            <w:r>
              <w:rPr>
                <w:sz w:val="18"/>
                <w:szCs w:val="18"/>
              </w:rPr>
              <w:t xml:space="preserve">184 Chapel Street, Lakeside</w:t>
            </w:r>
          </w:p>
        </w:tc>
        <w:tc>
          <w:tcPr>
            <w:tcW w:w="1900" w:type="dxa"/>
            <w:vAlign w:val="center"/>
          </w:tcPr>
          <w:p>
            <w:pPr>
              <w:spacing w:before="0" w:after="0"/>
              <w:jc w:val="right"/>
            </w:pPr>
            <w:r>
              <w:rPr>
                <w:sz w:val="18"/>
                <w:szCs w:val="18"/>
              </w:rPr>
              <w:t xml:space="preserve">1,068,000</w:t>
            </w:r>
          </w:p>
        </w:tc>
        <w:tc>
          <w:tcPr>
            <w:tcW w:w="1900" w:type="dxa"/>
            <w:vAlign w:val="center"/>
          </w:tcPr>
          <w:p>
            <w:pPr>
              <w:spacing w:before="0" w:after="0"/>
              <w:jc w:val="right"/>
            </w:pPr>
            <w:r>
              <w:rPr>
                <w:sz w:val="18"/>
                <w:szCs w:val="18"/>
              </w:rPr>
              <w:t xml:space="preserve">2.54</w:t>
            </w:r>
          </w:p>
        </w:tc>
      </w:tr>
      <w:tr>
        <w:tc>
          <w:tcPr>
            <w:tcW w:w="2872" w:type="dxa"/>
            <w:vAlign w:val="center"/>
          </w:tcPr>
          <w:p>
            <w:pPr>
              <w:spacing w:before="0" w:after="0"/>
              <w:jc w:val="left"/>
            </w:pPr>
            <w:r>
              <w:rPr>
                <w:sz w:val="18"/>
                <w:szCs w:val="18"/>
              </w:rPr>
              <w:t xml:space="preserve">Dunmore Hollow Holdings LLC</w:t>
            </w:r>
          </w:p>
        </w:tc>
        <w:tc>
          <w:tcPr>
            <w:tcW w:w="2400" w:type="dxa"/>
            <w:vAlign w:val="center"/>
          </w:tcPr>
          <w:p>
            <w:pPr>
              <w:spacing w:before="0" w:after="0"/>
              <w:jc w:val="left"/>
            </w:pPr>
            <w:r>
              <w:rPr>
                <w:sz w:val="18"/>
                <w:szCs w:val="18"/>
              </w:rPr>
              <w:t xml:space="preserve">559 Orchard Street, Harborview</w:t>
            </w:r>
          </w:p>
        </w:tc>
        <w:tc>
          <w:tcPr>
            <w:tcW w:w="1900" w:type="dxa"/>
            <w:vAlign w:val="center"/>
          </w:tcPr>
          <w:p>
            <w:pPr>
              <w:spacing w:before="0" w:after="0"/>
              <w:jc w:val="right"/>
            </w:pPr>
            <w:r>
              <w:rPr>
                <w:sz w:val="18"/>
                <w:szCs w:val="18"/>
              </w:rPr>
              <w:t xml:space="preserve">1,947,000</w:t>
            </w:r>
          </w:p>
        </w:tc>
        <w:tc>
          <w:tcPr>
            <w:tcW w:w="1900" w:type="dxa"/>
            <w:vAlign w:val="center"/>
          </w:tcPr>
          <w:p>
            <w:pPr>
              <w:spacing w:before="0" w:after="0"/>
              <w:jc w:val="right"/>
            </w:pPr>
            <w:r>
              <w:rPr>
                <w:sz w:val="18"/>
                <w:szCs w:val="18"/>
              </w:rPr>
              <w:t xml:space="preserve">5.60</w:t>
            </w:r>
          </w:p>
        </w:tc>
      </w:tr>
      <w:tr>
        <w:tc>
          <w:tcPr>
            <w:tcW w:w="2872" w:type="dxa"/>
            <w:vAlign w:val="center"/>
          </w:tcPr>
          <w:p>
            <w:pPr>
              <w:spacing w:before="0" w:after="0"/>
              <w:jc w:val="left"/>
            </w:pPr>
            <w:r>
              <w:rPr>
                <w:sz w:val="18"/>
                <w:szCs w:val="18"/>
              </w:rPr>
              <w:t xml:space="preserve">Cobalt Hollow Holdings LLC</w:t>
            </w:r>
          </w:p>
        </w:tc>
        <w:tc>
          <w:tcPr>
            <w:tcW w:w="2400" w:type="dxa"/>
            <w:vAlign w:val="center"/>
          </w:tcPr>
          <w:p>
            <w:pPr>
              <w:spacing w:before="0" w:after="0"/>
              <w:jc w:val="left"/>
            </w:pPr>
            <w:r>
              <w:rPr>
                <w:sz w:val="18"/>
                <w:szCs w:val="18"/>
              </w:rPr>
              <w:t xml:space="preserve">938 Market Street, Eastbay</w:t>
            </w:r>
          </w:p>
        </w:tc>
        <w:tc>
          <w:tcPr>
            <w:tcW w:w="1900" w:type="dxa"/>
            <w:vAlign w:val="center"/>
          </w:tcPr>
          <w:p>
            <w:pPr>
              <w:spacing w:before="0" w:after="0"/>
              <w:jc w:val="right"/>
            </w:pPr>
            <w:r>
              <w:rPr>
                <w:sz w:val="18"/>
                <w:szCs w:val="18"/>
              </w:rPr>
              <w:t xml:space="preserve">2,854,000</w:t>
            </w:r>
          </w:p>
        </w:tc>
        <w:tc>
          <w:tcPr>
            <w:tcW w:w="1900" w:type="dxa"/>
            <w:vAlign w:val="center"/>
          </w:tcPr>
          <w:p>
            <w:pPr>
              <w:spacing w:before="0" w:after="0"/>
              <w:jc w:val="right"/>
            </w:pPr>
            <w:r>
              <w:rPr>
                <w:sz w:val="18"/>
                <w:szCs w:val="18"/>
              </w:rPr>
              <w:t xml:space="preserve">2.03</w:t>
            </w:r>
          </w:p>
        </w:tc>
      </w:tr>
      <w:tr>
        <w:tc>
          <w:tcPr>
            <w:tcW w:w="2872" w:type="dxa"/>
            <w:vAlign w:val="center"/>
          </w:tcPr>
          <w:p>
            <w:pPr>
              <w:spacing w:before="0" w:after="0"/>
              <w:jc w:val="left"/>
            </w:pPr>
            <w:r>
              <w:rPr>
                <w:sz w:val="18"/>
                <w:szCs w:val="18"/>
              </w:rPr>
              <w:t xml:space="preserve">Juniper Hollow Holdings LLC</w:t>
            </w:r>
          </w:p>
        </w:tc>
        <w:tc>
          <w:tcPr>
            <w:tcW w:w="2400" w:type="dxa"/>
            <w:vAlign w:val="center"/>
          </w:tcPr>
          <w:p>
            <w:pPr>
              <w:spacing w:before="0" w:after="0"/>
              <w:jc w:val="left"/>
            </w:pPr>
            <w:r>
              <w:rPr>
                <w:sz w:val="18"/>
                <w:szCs w:val="18"/>
              </w:rPr>
              <w:t xml:space="preserve">149 Orchard Street, Southport</w:t>
            </w:r>
          </w:p>
        </w:tc>
        <w:tc>
          <w:tcPr>
            <w:tcW w:w="1900" w:type="dxa"/>
            <w:vAlign w:val="center"/>
          </w:tcPr>
          <w:p>
            <w:pPr>
              <w:spacing w:before="0" w:after="0"/>
              <w:jc w:val="right"/>
            </w:pPr>
            <w:r>
              <w:rPr>
                <w:sz w:val="18"/>
                <w:szCs w:val="18"/>
              </w:rPr>
              <w:t xml:space="preserve">4,492,000</w:t>
            </w:r>
          </w:p>
        </w:tc>
        <w:tc>
          <w:tcPr>
            <w:tcW w:w="1900" w:type="dxa"/>
            <w:vAlign w:val="center"/>
          </w:tcPr>
          <w:p>
            <w:pPr>
              <w:spacing w:before="0" w:after="0"/>
              <w:jc w:val="right"/>
            </w:pPr>
            <w:r>
              <w:rPr>
                <w:sz w:val="18"/>
                <w:szCs w:val="18"/>
              </w:rPr>
              <w:t xml:space="preserve">9.39</w:t>
            </w:r>
          </w:p>
        </w:tc>
      </w:tr>
      <w:tr>
        <w:tc>
          <w:tcPr>
            <w:tcW w:w="2872" w:type="dxa"/>
            <w:vAlign w:val="center"/>
          </w:tcPr>
          <w:p>
            <w:pPr>
              <w:spacing w:before="0" w:after="0"/>
              <w:jc w:val="left"/>
            </w:pPr>
            <w:r>
              <w:rPr>
                <w:sz w:val="18"/>
                <w:szCs w:val="18"/>
              </w:rPr>
              <w:t xml:space="preserve">Bramble Field Growth Fund LP</w:t>
            </w:r>
          </w:p>
        </w:tc>
        <w:tc>
          <w:tcPr>
            <w:tcW w:w="2400" w:type="dxa"/>
            <w:vAlign w:val="center"/>
          </w:tcPr>
          <w:p>
            <w:pPr>
              <w:spacing w:before="0" w:after="0"/>
              <w:jc w:val="left"/>
            </w:pPr>
            <w:r>
              <w:rPr>
                <w:sz w:val="18"/>
                <w:szCs w:val="18"/>
              </w:rPr>
              <w:t xml:space="preserve">142 Station Street, Eastbay</w:t>
            </w:r>
          </w:p>
        </w:tc>
        <w:tc>
          <w:tcPr>
            <w:tcW w:w="1900" w:type="dxa"/>
            <w:vAlign w:val="center"/>
          </w:tcPr>
          <w:p>
            <w:pPr>
              <w:spacing w:before="0" w:after="0"/>
              <w:jc w:val="right"/>
            </w:pPr>
            <w:r>
              <w:rPr>
                <w:sz w:val="18"/>
                <w:szCs w:val="18"/>
              </w:rPr>
              <w:t xml:space="preserve">847,000</w:t>
            </w:r>
          </w:p>
        </w:tc>
        <w:tc>
          <w:tcPr>
            <w:tcW w:w="1900" w:type="dxa"/>
            <w:vAlign w:val="center"/>
          </w:tcPr>
          <w:p>
            <w:pPr>
              <w:spacing w:before="0" w:after="0"/>
              <w:jc w:val="right"/>
            </w:pPr>
            <w:r>
              <w:rPr>
                <w:sz w:val="18"/>
                <w:szCs w:val="18"/>
              </w:rPr>
              <w:t xml:space="preserve">7.32</w:t>
            </w:r>
          </w:p>
        </w:tc>
      </w:tr>
      <w:tr>
        <w:tc>
          <w:tcPr>
            <w:tcW w:w="2872" w:type="dxa"/>
            <w:vAlign w:val="center"/>
          </w:tcPr>
          <w:p>
            <w:pPr>
              <w:spacing w:before="0" w:after="0"/>
              <w:jc w:val="left"/>
            </w:pPr>
            <w:r>
              <w:rPr>
                <w:sz w:val="18"/>
                <w:szCs w:val="18"/>
              </w:rPr>
              <w:t xml:space="preserve">Ivorydale Hollow Partners LLC</w:t>
            </w:r>
          </w:p>
        </w:tc>
        <w:tc>
          <w:tcPr>
            <w:tcW w:w="2400" w:type="dxa"/>
            <w:vAlign w:val="center"/>
          </w:tcPr>
          <w:p>
            <w:pPr>
              <w:spacing w:before="0" w:after="0"/>
              <w:jc w:val="left"/>
            </w:pPr>
            <w:r>
              <w:rPr>
                <w:sz w:val="18"/>
                <w:szCs w:val="18"/>
              </w:rPr>
              <w:t xml:space="preserve">713 Market Street, Northfield</w:t>
            </w:r>
          </w:p>
        </w:tc>
        <w:tc>
          <w:tcPr>
            <w:tcW w:w="1900" w:type="dxa"/>
            <w:vAlign w:val="center"/>
          </w:tcPr>
          <w:p>
            <w:pPr>
              <w:spacing w:before="0" w:after="0"/>
              <w:jc w:val="right"/>
            </w:pPr>
            <w:r>
              <w:rPr>
                <w:sz w:val="18"/>
                <w:szCs w:val="18"/>
              </w:rPr>
              <w:t xml:space="preserve">3,758,000</w:t>
            </w:r>
          </w:p>
        </w:tc>
        <w:tc>
          <w:tcPr>
            <w:tcW w:w="1900" w:type="dxa"/>
            <w:vAlign w:val="center"/>
          </w:tcPr>
          <w:p>
            <w:pPr>
              <w:spacing w:before="0" w:after="0"/>
              <w:jc w:val="right"/>
            </w:pPr>
            <w:r>
              <w:rPr>
                <w:sz w:val="18"/>
                <w:szCs w:val="18"/>
              </w:rPr>
              <w:t xml:space="preserve">5.75</w:t>
            </w:r>
          </w:p>
        </w:tc>
      </w:tr>
      <w:tr>
        <w:tc>
          <w:tcPr>
            <w:tcW w:w="2872" w:type="dxa"/>
            <w:vAlign w:val="center"/>
          </w:tcPr>
          <w:p>
            <w:pPr>
              <w:spacing w:before="0" w:after="0"/>
              <w:jc w:val="left"/>
            </w:pPr>
            <w:r>
              <w:rPr>
                <w:sz w:val="18"/>
                <w:szCs w:val="18"/>
              </w:rPr>
              <w:t xml:space="preserve">Larchmont Field Holdings LLC</w:t>
            </w:r>
          </w:p>
        </w:tc>
        <w:tc>
          <w:tcPr>
            <w:tcW w:w="2400" w:type="dxa"/>
            <w:vAlign w:val="center"/>
          </w:tcPr>
          <w:p>
            <w:pPr>
              <w:spacing w:before="0" w:after="0"/>
              <w:jc w:val="left"/>
            </w:pPr>
            <w:r>
              <w:rPr>
                <w:sz w:val="18"/>
                <w:szCs w:val="18"/>
              </w:rPr>
              <w:t xml:space="preserve">482 Market Street, Lakeside</w:t>
            </w:r>
          </w:p>
        </w:tc>
        <w:tc>
          <w:tcPr>
            <w:tcW w:w="1900" w:type="dxa"/>
            <w:vAlign w:val="center"/>
          </w:tcPr>
          <w:p>
            <w:pPr>
              <w:spacing w:before="0" w:after="0"/>
              <w:jc w:val="right"/>
            </w:pPr>
            <w:r>
              <w:rPr>
                <w:sz w:val="18"/>
                <w:szCs w:val="18"/>
              </w:rPr>
              <w:t xml:space="preserve">1,814,000</w:t>
            </w:r>
          </w:p>
        </w:tc>
        <w:tc>
          <w:tcPr>
            <w:tcW w:w="1900" w:type="dxa"/>
            <w:vAlign w:val="center"/>
          </w:tcPr>
          <w:p>
            <w:pPr>
              <w:spacing w:before="0" w:after="0"/>
              <w:jc w:val="right"/>
            </w:pPr>
            <w:r>
              <w:rPr>
                <w:sz w:val="18"/>
                <w:szCs w:val="18"/>
              </w:rPr>
              <w:t xml:space="preserve">7.57</w:t>
            </w:r>
          </w:p>
        </w:tc>
      </w:tr>
      <w:tr>
        <w:tc>
          <w:tcPr>
            <w:tcW w:w="2872" w:type="dxa"/>
            <w:vAlign w:val="center"/>
          </w:tcPr>
          <w:p>
            <w:pPr>
              <w:spacing w:before="0" w:after="0"/>
              <w:jc w:val="left"/>
            </w:pPr>
            <w:r>
              <w:rPr>
                <w:sz w:val="18"/>
                <w:szCs w:val="18"/>
              </w:rPr>
              <w:t xml:space="preserve">Glenhaven Field Growth Fund LP</w:t>
            </w:r>
          </w:p>
        </w:tc>
        <w:tc>
          <w:tcPr>
            <w:tcW w:w="2400" w:type="dxa"/>
            <w:vAlign w:val="center"/>
          </w:tcPr>
          <w:p>
            <w:pPr>
              <w:spacing w:before="0" w:after="0"/>
              <w:jc w:val="left"/>
            </w:pPr>
            <w:r>
              <w:rPr>
                <w:sz w:val="18"/>
                <w:szCs w:val="18"/>
              </w:rPr>
              <w:t xml:space="preserve">653 Harbor Street, Northfield</w:t>
            </w:r>
          </w:p>
        </w:tc>
        <w:tc>
          <w:tcPr>
            <w:tcW w:w="1900" w:type="dxa"/>
            <w:vAlign w:val="center"/>
          </w:tcPr>
          <w:p>
            <w:pPr>
              <w:spacing w:before="0" w:after="0"/>
              <w:jc w:val="right"/>
            </w:pPr>
            <w:r>
              <w:rPr>
                <w:sz w:val="18"/>
                <w:szCs w:val="18"/>
              </w:rPr>
              <w:t xml:space="preserve">1,521,000</w:t>
            </w:r>
          </w:p>
        </w:tc>
        <w:tc>
          <w:tcPr>
            <w:tcW w:w="1900" w:type="dxa"/>
            <w:vAlign w:val="center"/>
          </w:tcPr>
          <w:p>
            <w:pPr>
              <w:spacing w:before="0" w:after="0"/>
              <w:jc w:val="right"/>
            </w:pPr>
            <w:r>
              <w:rPr>
                <w:sz w:val="18"/>
                <w:szCs w:val="18"/>
              </w:rPr>
              <w:t xml:space="preserve">5.94</w:t>
            </w:r>
          </w:p>
        </w:tc>
      </w:tr>
      <w:tr>
        <w:tc>
          <w:tcPr>
            <w:tcW w:w="2872" w:type="dxa"/>
            <w:vAlign w:val="center"/>
          </w:tcPr>
          <w:p>
            <w:pPr>
              <w:spacing w:before="0" w:after="0"/>
              <w:jc w:val="left"/>
            </w:pPr>
            <w:r>
              <w:rPr>
                <w:sz w:val="18"/>
                <w:szCs w:val="18"/>
              </w:rPr>
              <w:t xml:space="preserve">Kestrel Field Family Trust</w:t>
            </w:r>
          </w:p>
        </w:tc>
        <w:tc>
          <w:tcPr>
            <w:tcW w:w="2400" w:type="dxa"/>
            <w:vAlign w:val="center"/>
          </w:tcPr>
          <w:p>
            <w:pPr>
              <w:spacing w:before="0" w:after="0"/>
              <w:jc w:val="left"/>
            </w:pPr>
            <w:r>
              <w:rPr>
                <w:sz w:val="18"/>
                <w:szCs w:val="18"/>
              </w:rPr>
              <w:t xml:space="preserve">388 Station Street, Eastbay</w:t>
            </w:r>
          </w:p>
        </w:tc>
        <w:tc>
          <w:tcPr>
            <w:tcW w:w="1900" w:type="dxa"/>
            <w:vAlign w:val="center"/>
          </w:tcPr>
          <w:p>
            <w:pPr>
              <w:spacing w:before="0" w:after="0"/>
              <w:jc w:val="right"/>
            </w:pPr>
            <w:r>
              <w:rPr>
                <w:sz w:val="18"/>
                <w:szCs w:val="18"/>
              </w:rPr>
              <w:t xml:space="preserve">1,422,000</w:t>
            </w:r>
          </w:p>
        </w:tc>
        <w:tc>
          <w:tcPr>
            <w:tcW w:w="1900" w:type="dxa"/>
            <w:vAlign w:val="center"/>
          </w:tcPr>
          <w:p>
            <w:pPr>
              <w:spacing w:before="0" w:after="0"/>
              <w:jc w:val="right"/>
            </w:pPr>
            <w:r>
              <w:rPr>
                <w:sz w:val="18"/>
                <w:szCs w:val="18"/>
              </w:rPr>
              <w:t xml:space="preserve">6.87</w:t>
            </w:r>
          </w:p>
        </w:tc>
      </w:tr>
      <w:tr>
        <w:tc>
          <w:tcPr>
            <w:tcW w:w="2872" w:type="dxa"/>
            <w:vAlign w:val="center"/>
          </w:tcPr>
          <w:p>
            <w:pPr>
              <w:spacing w:before="0" w:after="0"/>
              <w:jc w:val="left"/>
            </w:pPr>
            <w:r>
              <w:rPr>
                <w:sz w:val="18"/>
                <w:szCs w:val="18"/>
              </w:rPr>
              <w:t xml:space="preserve">Ivorydale Hollow Capital LP</w:t>
            </w:r>
          </w:p>
        </w:tc>
        <w:tc>
          <w:tcPr>
            <w:tcW w:w="2400" w:type="dxa"/>
            <w:vAlign w:val="center"/>
          </w:tcPr>
          <w:p>
            <w:pPr>
              <w:spacing w:before="0" w:after="0"/>
              <w:jc w:val="left"/>
            </w:pPr>
            <w:r>
              <w:rPr>
                <w:sz w:val="18"/>
                <w:szCs w:val="18"/>
              </w:rPr>
              <w:t xml:space="preserve">462 Mill Street, Lakeside</w:t>
            </w:r>
          </w:p>
        </w:tc>
        <w:tc>
          <w:tcPr>
            <w:tcW w:w="1900" w:type="dxa"/>
            <w:vAlign w:val="center"/>
          </w:tcPr>
          <w:p>
            <w:pPr>
              <w:spacing w:before="0" w:after="0"/>
              <w:jc w:val="right"/>
            </w:pPr>
            <w:r>
              <w:rPr>
                <w:sz w:val="18"/>
                <w:szCs w:val="18"/>
              </w:rPr>
              <w:t xml:space="preserve">2,070,000</w:t>
            </w:r>
          </w:p>
        </w:tc>
        <w:tc>
          <w:tcPr>
            <w:tcW w:w="1900" w:type="dxa"/>
            <w:vAlign w:val="center"/>
          </w:tcPr>
          <w:p>
            <w:pPr>
              <w:spacing w:before="0" w:after="0"/>
              <w:jc w:val="right"/>
            </w:pPr>
            <w:r>
              <w:rPr>
                <w:sz w:val="18"/>
                <w:szCs w:val="18"/>
              </w:rPr>
              <w:t xml:space="preserve">5.77</w:t>
            </w:r>
          </w:p>
        </w:tc>
      </w:tr>
      <w:tr>
        <w:tc>
          <w:tcPr>
            <w:tcW w:w="2872" w:type="dxa"/>
            <w:vAlign w:val="center"/>
          </w:tcPr>
          <w:p>
            <w:pPr>
              <w:spacing w:before="0" w:after="0"/>
              <w:jc w:val="left"/>
            </w:pPr>
            <w:r>
              <w:rPr>
                <w:sz w:val="18"/>
                <w:szCs w:val="18"/>
              </w:rPr>
              <w:t xml:space="preserve">Elkhorn Bay Partners LLC</w:t>
            </w:r>
          </w:p>
        </w:tc>
        <w:tc>
          <w:tcPr>
            <w:tcW w:w="2400" w:type="dxa"/>
            <w:vAlign w:val="center"/>
          </w:tcPr>
          <w:p>
            <w:pPr>
              <w:spacing w:before="0" w:after="0"/>
              <w:jc w:val="left"/>
            </w:pPr>
            <w:r>
              <w:rPr>
                <w:sz w:val="18"/>
                <w:szCs w:val="18"/>
              </w:rPr>
              <w:t xml:space="preserve">52 Market Street, Northfield</w:t>
            </w:r>
          </w:p>
        </w:tc>
        <w:tc>
          <w:tcPr>
            <w:tcW w:w="1900" w:type="dxa"/>
            <w:vAlign w:val="center"/>
          </w:tcPr>
          <w:p>
            <w:pPr>
              <w:spacing w:before="0" w:after="0"/>
              <w:jc w:val="right"/>
            </w:pPr>
            <w:r>
              <w:rPr>
                <w:sz w:val="18"/>
                <w:szCs w:val="18"/>
              </w:rPr>
              <w:t xml:space="preserve">3,702,000</w:t>
            </w:r>
          </w:p>
        </w:tc>
        <w:tc>
          <w:tcPr>
            <w:tcW w:w="1900" w:type="dxa"/>
            <w:vAlign w:val="center"/>
          </w:tcPr>
          <w:p>
            <w:pPr>
              <w:spacing w:before="0" w:after="0"/>
              <w:jc w:val="right"/>
            </w:pPr>
            <w:r>
              <w:rPr>
                <w:sz w:val="18"/>
                <w:szCs w:val="18"/>
              </w:rPr>
              <w:t xml:space="preserve">3.37</w:t>
            </w:r>
          </w:p>
        </w:tc>
      </w:tr>
      <w:tr>
        <w:tc>
          <w:tcPr>
            <w:tcW w:w="2872" w:type="dxa"/>
            <w:vAlign w:val="center"/>
          </w:tcPr>
          <w:p>
            <w:pPr>
              <w:spacing w:before="0" w:after="0"/>
              <w:jc w:val="left"/>
            </w:pPr>
            <w:r>
              <w:rPr>
                <w:sz w:val="18"/>
                <w:szCs w:val="18"/>
              </w:rPr>
              <w:t xml:space="preserve">Glenhaven Brook Partners LLC</w:t>
            </w:r>
          </w:p>
        </w:tc>
        <w:tc>
          <w:tcPr>
            <w:tcW w:w="2400" w:type="dxa"/>
            <w:vAlign w:val="center"/>
          </w:tcPr>
          <w:p>
            <w:pPr>
              <w:spacing w:before="0" w:after="0"/>
              <w:jc w:val="left"/>
            </w:pPr>
            <w:r>
              <w:rPr>
                <w:sz w:val="18"/>
                <w:szCs w:val="18"/>
              </w:rPr>
              <w:t xml:space="preserve">163 Mill Street, Westridge</w:t>
            </w:r>
          </w:p>
        </w:tc>
        <w:tc>
          <w:tcPr>
            <w:tcW w:w="1900" w:type="dxa"/>
            <w:vAlign w:val="center"/>
          </w:tcPr>
          <w:p>
            <w:pPr>
              <w:spacing w:before="0" w:after="0"/>
              <w:jc w:val="right"/>
            </w:pPr>
            <w:r>
              <w:rPr>
                <w:sz w:val="18"/>
                <w:szCs w:val="18"/>
              </w:rPr>
              <w:t xml:space="preserve">594,000</w:t>
            </w:r>
          </w:p>
        </w:tc>
        <w:tc>
          <w:tcPr>
            <w:tcW w:w="1900" w:type="dxa"/>
            <w:vAlign w:val="center"/>
          </w:tcPr>
          <w:p>
            <w:pPr>
              <w:spacing w:before="0" w:after="0"/>
              <w:jc w:val="right"/>
            </w:pPr>
            <w:r>
              <w:rPr>
                <w:sz w:val="18"/>
                <w:szCs w:val="18"/>
              </w:rPr>
              <w:t xml:space="preserve">5.79</w:t>
            </w:r>
          </w:p>
        </w:tc>
      </w:tr>
      <w:tr>
        <w:tc>
          <w:tcPr>
            <w:tcW w:w="2872" w:type="dxa"/>
            <w:vAlign w:val="center"/>
          </w:tcPr>
          <w:p>
            <w:pPr>
              <w:spacing w:before="0" w:after="0"/>
              <w:jc w:val="left"/>
            </w:pPr>
            <w:r>
              <w:rPr>
                <w:sz w:val="18"/>
                <w:szCs w:val="18"/>
              </w:rPr>
              <w:t xml:space="preserve">Elkhorn Ridge Partners LLC</w:t>
            </w:r>
          </w:p>
        </w:tc>
        <w:tc>
          <w:tcPr>
            <w:tcW w:w="2400" w:type="dxa"/>
            <w:vAlign w:val="center"/>
          </w:tcPr>
          <w:p>
            <w:pPr>
              <w:spacing w:before="0" w:after="0"/>
              <w:jc w:val="left"/>
            </w:pPr>
            <w:r>
              <w:rPr>
                <w:sz w:val="18"/>
                <w:szCs w:val="18"/>
              </w:rPr>
              <w:t xml:space="preserve">354 Station Street, Harborview</w:t>
            </w:r>
          </w:p>
        </w:tc>
        <w:tc>
          <w:tcPr>
            <w:tcW w:w="1900" w:type="dxa"/>
            <w:vAlign w:val="center"/>
          </w:tcPr>
          <w:p>
            <w:pPr>
              <w:spacing w:before="0" w:after="0"/>
              <w:jc w:val="right"/>
            </w:pPr>
            <w:r>
              <w:rPr>
                <w:sz w:val="18"/>
                <w:szCs w:val="18"/>
              </w:rPr>
              <w:t xml:space="preserve">1,273,000</w:t>
            </w:r>
          </w:p>
        </w:tc>
        <w:tc>
          <w:tcPr>
            <w:tcW w:w="1900" w:type="dxa"/>
            <w:vAlign w:val="center"/>
          </w:tcPr>
          <w:p>
            <w:pPr>
              <w:spacing w:before="0" w:after="0"/>
              <w:jc w:val="right"/>
            </w:pPr>
            <w:r>
              <w:rPr>
                <w:sz w:val="18"/>
                <w:szCs w:val="18"/>
              </w:rPr>
              <w:t xml:space="preserve">11.62</w:t>
            </w:r>
          </w:p>
        </w:tc>
      </w:tr>
      <w:tr>
        <w:tc>
          <w:tcPr>
            <w:tcW w:w="2872" w:type="dxa"/>
            <w:vAlign w:val="center"/>
          </w:tcPr>
          <w:p>
            <w:pPr>
              <w:spacing w:before="0" w:after="0"/>
              <w:jc w:val="left"/>
            </w:pPr>
            <w:r>
              <w:rPr>
                <w:sz w:val="18"/>
                <w:szCs w:val="18"/>
              </w:rPr>
              <w:t xml:space="preserve">Dunmore Crest Capital LP</w:t>
            </w:r>
          </w:p>
        </w:tc>
        <w:tc>
          <w:tcPr>
            <w:tcW w:w="2400" w:type="dxa"/>
            <w:vAlign w:val="center"/>
          </w:tcPr>
          <w:p>
            <w:pPr>
              <w:spacing w:before="0" w:after="0"/>
              <w:jc w:val="left"/>
            </w:pPr>
            <w:r>
              <w:rPr>
                <w:sz w:val="18"/>
                <w:szCs w:val="18"/>
              </w:rPr>
              <w:t xml:space="preserve">772 Chapel Street, Southport</w:t>
            </w:r>
          </w:p>
        </w:tc>
        <w:tc>
          <w:tcPr>
            <w:tcW w:w="1900" w:type="dxa"/>
            <w:vAlign w:val="center"/>
          </w:tcPr>
          <w:p>
            <w:pPr>
              <w:spacing w:before="0" w:after="0"/>
              <w:jc w:val="right"/>
            </w:pPr>
            <w:r>
              <w:rPr>
                <w:sz w:val="18"/>
                <w:szCs w:val="18"/>
              </w:rPr>
              <w:t xml:space="preserve">1,649,000</w:t>
            </w:r>
          </w:p>
        </w:tc>
        <w:tc>
          <w:tcPr>
            <w:tcW w:w="1900" w:type="dxa"/>
            <w:vAlign w:val="center"/>
          </w:tcPr>
          <w:p>
            <w:pPr>
              <w:spacing w:before="0" w:after="0"/>
              <w:jc w:val="right"/>
            </w:pPr>
            <w:r>
              <w:rPr>
                <w:sz w:val="18"/>
                <w:szCs w:val="18"/>
              </w:rPr>
              <w:t xml:space="preserve">4.56</w:t>
            </w:r>
          </w:p>
        </w:tc>
      </w:tr>
      <w:tr>
        <w:tc>
          <w:tcPr>
            <w:tcW w:w="2872" w:type="dxa"/>
            <w:vAlign w:val="center"/>
          </w:tcPr>
          <w:p>
            <w:pPr>
              <w:spacing w:before="0" w:after="0"/>
              <w:jc w:val="left"/>
            </w:pPr>
            <w:r>
              <w:rPr>
                <w:sz w:val="18"/>
                <w:szCs w:val="18"/>
              </w:rPr>
              <w:t xml:space="preserve">Fenwick Stone Investments LP</w:t>
            </w:r>
          </w:p>
        </w:tc>
        <w:tc>
          <w:tcPr>
            <w:tcW w:w="2400" w:type="dxa"/>
            <w:vAlign w:val="center"/>
          </w:tcPr>
          <w:p>
            <w:pPr>
              <w:spacing w:before="0" w:after="0"/>
              <w:jc w:val="left"/>
            </w:pPr>
            <w:r>
              <w:rPr>
                <w:sz w:val="18"/>
                <w:szCs w:val="18"/>
              </w:rPr>
              <w:t xml:space="preserve">164 Orchard Street, Harborview</w:t>
            </w:r>
          </w:p>
        </w:tc>
        <w:tc>
          <w:tcPr>
            <w:tcW w:w="1900" w:type="dxa"/>
            <w:vAlign w:val="center"/>
          </w:tcPr>
          <w:p>
            <w:pPr>
              <w:spacing w:before="0" w:after="0"/>
              <w:jc w:val="right"/>
            </w:pPr>
            <w:r>
              <w:rPr>
                <w:sz w:val="18"/>
                <w:szCs w:val="18"/>
              </w:rPr>
              <w:t xml:space="preserve">4,789,000</w:t>
            </w:r>
          </w:p>
        </w:tc>
        <w:tc>
          <w:tcPr>
            <w:tcW w:w="1900" w:type="dxa"/>
            <w:vAlign w:val="center"/>
          </w:tcPr>
          <w:p>
            <w:pPr>
              <w:spacing w:before="0" w:after="0"/>
              <w:jc w:val="right"/>
            </w:pPr>
            <w:r>
              <w:rPr>
                <w:sz w:val="18"/>
                <w:szCs w:val="18"/>
              </w:rPr>
              <w:t xml:space="preserve">2.50</w:t>
            </w:r>
          </w:p>
        </w:tc>
      </w:tr>
      <w:tr>
        <w:tc>
          <w:tcPr>
            <w:tcW w:w="2872" w:type="dxa"/>
            <w:vAlign w:val="center"/>
          </w:tcPr>
          <w:p>
            <w:pPr>
              <w:spacing w:before="0" w:after="0"/>
              <w:jc w:val="left"/>
            </w:pPr>
            <w:r>
              <w:rPr>
                <w:sz w:val="18"/>
                <w:szCs w:val="18"/>
              </w:rPr>
              <w:t xml:space="preserve">Elkhorn Stone Holdings LLC</w:t>
            </w:r>
          </w:p>
        </w:tc>
        <w:tc>
          <w:tcPr>
            <w:tcW w:w="2400" w:type="dxa"/>
            <w:vAlign w:val="center"/>
          </w:tcPr>
          <w:p>
            <w:pPr>
              <w:spacing w:before="0" w:after="0"/>
              <w:jc w:val="left"/>
            </w:pPr>
            <w:r>
              <w:rPr>
                <w:sz w:val="18"/>
                <w:szCs w:val="18"/>
              </w:rPr>
              <w:t xml:space="preserve">269 Orchard Street, Lakeside</w:t>
            </w:r>
          </w:p>
        </w:tc>
        <w:tc>
          <w:tcPr>
            <w:tcW w:w="1900" w:type="dxa"/>
            <w:vAlign w:val="center"/>
          </w:tcPr>
          <w:p>
            <w:pPr>
              <w:spacing w:before="0" w:after="0"/>
              <w:jc w:val="right"/>
            </w:pPr>
            <w:r>
              <w:rPr>
                <w:sz w:val="18"/>
                <w:szCs w:val="18"/>
              </w:rPr>
              <w:t xml:space="preserve">3,062,000</w:t>
            </w:r>
          </w:p>
        </w:tc>
        <w:tc>
          <w:tcPr>
            <w:tcW w:w="1900" w:type="dxa"/>
            <w:vAlign w:val="center"/>
          </w:tcPr>
          <w:p>
            <w:pPr>
              <w:spacing w:before="0" w:after="0"/>
              <w:jc w:val="right"/>
            </w:pPr>
            <w:r>
              <w:rPr>
                <w:sz w:val="18"/>
                <w:szCs w:val="18"/>
              </w:rPr>
              <w:t xml:space="preserve">3.78</w:t>
            </w:r>
          </w:p>
        </w:tc>
      </w:tr>
      <w:tr>
        <w:tc>
          <w:tcPr>
            <w:tcW w:w="2872" w:type="dxa"/>
            <w:vAlign w:val="center"/>
          </w:tcPr>
          <w:p>
            <w:pPr>
              <w:spacing w:before="0" w:after="0"/>
              <w:jc w:val="left"/>
            </w:pPr>
            <w:r>
              <w:rPr>
                <w:sz w:val="18"/>
                <w:szCs w:val="18"/>
              </w:rPr>
              <w:t xml:space="preserve">Juniper Hollow Partners LLC</w:t>
            </w:r>
          </w:p>
        </w:tc>
        <w:tc>
          <w:tcPr>
            <w:tcW w:w="2400" w:type="dxa"/>
            <w:vAlign w:val="center"/>
          </w:tcPr>
          <w:p>
            <w:pPr>
              <w:spacing w:before="0" w:after="0"/>
              <w:jc w:val="left"/>
            </w:pPr>
            <w:r>
              <w:rPr>
                <w:sz w:val="18"/>
                <w:szCs w:val="18"/>
              </w:rPr>
              <w:t xml:space="preserve">562 Chapel Street, Hillcrest</w:t>
            </w:r>
          </w:p>
        </w:tc>
        <w:tc>
          <w:tcPr>
            <w:tcW w:w="1900" w:type="dxa"/>
            <w:vAlign w:val="center"/>
          </w:tcPr>
          <w:p>
            <w:pPr>
              <w:spacing w:before="0" w:after="0"/>
              <w:jc w:val="right"/>
            </w:pPr>
            <w:r>
              <w:rPr>
                <w:sz w:val="18"/>
                <w:szCs w:val="18"/>
              </w:rPr>
              <w:t xml:space="preserve">3,763,000</w:t>
            </w:r>
          </w:p>
        </w:tc>
        <w:tc>
          <w:tcPr>
            <w:tcW w:w="1900" w:type="dxa"/>
            <w:vAlign w:val="center"/>
          </w:tcPr>
          <w:p>
            <w:pPr>
              <w:spacing w:before="0" w:after="0"/>
              <w:jc w:val="right"/>
            </w:pPr>
            <w:r>
              <w:rPr>
                <w:sz w:val="18"/>
                <w:szCs w:val="18"/>
              </w:rPr>
              <w:t xml:space="preserve">11.65</w:t>
            </w:r>
          </w:p>
        </w:tc>
      </w:tr>
      <w:tr>
        <w:tc>
          <w:tcPr>
            <w:tcW w:w="2872" w:type="dxa"/>
            <w:vAlign w:val="center"/>
          </w:tcPr>
          <w:p>
            <w:pPr>
              <w:spacing w:before="0" w:after="0"/>
              <w:jc w:val="left"/>
            </w:pPr>
            <w:r>
              <w:rPr>
                <w:sz w:val="18"/>
                <w:szCs w:val="18"/>
              </w:rPr>
              <w:t xml:space="preserve">Fenwick Ridge Investments LP</w:t>
            </w:r>
          </w:p>
        </w:tc>
        <w:tc>
          <w:tcPr>
            <w:tcW w:w="2400" w:type="dxa"/>
            <w:vAlign w:val="center"/>
          </w:tcPr>
          <w:p>
            <w:pPr>
              <w:spacing w:before="0" w:after="0"/>
              <w:jc w:val="left"/>
            </w:pPr>
            <w:r>
              <w:rPr>
                <w:sz w:val="18"/>
                <w:szCs w:val="18"/>
              </w:rPr>
              <w:t xml:space="preserve">847 Market Street, Lakeside</w:t>
            </w:r>
          </w:p>
        </w:tc>
        <w:tc>
          <w:tcPr>
            <w:tcW w:w="1900" w:type="dxa"/>
            <w:vAlign w:val="center"/>
          </w:tcPr>
          <w:p>
            <w:pPr>
              <w:spacing w:before="0" w:after="0"/>
              <w:jc w:val="right"/>
            </w:pPr>
            <w:r>
              <w:rPr>
                <w:sz w:val="18"/>
                <w:szCs w:val="18"/>
              </w:rPr>
              <w:t xml:space="preserve">1,626,000</w:t>
            </w:r>
          </w:p>
        </w:tc>
        <w:tc>
          <w:tcPr>
            <w:tcW w:w="1900" w:type="dxa"/>
            <w:vAlign w:val="center"/>
          </w:tcPr>
          <w:p>
            <w:pPr>
              <w:spacing w:before="0" w:after="0"/>
              <w:jc w:val="right"/>
            </w:pPr>
            <w:r>
              <w:rPr>
                <w:sz w:val="18"/>
                <w:szCs w:val="18"/>
              </w:rPr>
              <w:t xml:space="preserve">1.52</w:t>
            </w:r>
          </w:p>
        </w:tc>
      </w:tr>
      <w:tr>
        <w:tc>
          <w:tcPr>
            <w:tcW w:w="2872" w:type="dxa"/>
            <w:vAlign w:val="center"/>
          </w:tcPr>
          <w:p>
            <w:pPr>
              <w:spacing w:before="0" w:after="0"/>
              <w:jc w:val="left"/>
            </w:pPr>
            <w:r>
              <w:rPr>
                <w:sz w:val="18"/>
                <w:szCs w:val="18"/>
              </w:rPr>
              <w:t xml:space="preserve">Ivorydale Bay Holdings LLC</w:t>
            </w:r>
          </w:p>
        </w:tc>
        <w:tc>
          <w:tcPr>
            <w:tcW w:w="2400" w:type="dxa"/>
            <w:vAlign w:val="center"/>
          </w:tcPr>
          <w:p>
            <w:pPr>
              <w:spacing w:before="0" w:after="0"/>
              <w:jc w:val="left"/>
            </w:pPr>
            <w:r>
              <w:rPr>
                <w:sz w:val="18"/>
                <w:szCs w:val="18"/>
              </w:rPr>
              <w:t xml:space="preserve">982 Harbor Street, Eastbay</w:t>
            </w:r>
          </w:p>
        </w:tc>
        <w:tc>
          <w:tcPr>
            <w:tcW w:w="1900" w:type="dxa"/>
            <w:vAlign w:val="center"/>
          </w:tcPr>
          <w:p>
            <w:pPr>
              <w:spacing w:before="0" w:after="0"/>
              <w:jc w:val="right"/>
            </w:pPr>
            <w:r>
              <w:rPr>
                <w:sz w:val="18"/>
                <w:szCs w:val="18"/>
              </w:rPr>
              <w:t xml:space="preserve">4,748,000</w:t>
            </w:r>
          </w:p>
        </w:tc>
        <w:tc>
          <w:tcPr>
            <w:tcW w:w="1900" w:type="dxa"/>
            <w:vAlign w:val="center"/>
          </w:tcPr>
          <w:p>
            <w:pPr>
              <w:spacing w:before="0" w:after="0"/>
              <w:jc w:val="right"/>
            </w:pPr>
            <w:r>
              <w:rPr>
                <w:sz w:val="18"/>
                <w:szCs w:val="18"/>
              </w:rPr>
              <w:t xml:space="preserve">0.16</w:t>
            </w:r>
          </w:p>
        </w:tc>
      </w:tr>
      <w:tr>
        <w:tc>
          <w:tcPr>
            <w:tcW w:w="2872" w:type="dxa"/>
            <w:vAlign w:val="center"/>
          </w:tcPr>
          <w:p>
            <w:pPr>
              <w:spacing w:before="0" w:after="0"/>
              <w:jc w:val="left"/>
            </w:pPr>
            <w:r>
              <w:rPr>
                <w:sz w:val="18"/>
                <w:szCs w:val="18"/>
              </w:rPr>
              <w:t xml:space="preserve">Juniper Field Capital LP</w:t>
            </w:r>
          </w:p>
        </w:tc>
        <w:tc>
          <w:tcPr>
            <w:tcW w:w="2400" w:type="dxa"/>
            <w:vAlign w:val="center"/>
          </w:tcPr>
          <w:p>
            <w:pPr>
              <w:spacing w:before="0" w:after="0"/>
              <w:jc w:val="left"/>
            </w:pPr>
            <w:r>
              <w:rPr>
                <w:sz w:val="18"/>
                <w:szCs w:val="18"/>
              </w:rPr>
              <w:t xml:space="preserve">660 Market Street, Lakeside</w:t>
            </w:r>
          </w:p>
        </w:tc>
        <w:tc>
          <w:tcPr>
            <w:tcW w:w="1900" w:type="dxa"/>
            <w:vAlign w:val="center"/>
          </w:tcPr>
          <w:p>
            <w:pPr>
              <w:spacing w:before="0" w:after="0"/>
              <w:jc w:val="right"/>
            </w:pPr>
            <w:r>
              <w:rPr>
                <w:sz w:val="18"/>
                <w:szCs w:val="18"/>
              </w:rPr>
              <w:t xml:space="preserve">909,000</w:t>
            </w:r>
          </w:p>
        </w:tc>
        <w:tc>
          <w:tcPr>
            <w:tcW w:w="1900" w:type="dxa"/>
            <w:vAlign w:val="center"/>
          </w:tcPr>
          <w:p>
            <w:pPr>
              <w:spacing w:before="0" w:after="0"/>
              <w:jc w:val="right"/>
            </w:pPr>
            <w:r>
              <w:rPr>
                <w:sz w:val="18"/>
                <w:szCs w:val="18"/>
              </w:rPr>
              <w:t xml:space="preserve">0.10</w:t>
            </w:r>
          </w:p>
        </w:tc>
      </w:tr>
      <w:tr>
        <w:tc>
          <w:tcPr>
            <w:tcW w:w="2872" w:type="dxa"/>
            <w:vAlign w:val="center"/>
          </w:tcPr>
          <w:p>
            <w:pPr>
              <w:spacing w:before="0" w:after="0"/>
              <w:jc w:val="left"/>
            </w:pPr>
            <w:r>
              <w:rPr>
                <w:sz w:val="18"/>
                <w:szCs w:val="18"/>
              </w:rPr>
              <w:t xml:space="preserve">Alder Crest Holdings LLC</w:t>
            </w:r>
          </w:p>
        </w:tc>
        <w:tc>
          <w:tcPr>
            <w:tcW w:w="2400" w:type="dxa"/>
            <w:vAlign w:val="center"/>
          </w:tcPr>
          <w:p>
            <w:pPr>
              <w:spacing w:before="0" w:after="0"/>
              <w:jc w:val="left"/>
            </w:pPr>
            <w:r>
              <w:rPr>
                <w:sz w:val="18"/>
                <w:szCs w:val="18"/>
              </w:rPr>
              <w:t xml:space="preserve">450 Orchard Street, Westridge</w:t>
            </w:r>
          </w:p>
        </w:tc>
        <w:tc>
          <w:tcPr>
            <w:tcW w:w="1900" w:type="dxa"/>
            <w:vAlign w:val="center"/>
          </w:tcPr>
          <w:p>
            <w:pPr>
              <w:spacing w:before="0" w:after="0"/>
              <w:jc w:val="right"/>
            </w:pPr>
            <w:r>
              <w:rPr>
                <w:sz w:val="18"/>
                <w:szCs w:val="18"/>
              </w:rPr>
              <w:t xml:space="preserve">4,808,000</w:t>
            </w:r>
          </w:p>
        </w:tc>
        <w:tc>
          <w:tcPr>
            <w:tcW w:w="1900" w:type="dxa"/>
            <w:vAlign w:val="center"/>
          </w:tcPr>
          <w:p>
            <w:pPr>
              <w:spacing w:before="0" w:after="0"/>
              <w:jc w:val="right"/>
            </w:pPr>
            <w:r>
              <w:rPr>
                <w:sz w:val="18"/>
                <w:szCs w:val="18"/>
              </w:rPr>
              <w:t xml:space="preserve">8.31</w:t>
            </w:r>
          </w:p>
        </w:tc>
      </w:tr>
      <w:tr>
        <w:tc>
          <w:tcPr>
            <w:tcW w:w="2872" w:type="dxa"/>
            <w:vAlign w:val="center"/>
          </w:tcPr>
          <w:p>
            <w:pPr>
              <w:spacing w:before="0" w:after="0"/>
              <w:jc w:val="left"/>
            </w:pPr>
            <w:r>
              <w:rPr>
                <w:sz w:val="18"/>
                <w:szCs w:val="18"/>
              </w:rPr>
              <w:t xml:space="preserve">Cobalt Bay Investments LP</w:t>
            </w:r>
          </w:p>
        </w:tc>
        <w:tc>
          <w:tcPr>
            <w:tcW w:w="2400" w:type="dxa"/>
            <w:vAlign w:val="center"/>
          </w:tcPr>
          <w:p>
            <w:pPr>
              <w:spacing w:before="0" w:after="0"/>
              <w:jc w:val="left"/>
            </w:pPr>
            <w:r>
              <w:rPr>
                <w:sz w:val="18"/>
                <w:szCs w:val="18"/>
              </w:rPr>
              <w:t xml:space="preserve">640 Harbor Street, Riverside</w:t>
            </w:r>
          </w:p>
        </w:tc>
        <w:tc>
          <w:tcPr>
            <w:tcW w:w="1900" w:type="dxa"/>
            <w:vAlign w:val="center"/>
          </w:tcPr>
          <w:p>
            <w:pPr>
              <w:spacing w:before="0" w:after="0"/>
              <w:jc w:val="right"/>
            </w:pPr>
            <w:r>
              <w:rPr>
                <w:sz w:val="18"/>
                <w:szCs w:val="18"/>
              </w:rPr>
              <w:t xml:space="preserve">1,968,000</w:t>
            </w:r>
          </w:p>
        </w:tc>
        <w:tc>
          <w:tcPr>
            <w:tcW w:w="1900" w:type="dxa"/>
            <w:vAlign w:val="center"/>
          </w:tcPr>
          <w:p>
            <w:pPr>
              <w:spacing w:before="0" w:after="0"/>
              <w:jc w:val="right"/>
            </w:pPr>
            <w:r>
              <w:rPr>
                <w:sz w:val="18"/>
                <w:szCs w:val="18"/>
              </w:rPr>
              <w:t xml:space="preserve">1.29</w:t>
            </w:r>
          </w:p>
        </w:tc>
      </w:tr>
      <w:tr>
        <w:tc>
          <w:tcPr>
            <w:tcW w:w="2872" w:type="dxa"/>
            <w:vAlign w:val="center"/>
          </w:tcPr>
          <w:p>
            <w:pPr>
              <w:spacing w:before="0" w:after="0"/>
              <w:jc w:val="left"/>
            </w:pPr>
            <w:r>
              <w:rPr>
                <w:sz w:val="18"/>
                <w:szCs w:val="18"/>
              </w:rPr>
              <w:t xml:space="preserve">Cobalt Field Holdings LLC</w:t>
            </w:r>
          </w:p>
        </w:tc>
        <w:tc>
          <w:tcPr>
            <w:tcW w:w="2400" w:type="dxa"/>
            <w:vAlign w:val="center"/>
          </w:tcPr>
          <w:p>
            <w:pPr>
              <w:spacing w:before="0" w:after="0"/>
              <w:jc w:val="left"/>
            </w:pPr>
            <w:r>
              <w:rPr>
                <w:sz w:val="18"/>
                <w:szCs w:val="18"/>
              </w:rPr>
              <w:t xml:space="preserve">234 Orchard Street, Harborview</w:t>
            </w:r>
          </w:p>
        </w:tc>
        <w:tc>
          <w:tcPr>
            <w:tcW w:w="1900" w:type="dxa"/>
            <w:vAlign w:val="center"/>
          </w:tcPr>
          <w:p>
            <w:pPr>
              <w:spacing w:before="0" w:after="0"/>
              <w:jc w:val="right"/>
            </w:pPr>
            <w:r>
              <w:rPr>
                <w:sz w:val="18"/>
                <w:szCs w:val="18"/>
              </w:rPr>
              <w:t xml:space="preserve">3,899,000</w:t>
            </w:r>
          </w:p>
        </w:tc>
        <w:tc>
          <w:tcPr>
            <w:tcW w:w="1900" w:type="dxa"/>
            <w:vAlign w:val="center"/>
          </w:tcPr>
          <w:p>
            <w:pPr>
              <w:spacing w:before="0" w:after="0"/>
              <w:jc w:val="right"/>
            </w:pPr>
            <w:r>
              <w:rPr>
                <w:sz w:val="18"/>
                <w:szCs w:val="18"/>
              </w:rPr>
              <w:t xml:space="preserve">4.92</w:t>
            </w:r>
          </w:p>
        </w:tc>
      </w:tr>
      <w:tr>
        <w:tc>
          <w:tcPr>
            <w:tcW w:w="2872" w:type="dxa"/>
            <w:vAlign w:val="center"/>
          </w:tcPr>
          <w:p>
            <w:pPr>
              <w:spacing w:before="0" w:after="0"/>
              <w:jc w:val="left"/>
            </w:pPr>
            <w:r>
              <w:rPr>
                <w:sz w:val="18"/>
                <w:szCs w:val="18"/>
              </w:rPr>
              <w:t xml:space="preserve">Larchmont Ridge Capital LP</w:t>
            </w:r>
          </w:p>
        </w:tc>
        <w:tc>
          <w:tcPr>
            <w:tcW w:w="2400" w:type="dxa"/>
            <w:vAlign w:val="center"/>
          </w:tcPr>
          <w:p>
            <w:pPr>
              <w:spacing w:before="0" w:after="0"/>
              <w:jc w:val="left"/>
            </w:pPr>
            <w:r>
              <w:rPr>
                <w:sz w:val="18"/>
                <w:szCs w:val="18"/>
              </w:rPr>
              <w:t xml:space="preserve">96 Station Street, Harborview</w:t>
            </w:r>
          </w:p>
        </w:tc>
        <w:tc>
          <w:tcPr>
            <w:tcW w:w="1900" w:type="dxa"/>
            <w:vAlign w:val="center"/>
          </w:tcPr>
          <w:p>
            <w:pPr>
              <w:spacing w:before="0" w:after="0"/>
              <w:jc w:val="right"/>
            </w:pPr>
            <w:r>
              <w:rPr>
                <w:sz w:val="18"/>
                <w:szCs w:val="18"/>
              </w:rPr>
              <w:t xml:space="preserve">973,000</w:t>
            </w:r>
          </w:p>
        </w:tc>
        <w:tc>
          <w:tcPr>
            <w:tcW w:w="1900" w:type="dxa"/>
            <w:vAlign w:val="center"/>
          </w:tcPr>
          <w:p>
            <w:pPr>
              <w:spacing w:before="0" w:after="0"/>
              <w:jc w:val="right"/>
            </w:pPr>
            <w:r>
              <w:rPr>
                <w:sz w:val="18"/>
                <w:szCs w:val="18"/>
              </w:rPr>
              <w:t xml:space="preserve">11.83</w:t>
            </w:r>
          </w:p>
        </w:tc>
      </w:tr>
      <w:tr>
        <w:tc>
          <w:tcPr>
            <w:tcW w:w="2872" w:type="dxa"/>
            <w:vAlign w:val="center"/>
          </w:tcPr>
          <w:p>
            <w:pPr>
              <w:spacing w:before="0" w:after="0"/>
              <w:jc w:val="left"/>
            </w:pPr>
            <w:r>
              <w:rPr>
                <w:sz w:val="18"/>
                <w:szCs w:val="18"/>
              </w:rPr>
              <w:t xml:space="preserve">Glenhaven Hollow Growth Fund LP</w:t>
            </w:r>
          </w:p>
        </w:tc>
        <w:tc>
          <w:tcPr>
            <w:tcW w:w="2400" w:type="dxa"/>
            <w:vAlign w:val="center"/>
          </w:tcPr>
          <w:p>
            <w:pPr>
              <w:spacing w:before="0" w:after="0"/>
              <w:jc w:val="left"/>
            </w:pPr>
            <w:r>
              <w:rPr>
                <w:sz w:val="18"/>
                <w:szCs w:val="18"/>
              </w:rPr>
              <w:t xml:space="preserve">524 Harbor Street, Harborview</w:t>
            </w:r>
          </w:p>
        </w:tc>
        <w:tc>
          <w:tcPr>
            <w:tcW w:w="1900" w:type="dxa"/>
            <w:vAlign w:val="center"/>
          </w:tcPr>
          <w:p>
            <w:pPr>
              <w:spacing w:before="0" w:after="0"/>
              <w:jc w:val="right"/>
            </w:pPr>
            <w:r>
              <w:rPr>
                <w:sz w:val="18"/>
                <w:szCs w:val="18"/>
              </w:rPr>
              <w:t xml:space="preserve">366,000</w:t>
            </w:r>
          </w:p>
        </w:tc>
        <w:tc>
          <w:tcPr>
            <w:tcW w:w="1900" w:type="dxa"/>
            <w:vAlign w:val="center"/>
          </w:tcPr>
          <w:p>
            <w:pPr>
              <w:spacing w:before="0" w:after="0"/>
              <w:jc w:val="right"/>
            </w:pPr>
            <w:r>
              <w:rPr>
                <w:sz w:val="18"/>
                <w:szCs w:val="18"/>
              </w:rPr>
              <w:t xml:space="preserve">1.34</w:t>
            </w:r>
          </w:p>
        </w:tc>
      </w:tr>
      <w:tr>
        <w:tc>
          <w:tcPr>
            <w:tcW w:w="2872" w:type="dxa"/>
            <w:vAlign w:val="center"/>
          </w:tcPr>
          <w:p>
            <w:pPr>
              <w:spacing w:before="0" w:after="0"/>
              <w:jc w:val="left"/>
            </w:pPr>
            <w:r>
              <w:rPr>
                <w:sz w:val="18"/>
                <w:szCs w:val="18"/>
              </w:rPr>
              <w:t xml:space="preserve">Fenwick Crest Capital LP</w:t>
            </w:r>
          </w:p>
        </w:tc>
        <w:tc>
          <w:tcPr>
            <w:tcW w:w="2400" w:type="dxa"/>
            <w:vAlign w:val="center"/>
          </w:tcPr>
          <w:p>
            <w:pPr>
              <w:spacing w:before="0" w:after="0"/>
              <w:jc w:val="left"/>
            </w:pPr>
            <w:r>
              <w:rPr>
                <w:sz w:val="18"/>
                <w:szCs w:val="18"/>
              </w:rPr>
              <w:t xml:space="preserve">959 Station Street, Southport</w:t>
            </w:r>
          </w:p>
        </w:tc>
        <w:tc>
          <w:tcPr>
            <w:tcW w:w="1900" w:type="dxa"/>
            <w:vAlign w:val="center"/>
          </w:tcPr>
          <w:p>
            <w:pPr>
              <w:spacing w:before="0" w:after="0"/>
              <w:jc w:val="right"/>
            </w:pPr>
            <w:r>
              <w:rPr>
                <w:sz w:val="18"/>
                <w:szCs w:val="18"/>
              </w:rPr>
              <w:t xml:space="preserve">202,000</w:t>
            </w:r>
          </w:p>
        </w:tc>
        <w:tc>
          <w:tcPr>
            <w:tcW w:w="1900" w:type="dxa"/>
            <w:vAlign w:val="center"/>
          </w:tcPr>
          <w:p>
            <w:pPr>
              <w:spacing w:before="0" w:after="0"/>
              <w:jc w:val="right"/>
            </w:pPr>
            <w:r>
              <w:rPr>
                <w:sz w:val="18"/>
                <w:szCs w:val="18"/>
              </w:rPr>
              <w:t xml:space="preserve">2.06</w:t>
            </w:r>
          </w:p>
        </w:tc>
      </w:tr>
      <w:tr>
        <w:tc>
          <w:tcPr>
            <w:tcW w:w="2872" w:type="dxa"/>
            <w:vAlign w:val="center"/>
          </w:tcPr>
          <w:p>
            <w:pPr>
              <w:spacing w:before="0" w:after="0"/>
              <w:jc w:val="left"/>
            </w:pPr>
            <w:r>
              <w:rPr>
                <w:sz w:val="18"/>
                <w:szCs w:val="18"/>
              </w:rPr>
              <w:t xml:space="preserve">Hollis Brook Growth Fund LP</w:t>
            </w:r>
          </w:p>
        </w:tc>
        <w:tc>
          <w:tcPr>
            <w:tcW w:w="2400" w:type="dxa"/>
            <w:vAlign w:val="center"/>
          </w:tcPr>
          <w:p>
            <w:pPr>
              <w:spacing w:before="0" w:after="0"/>
              <w:jc w:val="left"/>
            </w:pPr>
            <w:r>
              <w:rPr>
                <w:sz w:val="18"/>
                <w:szCs w:val="18"/>
              </w:rPr>
              <w:t xml:space="preserve">803 Orchard Street, Harborview</w:t>
            </w:r>
          </w:p>
        </w:tc>
        <w:tc>
          <w:tcPr>
            <w:tcW w:w="1900" w:type="dxa"/>
            <w:vAlign w:val="center"/>
          </w:tcPr>
          <w:p>
            <w:pPr>
              <w:spacing w:before="0" w:after="0"/>
              <w:jc w:val="right"/>
            </w:pPr>
            <w:r>
              <w:rPr>
                <w:sz w:val="18"/>
                <w:szCs w:val="18"/>
              </w:rPr>
              <w:t xml:space="preserve">2,680,000</w:t>
            </w:r>
          </w:p>
        </w:tc>
        <w:tc>
          <w:tcPr>
            <w:tcW w:w="1900" w:type="dxa"/>
            <w:vAlign w:val="center"/>
          </w:tcPr>
          <w:p>
            <w:pPr>
              <w:spacing w:before="0" w:after="0"/>
              <w:jc w:val="right"/>
            </w:pPr>
            <w:r>
              <w:rPr>
                <w:sz w:val="18"/>
                <w:szCs w:val="18"/>
              </w:rPr>
              <w:t xml:space="preserve">7.71</w:t>
            </w:r>
          </w:p>
        </w:tc>
      </w:tr>
      <w:tr>
        <w:tc>
          <w:tcPr>
            <w:tcW w:w="2872" w:type="dxa"/>
            <w:vAlign w:val="center"/>
          </w:tcPr>
          <w:p>
            <w:pPr>
              <w:spacing w:before="0" w:after="0"/>
              <w:jc w:val="left"/>
            </w:pPr>
            <w:r>
              <w:rPr>
                <w:sz w:val="18"/>
                <w:szCs w:val="18"/>
              </w:rPr>
              <w:t xml:space="preserve">Dunmore Brook Holdings LLC</w:t>
            </w:r>
          </w:p>
        </w:tc>
        <w:tc>
          <w:tcPr>
            <w:tcW w:w="2400" w:type="dxa"/>
            <w:vAlign w:val="center"/>
          </w:tcPr>
          <w:p>
            <w:pPr>
              <w:spacing w:before="0" w:after="0"/>
              <w:jc w:val="left"/>
            </w:pPr>
            <w:r>
              <w:rPr>
                <w:sz w:val="18"/>
                <w:szCs w:val="18"/>
              </w:rPr>
              <w:t xml:space="preserve">546 Harbor Street, Riverside</w:t>
            </w:r>
          </w:p>
        </w:tc>
        <w:tc>
          <w:tcPr>
            <w:tcW w:w="1900" w:type="dxa"/>
            <w:vAlign w:val="center"/>
          </w:tcPr>
          <w:p>
            <w:pPr>
              <w:spacing w:before="0" w:after="0"/>
              <w:jc w:val="right"/>
            </w:pPr>
            <w:r>
              <w:rPr>
                <w:sz w:val="18"/>
                <w:szCs w:val="18"/>
              </w:rPr>
              <w:t xml:space="preserve">3,164,000</w:t>
            </w:r>
          </w:p>
        </w:tc>
        <w:tc>
          <w:tcPr>
            <w:tcW w:w="1900" w:type="dxa"/>
            <w:vAlign w:val="center"/>
          </w:tcPr>
          <w:p>
            <w:pPr>
              <w:spacing w:before="0" w:after="0"/>
              <w:jc w:val="right"/>
            </w:pPr>
            <w:r>
              <w:rPr>
                <w:sz w:val="18"/>
                <w:szCs w:val="18"/>
              </w:rPr>
              <w:t xml:space="preserve">2.05</w:t>
            </w:r>
          </w:p>
        </w:tc>
      </w:tr>
      <w:tr>
        <w:tc>
          <w:tcPr>
            <w:tcW w:w="2872" w:type="dxa"/>
            <w:vAlign w:val="center"/>
          </w:tcPr>
          <w:p>
            <w:pPr>
              <w:spacing w:before="0" w:after="0"/>
              <w:jc w:val="left"/>
            </w:pPr>
            <w:r>
              <w:rPr>
                <w:sz w:val="18"/>
                <w:szCs w:val="18"/>
              </w:rPr>
              <w:t xml:space="preserve">Cobalt Stone Family Trust</w:t>
            </w:r>
          </w:p>
        </w:tc>
        <w:tc>
          <w:tcPr>
            <w:tcW w:w="2400" w:type="dxa"/>
            <w:vAlign w:val="center"/>
          </w:tcPr>
          <w:p>
            <w:pPr>
              <w:spacing w:before="0" w:after="0"/>
              <w:jc w:val="left"/>
            </w:pPr>
            <w:r>
              <w:rPr>
                <w:sz w:val="18"/>
                <w:szCs w:val="18"/>
              </w:rPr>
              <w:t xml:space="preserve">621 Mill Street, Lakeside</w:t>
            </w:r>
          </w:p>
        </w:tc>
        <w:tc>
          <w:tcPr>
            <w:tcW w:w="1900" w:type="dxa"/>
            <w:vAlign w:val="center"/>
          </w:tcPr>
          <w:p>
            <w:pPr>
              <w:spacing w:before="0" w:after="0"/>
              <w:jc w:val="right"/>
            </w:pPr>
            <w:r>
              <w:rPr>
                <w:sz w:val="18"/>
                <w:szCs w:val="18"/>
              </w:rPr>
              <w:t xml:space="preserve">339,000</w:t>
            </w:r>
          </w:p>
        </w:tc>
        <w:tc>
          <w:tcPr>
            <w:tcW w:w="1900" w:type="dxa"/>
            <w:vAlign w:val="center"/>
          </w:tcPr>
          <w:p>
            <w:pPr>
              <w:spacing w:before="0" w:after="0"/>
              <w:jc w:val="right"/>
            </w:pPr>
            <w:r>
              <w:rPr>
                <w:sz w:val="18"/>
                <w:szCs w:val="18"/>
              </w:rPr>
              <w:t xml:space="preserve">8.63</w:t>
            </w:r>
          </w:p>
        </w:tc>
      </w:tr>
      <w:tr>
        <w:tc>
          <w:tcPr>
            <w:tcW w:w="2872" w:type="dxa"/>
            <w:vAlign w:val="center"/>
          </w:tcPr>
          <w:p>
            <w:pPr>
              <w:spacing w:before="0" w:after="0"/>
              <w:jc w:val="left"/>
            </w:pPr>
            <w:r>
              <w:rPr>
                <w:sz w:val="18"/>
                <w:szCs w:val="18"/>
              </w:rPr>
              <w:t xml:space="preserve">Bramble Crest Holdings LLC</w:t>
            </w:r>
          </w:p>
        </w:tc>
        <w:tc>
          <w:tcPr>
            <w:tcW w:w="2400" w:type="dxa"/>
            <w:vAlign w:val="center"/>
          </w:tcPr>
          <w:p>
            <w:pPr>
              <w:spacing w:before="0" w:after="0"/>
              <w:jc w:val="left"/>
            </w:pPr>
            <w:r>
              <w:rPr>
                <w:sz w:val="18"/>
                <w:szCs w:val="18"/>
              </w:rPr>
              <w:t xml:space="preserve">44 Market Street, Harborview</w:t>
            </w:r>
          </w:p>
        </w:tc>
        <w:tc>
          <w:tcPr>
            <w:tcW w:w="1900" w:type="dxa"/>
            <w:vAlign w:val="center"/>
          </w:tcPr>
          <w:p>
            <w:pPr>
              <w:spacing w:before="0" w:after="0"/>
              <w:jc w:val="right"/>
            </w:pPr>
            <w:r>
              <w:rPr>
                <w:sz w:val="18"/>
                <w:szCs w:val="18"/>
              </w:rPr>
              <w:t xml:space="preserve">217,000</w:t>
            </w:r>
          </w:p>
        </w:tc>
        <w:tc>
          <w:tcPr>
            <w:tcW w:w="1900" w:type="dxa"/>
            <w:vAlign w:val="center"/>
          </w:tcPr>
          <w:p>
            <w:pPr>
              <w:spacing w:before="0" w:after="0"/>
              <w:jc w:val="right"/>
            </w:pPr>
            <w:r>
              <w:rPr>
                <w:sz w:val="18"/>
                <w:szCs w:val="18"/>
              </w:rPr>
              <w:t xml:space="preserve">4.64</w:t>
            </w:r>
          </w:p>
        </w:tc>
      </w:tr>
      <w:tr>
        <w:tc>
          <w:tcPr>
            <w:tcW w:w="2872" w:type="dxa"/>
            <w:vAlign w:val="center"/>
          </w:tcPr>
          <w:p>
            <w:pPr>
              <w:spacing w:before="0" w:after="0"/>
              <w:jc w:val="left"/>
            </w:pPr>
            <w:r>
              <w:rPr>
                <w:sz w:val="18"/>
                <w:szCs w:val="18"/>
              </w:rPr>
              <w:t xml:space="preserve">Dunmore Ridge Capital LP</w:t>
            </w:r>
          </w:p>
        </w:tc>
        <w:tc>
          <w:tcPr>
            <w:tcW w:w="2400" w:type="dxa"/>
            <w:vAlign w:val="center"/>
          </w:tcPr>
          <w:p>
            <w:pPr>
              <w:spacing w:before="0" w:after="0"/>
              <w:jc w:val="left"/>
            </w:pPr>
            <w:r>
              <w:rPr>
                <w:sz w:val="18"/>
                <w:szCs w:val="18"/>
              </w:rPr>
              <w:t xml:space="preserve">851 Harbor Street, Eastbay</w:t>
            </w:r>
          </w:p>
        </w:tc>
        <w:tc>
          <w:tcPr>
            <w:tcW w:w="1900" w:type="dxa"/>
            <w:vAlign w:val="center"/>
          </w:tcPr>
          <w:p>
            <w:pPr>
              <w:spacing w:before="0" w:after="0"/>
              <w:jc w:val="right"/>
            </w:pPr>
            <w:r>
              <w:rPr>
                <w:sz w:val="18"/>
                <w:szCs w:val="18"/>
              </w:rPr>
              <w:t xml:space="preserve">2,986,000</w:t>
            </w:r>
          </w:p>
        </w:tc>
        <w:tc>
          <w:tcPr>
            <w:tcW w:w="1900" w:type="dxa"/>
            <w:vAlign w:val="center"/>
          </w:tcPr>
          <w:p>
            <w:pPr>
              <w:spacing w:before="0" w:after="0"/>
              <w:jc w:val="right"/>
            </w:pPr>
            <w:r>
              <w:rPr>
                <w:sz w:val="18"/>
                <w:szCs w:val="18"/>
              </w:rPr>
              <w:t xml:space="preserve">0.46</w:t>
            </w:r>
          </w:p>
        </w:tc>
      </w:tr>
      <w:tr>
        <w:tc>
          <w:tcPr>
            <w:tcW w:w="2872" w:type="dxa"/>
            <w:vAlign w:val="center"/>
          </w:tcPr>
          <w:p>
            <w:pPr>
              <w:spacing w:before="0" w:after="0"/>
              <w:jc w:val="left"/>
            </w:pPr>
            <w:r>
              <w:rPr>
                <w:sz w:val="18"/>
                <w:szCs w:val="18"/>
              </w:rPr>
              <w:t xml:space="preserve">Elkhorn Brook Partners LLC</w:t>
            </w:r>
          </w:p>
        </w:tc>
        <w:tc>
          <w:tcPr>
            <w:tcW w:w="2400" w:type="dxa"/>
            <w:vAlign w:val="center"/>
          </w:tcPr>
          <w:p>
            <w:pPr>
              <w:spacing w:before="0" w:after="0"/>
              <w:jc w:val="left"/>
            </w:pPr>
            <w:r>
              <w:rPr>
                <w:sz w:val="18"/>
                <w:szCs w:val="18"/>
              </w:rPr>
              <w:t xml:space="preserve">635 Mill Street, Harborview</w:t>
            </w:r>
          </w:p>
        </w:tc>
        <w:tc>
          <w:tcPr>
            <w:tcW w:w="1900" w:type="dxa"/>
            <w:vAlign w:val="center"/>
          </w:tcPr>
          <w:p>
            <w:pPr>
              <w:spacing w:before="0" w:after="0"/>
              <w:jc w:val="right"/>
            </w:pPr>
            <w:r>
              <w:rPr>
                <w:sz w:val="18"/>
                <w:szCs w:val="18"/>
              </w:rPr>
              <w:t xml:space="preserve">2,715,000</w:t>
            </w:r>
          </w:p>
        </w:tc>
        <w:tc>
          <w:tcPr>
            <w:tcW w:w="1900" w:type="dxa"/>
            <w:vAlign w:val="center"/>
          </w:tcPr>
          <w:p>
            <w:pPr>
              <w:spacing w:before="0" w:after="0"/>
              <w:jc w:val="right"/>
            </w:pPr>
            <w:r>
              <w:rPr>
                <w:sz w:val="18"/>
                <w:szCs w:val="18"/>
              </w:rPr>
              <w:t xml:space="preserve">8.15</w:t>
            </w:r>
          </w:p>
        </w:tc>
      </w:tr>
      <w:tr>
        <w:tc>
          <w:tcPr>
            <w:tcW w:w="2872" w:type="dxa"/>
            <w:vAlign w:val="center"/>
          </w:tcPr>
          <w:p>
            <w:pPr>
              <w:spacing w:before="0" w:after="0"/>
              <w:jc w:val="left"/>
            </w:pPr>
            <w:r>
              <w:rPr>
                <w:sz w:val="18"/>
                <w:szCs w:val="18"/>
              </w:rPr>
              <w:t xml:space="preserve">Larchmont Field Capital LP</w:t>
            </w:r>
          </w:p>
        </w:tc>
        <w:tc>
          <w:tcPr>
            <w:tcW w:w="2400" w:type="dxa"/>
            <w:vAlign w:val="center"/>
          </w:tcPr>
          <w:p>
            <w:pPr>
              <w:spacing w:before="0" w:after="0"/>
              <w:jc w:val="left"/>
            </w:pPr>
            <w:r>
              <w:rPr>
                <w:sz w:val="18"/>
                <w:szCs w:val="18"/>
              </w:rPr>
              <w:t xml:space="preserve">972 Station Street, Riverside</w:t>
            </w:r>
          </w:p>
        </w:tc>
        <w:tc>
          <w:tcPr>
            <w:tcW w:w="1900" w:type="dxa"/>
            <w:vAlign w:val="center"/>
          </w:tcPr>
          <w:p>
            <w:pPr>
              <w:spacing w:before="0" w:after="0"/>
              <w:jc w:val="right"/>
            </w:pPr>
            <w:r>
              <w:rPr>
                <w:sz w:val="18"/>
                <w:szCs w:val="18"/>
              </w:rPr>
              <w:t xml:space="preserve">1,723,000</w:t>
            </w:r>
          </w:p>
        </w:tc>
        <w:tc>
          <w:tcPr>
            <w:tcW w:w="1900" w:type="dxa"/>
            <w:vAlign w:val="center"/>
          </w:tcPr>
          <w:p>
            <w:pPr>
              <w:spacing w:before="0" w:after="0"/>
              <w:jc w:val="right"/>
            </w:pPr>
            <w:r>
              <w:rPr>
                <w:sz w:val="18"/>
                <w:szCs w:val="18"/>
              </w:rPr>
              <w:t xml:space="preserve">5.59</w:t>
            </w:r>
          </w:p>
        </w:tc>
      </w:tr>
      <w:tr>
        <w:tc>
          <w:tcPr>
            <w:tcW w:w="2872" w:type="dxa"/>
            <w:vAlign w:val="center"/>
          </w:tcPr>
          <w:p>
            <w:pPr>
              <w:spacing w:before="0" w:after="0"/>
              <w:jc w:val="left"/>
            </w:pPr>
            <w:r>
              <w:rPr>
                <w:sz w:val="18"/>
                <w:szCs w:val="18"/>
              </w:rPr>
              <w:t xml:space="preserve">Larchmont Bay Investments LP</w:t>
            </w:r>
          </w:p>
        </w:tc>
        <w:tc>
          <w:tcPr>
            <w:tcW w:w="2400" w:type="dxa"/>
            <w:vAlign w:val="center"/>
          </w:tcPr>
          <w:p>
            <w:pPr>
              <w:spacing w:before="0" w:after="0"/>
              <w:jc w:val="left"/>
            </w:pPr>
            <w:r>
              <w:rPr>
                <w:sz w:val="18"/>
                <w:szCs w:val="18"/>
              </w:rPr>
              <w:t xml:space="preserve">132 Station Street, Riverside</w:t>
            </w:r>
          </w:p>
        </w:tc>
        <w:tc>
          <w:tcPr>
            <w:tcW w:w="1900" w:type="dxa"/>
            <w:vAlign w:val="center"/>
          </w:tcPr>
          <w:p>
            <w:pPr>
              <w:spacing w:before="0" w:after="0"/>
              <w:jc w:val="right"/>
            </w:pPr>
            <w:r>
              <w:rPr>
                <w:sz w:val="18"/>
                <w:szCs w:val="18"/>
              </w:rPr>
              <w:t xml:space="preserve">3,009,000</w:t>
            </w:r>
          </w:p>
        </w:tc>
        <w:tc>
          <w:tcPr>
            <w:tcW w:w="1900" w:type="dxa"/>
            <w:vAlign w:val="center"/>
          </w:tcPr>
          <w:p>
            <w:pPr>
              <w:spacing w:before="0" w:after="0"/>
              <w:jc w:val="right"/>
            </w:pPr>
            <w:r>
              <w:rPr>
                <w:sz w:val="18"/>
                <w:szCs w:val="18"/>
              </w:rPr>
              <w:t xml:space="preserve">1.25</w:t>
            </w:r>
          </w:p>
        </w:tc>
      </w:tr>
      <w:tr>
        <w:tc>
          <w:tcPr>
            <w:tcW w:w="2872" w:type="dxa"/>
            <w:vAlign w:val="center"/>
          </w:tcPr>
          <w:p>
            <w:pPr>
              <w:spacing w:before="0" w:after="0"/>
              <w:jc w:val="left"/>
            </w:pPr>
            <w:r>
              <w:rPr>
                <w:sz w:val="18"/>
                <w:szCs w:val="18"/>
              </w:rPr>
              <w:t xml:space="preserve">Kestrel Crest Investments LP</w:t>
            </w:r>
          </w:p>
        </w:tc>
        <w:tc>
          <w:tcPr>
            <w:tcW w:w="2400" w:type="dxa"/>
            <w:vAlign w:val="center"/>
          </w:tcPr>
          <w:p>
            <w:pPr>
              <w:spacing w:before="0" w:after="0"/>
              <w:jc w:val="left"/>
            </w:pPr>
            <w:r>
              <w:rPr>
                <w:sz w:val="18"/>
                <w:szCs w:val="18"/>
              </w:rPr>
              <w:t xml:space="preserve">980 Mill Street, Riverside</w:t>
            </w:r>
          </w:p>
        </w:tc>
        <w:tc>
          <w:tcPr>
            <w:tcW w:w="1900" w:type="dxa"/>
            <w:vAlign w:val="center"/>
          </w:tcPr>
          <w:p>
            <w:pPr>
              <w:spacing w:before="0" w:after="0"/>
              <w:jc w:val="right"/>
            </w:pPr>
            <w:r>
              <w:rPr>
                <w:sz w:val="18"/>
                <w:szCs w:val="18"/>
              </w:rPr>
              <w:t xml:space="preserve">37,000</w:t>
            </w:r>
          </w:p>
        </w:tc>
        <w:tc>
          <w:tcPr>
            <w:tcW w:w="1900" w:type="dxa"/>
            <w:vAlign w:val="center"/>
          </w:tcPr>
          <w:p>
            <w:pPr>
              <w:spacing w:before="0" w:after="0"/>
              <w:jc w:val="right"/>
            </w:pPr>
            <w:r>
              <w:rPr>
                <w:sz w:val="18"/>
                <w:szCs w:val="18"/>
              </w:rPr>
              <w:t xml:space="preserve">10.07</w:t>
            </w:r>
          </w:p>
        </w:tc>
      </w:tr>
      <w:tr>
        <w:tc>
          <w:tcPr>
            <w:tcW w:w="2872" w:type="dxa"/>
            <w:vAlign w:val="center"/>
          </w:tcPr>
          <w:p>
            <w:pPr>
              <w:spacing w:before="0" w:after="0"/>
              <w:jc w:val="left"/>
            </w:pPr>
            <w:r>
              <w:rPr>
                <w:sz w:val="18"/>
                <w:szCs w:val="18"/>
              </w:rPr>
              <w:t xml:space="preserve">Bramble Brook Investments LP</w:t>
            </w:r>
          </w:p>
        </w:tc>
        <w:tc>
          <w:tcPr>
            <w:tcW w:w="2400" w:type="dxa"/>
            <w:vAlign w:val="center"/>
          </w:tcPr>
          <w:p>
            <w:pPr>
              <w:spacing w:before="0" w:after="0"/>
              <w:jc w:val="left"/>
            </w:pPr>
            <w:r>
              <w:rPr>
                <w:sz w:val="18"/>
                <w:szCs w:val="18"/>
              </w:rPr>
              <w:t xml:space="preserve">42 Station Street, Eastbay</w:t>
            </w:r>
          </w:p>
        </w:tc>
        <w:tc>
          <w:tcPr>
            <w:tcW w:w="1900" w:type="dxa"/>
            <w:vAlign w:val="center"/>
          </w:tcPr>
          <w:p>
            <w:pPr>
              <w:spacing w:before="0" w:after="0"/>
              <w:jc w:val="right"/>
            </w:pPr>
            <w:r>
              <w:rPr>
                <w:sz w:val="18"/>
                <w:szCs w:val="18"/>
              </w:rPr>
              <w:t xml:space="preserve">2,423,000</w:t>
            </w:r>
          </w:p>
        </w:tc>
        <w:tc>
          <w:tcPr>
            <w:tcW w:w="1900" w:type="dxa"/>
            <w:vAlign w:val="center"/>
          </w:tcPr>
          <w:p>
            <w:pPr>
              <w:spacing w:before="0" w:after="0"/>
              <w:jc w:val="right"/>
            </w:pPr>
            <w:r>
              <w:rPr>
                <w:sz w:val="18"/>
                <w:szCs w:val="18"/>
              </w:rPr>
              <w:t xml:space="preserve">5.90</w:t>
            </w:r>
          </w:p>
        </w:tc>
      </w:tr>
      <w:tr>
        <w:tc>
          <w:tcPr>
            <w:tcW w:w="2872" w:type="dxa"/>
            <w:vAlign w:val="center"/>
          </w:tcPr>
          <w:p>
            <w:pPr>
              <w:spacing w:before="0" w:after="0"/>
              <w:jc w:val="left"/>
            </w:pPr>
            <w:r>
              <w:rPr>
                <w:sz w:val="18"/>
                <w:szCs w:val="18"/>
              </w:rPr>
              <w:t xml:space="preserve">Hollis Ridge Holdings LLC</w:t>
            </w:r>
          </w:p>
        </w:tc>
        <w:tc>
          <w:tcPr>
            <w:tcW w:w="2400" w:type="dxa"/>
            <w:vAlign w:val="center"/>
          </w:tcPr>
          <w:p>
            <w:pPr>
              <w:spacing w:before="0" w:after="0"/>
              <w:jc w:val="left"/>
            </w:pPr>
            <w:r>
              <w:rPr>
                <w:sz w:val="18"/>
                <w:szCs w:val="18"/>
              </w:rPr>
              <w:t xml:space="preserve">62 Chapel Street, Hillcrest</w:t>
            </w:r>
          </w:p>
        </w:tc>
        <w:tc>
          <w:tcPr>
            <w:tcW w:w="1900" w:type="dxa"/>
            <w:vAlign w:val="center"/>
          </w:tcPr>
          <w:p>
            <w:pPr>
              <w:spacing w:before="0" w:after="0"/>
              <w:jc w:val="right"/>
            </w:pPr>
            <w:r>
              <w:rPr>
                <w:sz w:val="18"/>
                <w:szCs w:val="18"/>
              </w:rPr>
              <w:t xml:space="preserve">377,000</w:t>
            </w:r>
          </w:p>
        </w:tc>
        <w:tc>
          <w:tcPr>
            <w:tcW w:w="1900" w:type="dxa"/>
            <w:vAlign w:val="center"/>
          </w:tcPr>
          <w:p>
            <w:pPr>
              <w:spacing w:before="0" w:after="0"/>
              <w:jc w:val="right"/>
            </w:pPr>
            <w:r>
              <w:rPr>
                <w:sz w:val="18"/>
                <w:szCs w:val="18"/>
              </w:rPr>
              <w:t xml:space="preserve">1.45</w:t>
            </w:r>
          </w:p>
        </w:tc>
      </w:tr>
      <w:tr>
        <w:tc>
          <w:tcPr>
            <w:tcW w:w="2872" w:type="dxa"/>
            <w:vAlign w:val="center"/>
          </w:tcPr>
          <w:p>
            <w:pPr>
              <w:spacing w:before="0" w:after="0"/>
              <w:jc w:val="left"/>
            </w:pPr>
            <w:r>
              <w:rPr>
                <w:sz w:val="18"/>
                <w:szCs w:val="18"/>
              </w:rPr>
              <w:t xml:space="preserve">Cobalt Ridge Holdings LLC</w:t>
            </w:r>
          </w:p>
        </w:tc>
        <w:tc>
          <w:tcPr>
            <w:tcW w:w="2400" w:type="dxa"/>
            <w:vAlign w:val="center"/>
          </w:tcPr>
          <w:p>
            <w:pPr>
              <w:spacing w:before="0" w:after="0"/>
              <w:jc w:val="left"/>
            </w:pPr>
            <w:r>
              <w:rPr>
                <w:sz w:val="18"/>
                <w:szCs w:val="18"/>
              </w:rPr>
              <w:t xml:space="preserve">338 Station Street, Southport</w:t>
            </w:r>
          </w:p>
        </w:tc>
        <w:tc>
          <w:tcPr>
            <w:tcW w:w="1900" w:type="dxa"/>
            <w:vAlign w:val="center"/>
          </w:tcPr>
          <w:p>
            <w:pPr>
              <w:spacing w:before="0" w:after="0"/>
              <w:jc w:val="right"/>
            </w:pPr>
            <w:r>
              <w:rPr>
                <w:sz w:val="18"/>
                <w:szCs w:val="18"/>
              </w:rPr>
              <w:t xml:space="preserve">2,459,000</w:t>
            </w:r>
          </w:p>
        </w:tc>
        <w:tc>
          <w:tcPr>
            <w:tcW w:w="1900" w:type="dxa"/>
            <w:vAlign w:val="center"/>
          </w:tcPr>
          <w:p>
            <w:pPr>
              <w:spacing w:before="0" w:after="0"/>
              <w:jc w:val="right"/>
            </w:pPr>
            <w:r>
              <w:rPr>
                <w:sz w:val="18"/>
                <w:szCs w:val="18"/>
              </w:rPr>
              <w:t xml:space="preserve">9.75</w:t>
            </w:r>
          </w:p>
        </w:tc>
      </w:tr>
      <w:tr>
        <w:tc>
          <w:tcPr>
            <w:tcW w:w="2872" w:type="dxa"/>
            <w:vAlign w:val="center"/>
          </w:tcPr>
          <w:p>
            <w:pPr>
              <w:spacing w:before="0" w:after="0"/>
              <w:jc w:val="left"/>
            </w:pPr>
            <w:r>
              <w:rPr>
                <w:sz w:val="18"/>
                <w:szCs w:val="18"/>
              </w:rPr>
              <w:t xml:space="preserve">Cobalt Brook Holdings LLC</w:t>
            </w:r>
          </w:p>
        </w:tc>
        <w:tc>
          <w:tcPr>
            <w:tcW w:w="2400" w:type="dxa"/>
            <w:vAlign w:val="center"/>
          </w:tcPr>
          <w:p>
            <w:pPr>
              <w:spacing w:before="0" w:after="0"/>
              <w:jc w:val="left"/>
            </w:pPr>
            <w:r>
              <w:rPr>
                <w:sz w:val="18"/>
                <w:szCs w:val="18"/>
              </w:rPr>
              <w:t xml:space="preserve">970 Chapel Street, Lakeside</w:t>
            </w:r>
          </w:p>
        </w:tc>
        <w:tc>
          <w:tcPr>
            <w:tcW w:w="1900" w:type="dxa"/>
            <w:vAlign w:val="center"/>
          </w:tcPr>
          <w:p>
            <w:pPr>
              <w:spacing w:before="0" w:after="0"/>
              <w:jc w:val="right"/>
            </w:pPr>
            <w:r>
              <w:rPr>
                <w:sz w:val="18"/>
                <w:szCs w:val="18"/>
              </w:rPr>
              <w:t xml:space="preserve">4,624,000</w:t>
            </w:r>
          </w:p>
        </w:tc>
        <w:tc>
          <w:tcPr>
            <w:tcW w:w="1900" w:type="dxa"/>
            <w:vAlign w:val="center"/>
          </w:tcPr>
          <w:p>
            <w:pPr>
              <w:spacing w:before="0" w:after="0"/>
              <w:jc w:val="right"/>
            </w:pPr>
            <w:r>
              <w:rPr>
                <w:sz w:val="18"/>
                <w:szCs w:val="18"/>
              </w:rPr>
              <w:t xml:space="preserve">8.85</w:t>
            </w:r>
          </w:p>
        </w:tc>
      </w:tr>
      <w:tr>
        <w:tc>
          <w:tcPr>
            <w:tcW w:w="2872" w:type="dxa"/>
            <w:vAlign w:val="center"/>
          </w:tcPr>
          <w:p>
            <w:pPr>
              <w:spacing w:before="0" w:after="0"/>
              <w:jc w:val="left"/>
            </w:pPr>
            <w:r>
              <w:rPr>
                <w:sz w:val="18"/>
                <w:szCs w:val="18"/>
              </w:rPr>
              <w:t xml:space="preserve">Bramble Hollow Partners LLC</w:t>
            </w:r>
          </w:p>
        </w:tc>
        <w:tc>
          <w:tcPr>
            <w:tcW w:w="2400" w:type="dxa"/>
            <w:vAlign w:val="center"/>
          </w:tcPr>
          <w:p>
            <w:pPr>
              <w:spacing w:before="0" w:after="0"/>
              <w:jc w:val="left"/>
            </w:pPr>
            <w:r>
              <w:rPr>
                <w:sz w:val="18"/>
                <w:szCs w:val="18"/>
              </w:rPr>
              <w:t xml:space="preserve">323 Market Street, Hillcrest</w:t>
            </w:r>
          </w:p>
        </w:tc>
        <w:tc>
          <w:tcPr>
            <w:tcW w:w="1900" w:type="dxa"/>
            <w:vAlign w:val="center"/>
          </w:tcPr>
          <w:p>
            <w:pPr>
              <w:spacing w:before="0" w:after="0"/>
              <w:jc w:val="right"/>
            </w:pPr>
            <w:r>
              <w:rPr>
                <w:sz w:val="18"/>
                <w:szCs w:val="18"/>
              </w:rPr>
              <w:t xml:space="preserve">56,000</w:t>
            </w:r>
          </w:p>
        </w:tc>
        <w:tc>
          <w:tcPr>
            <w:tcW w:w="1900" w:type="dxa"/>
            <w:vAlign w:val="center"/>
          </w:tcPr>
          <w:p>
            <w:pPr>
              <w:spacing w:before="0" w:after="0"/>
              <w:jc w:val="right"/>
            </w:pPr>
            <w:r>
              <w:rPr>
                <w:sz w:val="18"/>
                <w:szCs w:val="18"/>
              </w:rPr>
              <w:t xml:space="preserve">5.54</w:t>
            </w:r>
          </w:p>
        </w:tc>
      </w:tr>
      <w:tr>
        <w:tc>
          <w:tcPr>
            <w:tcW w:w="2872" w:type="dxa"/>
            <w:vAlign w:val="center"/>
          </w:tcPr>
          <w:p>
            <w:pPr>
              <w:spacing w:before="0" w:after="0"/>
              <w:jc w:val="left"/>
            </w:pPr>
            <w:r>
              <w:rPr>
                <w:sz w:val="18"/>
                <w:szCs w:val="18"/>
              </w:rPr>
              <w:t xml:space="preserve">Cobalt Field Holdings LLC</w:t>
            </w:r>
          </w:p>
        </w:tc>
        <w:tc>
          <w:tcPr>
            <w:tcW w:w="2400" w:type="dxa"/>
            <w:vAlign w:val="center"/>
          </w:tcPr>
          <w:p>
            <w:pPr>
              <w:spacing w:before="0" w:after="0"/>
              <w:jc w:val="left"/>
            </w:pPr>
            <w:r>
              <w:rPr>
                <w:sz w:val="18"/>
                <w:szCs w:val="18"/>
              </w:rPr>
              <w:t xml:space="preserve">608 Orchard Street, Harborview</w:t>
            </w:r>
          </w:p>
        </w:tc>
        <w:tc>
          <w:tcPr>
            <w:tcW w:w="1900" w:type="dxa"/>
            <w:vAlign w:val="center"/>
          </w:tcPr>
          <w:p>
            <w:pPr>
              <w:spacing w:before="0" w:after="0"/>
              <w:jc w:val="right"/>
            </w:pPr>
            <w:r>
              <w:rPr>
                <w:sz w:val="18"/>
                <w:szCs w:val="18"/>
              </w:rPr>
              <w:t xml:space="preserve">1,193,000</w:t>
            </w:r>
          </w:p>
        </w:tc>
        <w:tc>
          <w:tcPr>
            <w:tcW w:w="1900" w:type="dxa"/>
            <w:vAlign w:val="center"/>
          </w:tcPr>
          <w:p>
            <w:pPr>
              <w:spacing w:before="0" w:after="0"/>
              <w:jc w:val="right"/>
            </w:pPr>
            <w:r>
              <w:rPr>
                <w:sz w:val="18"/>
                <w:szCs w:val="18"/>
              </w:rPr>
              <w:t xml:space="preserve">1.44</w:t>
            </w:r>
          </w:p>
        </w:tc>
      </w:tr>
      <w:tr>
        <w:tc>
          <w:tcPr>
            <w:tcW w:w="2872" w:type="dxa"/>
            <w:vAlign w:val="center"/>
          </w:tcPr>
          <w:p>
            <w:pPr>
              <w:spacing w:before="0" w:after="0"/>
              <w:jc w:val="left"/>
            </w:pPr>
            <w:r>
              <w:rPr>
                <w:sz w:val="18"/>
                <w:szCs w:val="18"/>
              </w:rPr>
              <w:t xml:space="preserve">Hollis Hollow Partners LLC</w:t>
            </w:r>
          </w:p>
        </w:tc>
        <w:tc>
          <w:tcPr>
            <w:tcW w:w="2400" w:type="dxa"/>
            <w:vAlign w:val="center"/>
          </w:tcPr>
          <w:p>
            <w:pPr>
              <w:spacing w:before="0" w:after="0"/>
              <w:jc w:val="left"/>
            </w:pPr>
            <w:r>
              <w:rPr>
                <w:sz w:val="18"/>
                <w:szCs w:val="18"/>
              </w:rPr>
              <w:t xml:space="preserve">947 Orchard Street, Southport</w:t>
            </w:r>
          </w:p>
        </w:tc>
        <w:tc>
          <w:tcPr>
            <w:tcW w:w="1900" w:type="dxa"/>
            <w:vAlign w:val="center"/>
          </w:tcPr>
          <w:p>
            <w:pPr>
              <w:spacing w:before="0" w:after="0"/>
              <w:jc w:val="right"/>
            </w:pPr>
            <w:r>
              <w:rPr>
                <w:sz w:val="18"/>
                <w:szCs w:val="18"/>
              </w:rPr>
              <w:t xml:space="preserve">1,578,000</w:t>
            </w:r>
          </w:p>
        </w:tc>
        <w:tc>
          <w:tcPr>
            <w:tcW w:w="1900" w:type="dxa"/>
            <w:vAlign w:val="center"/>
          </w:tcPr>
          <w:p>
            <w:pPr>
              <w:spacing w:before="0" w:after="0"/>
              <w:jc w:val="right"/>
            </w:pPr>
            <w:r>
              <w:rPr>
                <w:sz w:val="18"/>
                <w:szCs w:val="18"/>
              </w:rPr>
              <w:t xml:space="preserve">10.81</w:t>
            </w:r>
          </w:p>
        </w:tc>
      </w:tr>
      <w:tr>
        <w:tc>
          <w:tcPr>
            <w:tcW w:w="2872" w:type="dxa"/>
            <w:vAlign w:val="center"/>
          </w:tcPr>
          <w:p>
            <w:pPr>
              <w:spacing w:before="0" w:after="0"/>
              <w:jc w:val="left"/>
            </w:pPr>
            <w:r>
              <w:rPr>
                <w:sz w:val="18"/>
                <w:szCs w:val="18"/>
              </w:rPr>
              <w:t xml:space="preserve">Cobalt Brook Family Trust</w:t>
            </w:r>
          </w:p>
        </w:tc>
        <w:tc>
          <w:tcPr>
            <w:tcW w:w="2400" w:type="dxa"/>
            <w:vAlign w:val="center"/>
          </w:tcPr>
          <w:p>
            <w:pPr>
              <w:spacing w:before="0" w:after="0"/>
              <w:jc w:val="left"/>
            </w:pPr>
            <w:r>
              <w:rPr>
                <w:sz w:val="18"/>
                <w:szCs w:val="18"/>
              </w:rPr>
              <w:t xml:space="preserve">832 Harbor Street, Northfield</w:t>
            </w:r>
          </w:p>
        </w:tc>
        <w:tc>
          <w:tcPr>
            <w:tcW w:w="1900" w:type="dxa"/>
            <w:vAlign w:val="center"/>
          </w:tcPr>
          <w:p>
            <w:pPr>
              <w:spacing w:before="0" w:after="0"/>
              <w:jc w:val="right"/>
            </w:pPr>
            <w:r>
              <w:rPr>
                <w:sz w:val="18"/>
                <w:szCs w:val="18"/>
              </w:rPr>
              <w:t xml:space="preserve">1,494,000</w:t>
            </w:r>
          </w:p>
        </w:tc>
        <w:tc>
          <w:tcPr>
            <w:tcW w:w="1900" w:type="dxa"/>
            <w:vAlign w:val="center"/>
          </w:tcPr>
          <w:p>
            <w:pPr>
              <w:spacing w:before="0" w:after="0"/>
              <w:jc w:val="right"/>
            </w:pPr>
            <w:r>
              <w:rPr>
                <w:sz w:val="18"/>
                <w:szCs w:val="18"/>
              </w:rPr>
              <w:t xml:space="preserve">0.70</w:t>
            </w:r>
          </w:p>
        </w:tc>
      </w:tr>
      <w:tr>
        <w:tc>
          <w:tcPr>
            <w:tcW w:w="2872" w:type="dxa"/>
            <w:vAlign w:val="center"/>
          </w:tcPr>
          <w:p>
            <w:pPr>
              <w:spacing w:before="0" w:after="0"/>
              <w:jc w:val="left"/>
            </w:pPr>
            <w:r>
              <w:rPr>
                <w:sz w:val="18"/>
                <w:szCs w:val="18"/>
              </w:rPr>
              <w:t xml:space="preserve">Glenhaven Field Growth Fund LP</w:t>
            </w:r>
          </w:p>
        </w:tc>
        <w:tc>
          <w:tcPr>
            <w:tcW w:w="2400" w:type="dxa"/>
            <w:vAlign w:val="center"/>
          </w:tcPr>
          <w:p>
            <w:pPr>
              <w:spacing w:before="0" w:after="0"/>
              <w:jc w:val="left"/>
            </w:pPr>
            <w:r>
              <w:rPr>
                <w:sz w:val="18"/>
                <w:szCs w:val="18"/>
              </w:rPr>
              <w:t xml:space="preserve">690 Market Street, Northfield</w:t>
            </w:r>
          </w:p>
        </w:tc>
        <w:tc>
          <w:tcPr>
            <w:tcW w:w="1900" w:type="dxa"/>
            <w:vAlign w:val="center"/>
          </w:tcPr>
          <w:p>
            <w:pPr>
              <w:spacing w:before="0" w:after="0"/>
              <w:jc w:val="right"/>
            </w:pPr>
            <w:r>
              <w:rPr>
                <w:sz w:val="18"/>
                <w:szCs w:val="18"/>
              </w:rPr>
              <w:t xml:space="preserve">3,982,000</w:t>
            </w:r>
          </w:p>
        </w:tc>
        <w:tc>
          <w:tcPr>
            <w:tcW w:w="1900" w:type="dxa"/>
            <w:vAlign w:val="center"/>
          </w:tcPr>
          <w:p>
            <w:pPr>
              <w:spacing w:before="0" w:after="0"/>
              <w:jc w:val="right"/>
            </w:pPr>
            <w:r>
              <w:rPr>
                <w:sz w:val="18"/>
                <w:szCs w:val="18"/>
              </w:rPr>
              <w:t xml:space="preserve">9.26</w:t>
            </w:r>
          </w:p>
        </w:tc>
      </w:tr>
      <w:tr>
        <w:tc>
          <w:tcPr>
            <w:tcW w:w="2872" w:type="dxa"/>
            <w:vAlign w:val="center"/>
          </w:tcPr>
          <w:p>
            <w:pPr>
              <w:spacing w:before="0" w:after="0"/>
              <w:jc w:val="left"/>
            </w:pPr>
            <w:r>
              <w:rPr>
                <w:sz w:val="18"/>
                <w:szCs w:val="18"/>
              </w:rPr>
              <w:t xml:space="preserve">Hollis Bay Investments LP</w:t>
            </w:r>
          </w:p>
        </w:tc>
        <w:tc>
          <w:tcPr>
            <w:tcW w:w="2400" w:type="dxa"/>
            <w:vAlign w:val="center"/>
          </w:tcPr>
          <w:p>
            <w:pPr>
              <w:spacing w:before="0" w:after="0"/>
              <w:jc w:val="left"/>
            </w:pPr>
            <w:r>
              <w:rPr>
                <w:sz w:val="18"/>
                <w:szCs w:val="18"/>
              </w:rPr>
              <w:t xml:space="preserve">188 Orchard Street, Southport</w:t>
            </w:r>
          </w:p>
        </w:tc>
        <w:tc>
          <w:tcPr>
            <w:tcW w:w="1900" w:type="dxa"/>
            <w:vAlign w:val="center"/>
          </w:tcPr>
          <w:p>
            <w:pPr>
              <w:spacing w:before="0" w:after="0"/>
              <w:jc w:val="right"/>
            </w:pPr>
            <w:r>
              <w:rPr>
                <w:sz w:val="18"/>
                <w:szCs w:val="18"/>
              </w:rPr>
              <w:t xml:space="preserve">2,969,000</w:t>
            </w:r>
          </w:p>
        </w:tc>
        <w:tc>
          <w:tcPr>
            <w:tcW w:w="1900" w:type="dxa"/>
            <w:vAlign w:val="center"/>
          </w:tcPr>
          <w:p>
            <w:pPr>
              <w:spacing w:before="0" w:after="0"/>
              <w:jc w:val="right"/>
            </w:pPr>
            <w:r>
              <w:rPr>
                <w:sz w:val="18"/>
                <w:szCs w:val="18"/>
              </w:rPr>
              <w:t xml:space="preserve">3.46</w:t>
            </w:r>
          </w:p>
        </w:tc>
      </w:tr>
      <w:tr>
        <w:tc>
          <w:tcPr>
            <w:tcW w:w="2872" w:type="dxa"/>
            <w:vAlign w:val="center"/>
          </w:tcPr>
          <w:p>
            <w:pPr>
              <w:spacing w:before="0" w:after="0"/>
              <w:jc w:val="left"/>
            </w:pPr>
            <w:r>
              <w:rPr>
                <w:sz w:val="18"/>
                <w:szCs w:val="18"/>
              </w:rPr>
              <w:t xml:space="preserve">Kestrel Hollow Investments LP</w:t>
            </w:r>
          </w:p>
        </w:tc>
        <w:tc>
          <w:tcPr>
            <w:tcW w:w="2400" w:type="dxa"/>
            <w:vAlign w:val="center"/>
          </w:tcPr>
          <w:p>
            <w:pPr>
              <w:spacing w:before="0" w:after="0"/>
              <w:jc w:val="left"/>
            </w:pPr>
            <w:r>
              <w:rPr>
                <w:sz w:val="18"/>
                <w:szCs w:val="18"/>
              </w:rPr>
              <w:t xml:space="preserve">429 Station Street, Lakeside</w:t>
            </w:r>
          </w:p>
        </w:tc>
        <w:tc>
          <w:tcPr>
            <w:tcW w:w="1900" w:type="dxa"/>
            <w:vAlign w:val="center"/>
          </w:tcPr>
          <w:p>
            <w:pPr>
              <w:spacing w:before="0" w:after="0"/>
              <w:jc w:val="right"/>
            </w:pPr>
            <w:r>
              <w:rPr>
                <w:sz w:val="18"/>
                <w:szCs w:val="18"/>
              </w:rPr>
              <w:t xml:space="preserve">3,064,000</w:t>
            </w:r>
          </w:p>
        </w:tc>
        <w:tc>
          <w:tcPr>
            <w:tcW w:w="1900" w:type="dxa"/>
            <w:vAlign w:val="center"/>
          </w:tcPr>
          <w:p>
            <w:pPr>
              <w:spacing w:before="0" w:after="0"/>
              <w:jc w:val="right"/>
            </w:pPr>
            <w:r>
              <w:rPr>
                <w:sz w:val="18"/>
                <w:szCs w:val="18"/>
              </w:rPr>
              <w:t xml:space="preserve">0.92</w:t>
            </w:r>
          </w:p>
        </w:tc>
      </w:tr>
      <w:tr>
        <w:tc>
          <w:tcPr>
            <w:tcW w:w="2872" w:type="dxa"/>
            <w:vAlign w:val="center"/>
          </w:tcPr>
          <w:p>
            <w:pPr>
              <w:spacing w:before="0" w:after="0"/>
              <w:jc w:val="left"/>
            </w:pPr>
            <w:r>
              <w:rPr>
                <w:sz w:val="18"/>
                <w:szCs w:val="18"/>
              </w:rPr>
              <w:t xml:space="preserve">Fenwick Brook Family Trust</w:t>
            </w:r>
          </w:p>
        </w:tc>
        <w:tc>
          <w:tcPr>
            <w:tcW w:w="2400" w:type="dxa"/>
            <w:vAlign w:val="center"/>
          </w:tcPr>
          <w:p>
            <w:pPr>
              <w:spacing w:before="0" w:after="0"/>
              <w:jc w:val="left"/>
            </w:pPr>
            <w:r>
              <w:rPr>
                <w:sz w:val="18"/>
                <w:szCs w:val="18"/>
              </w:rPr>
              <w:t xml:space="preserve">830 Station Street, Riverside</w:t>
            </w:r>
          </w:p>
        </w:tc>
        <w:tc>
          <w:tcPr>
            <w:tcW w:w="1900" w:type="dxa"/>
            <w:vAlign w:val="center"/>
          </w:tcPr>
          <w:p>
            <w:pPr>
              <w:spacing w:before="0" w:after="0"/>
              <w:jc w:val="right"/>
            </w:pPr>
            <w:r>
              <w:rPr>
                <w:sz w:val="18"/>
                <w:szCs w:val="18"/>
              </w:rPr>
              <w:t xml:space="preserve">1,343,000</w:t>
            </w:r>
          </w:p>
        </w:tc>
        <w:tc>
          <w:tcPr>
            <w:tcW w:w="1900" w:type="dxa"/>
            <w:vAlign w:val="center"/>
          </w:tcPr>
          <w:p>
            <w:pPr>
              <w:spacing w:before="0" w:after="0"/>
              <w:jc w:val="right"/>
            </w:pPr>
            <w:r>
              <w:rPr>
                <w:sz w:val="18"/>
                <w:szCs w:val="18"/>
              </w:rPr>
              <w:t xml:space="preserve">8.05</w:t>
            </w:r>
          </w:p>
        </w:tc>
      </w:tr>
      <w:tr>
        <w:tc>
          <w:tcPr>
            <w:tcW w:w="2872" w:type="dxa"/>
            <w:vAlign w:val="center"/>
          </w:tcPr>
          <w:p>
            <w:pPr>
              <w:spacing w:before="0" w:after="0"/>
              <w:jc w:val="left"/>
            </w:pPr>
            <w:r>
              <w:rPr>
                <w:sz w:val="18"/>
                <w:szCs w:val="18"/>
              </w:rPr>
              <w:t xml:space="preserve">Cobalt Hollow Capital LP</w:t>
            </w:r>
          </w:p>
        </w:tc>
        <w:tc>
          <w:tcPr>
            <w:tcW w:w="2400" w:type="dxa"/>
            <w:vAlign w:val="center"/>
          </w:tcPr>
          <w:p>
            <w:pPr>
              <w:spacing w:before="0" w:after="0"/>
              <w:jc w:val="left"/>
            </w:pPr>
            <w:r>
              <w:rPr>
                <w:sz w:val="18"/>
                <w:szCs w:val="18"/>
              </w:rPr>
              <w:t xml:space="preserve">275 Harbor Street, Southport</w:t>
            </w:r>
          </w:p>
        </w:tc>
        <w:tc>
          <w:tcPr>
            <w:tcW w:w="1900" w:type="dxa"/>
            <w:vAlign w:val="center"/>
          </w:tcPr>
          <w:p>
            <w:pPr>
              <w:spacing w:before="0" w:after="0"/>
              <w:jc w:val="right"/>
            </w:pPr>
            <w:r>
              <w:rPr>
                <w:sz w:val="18"/>
                <w:szCs w:val="18"/>
              </w:rPr>
              <w:t xml:space="preserve">1,184,000</w:t>
            </w:r>
          </w:p>
        </w:tc>
        <w:tc>
          <w:tcPr>
            <w:tcW w:w="1900" w:type="dxa"/>
            <w:vAlign w:val="center"/>
          </w:tcPr>
          <w:p>
            <w:pPr>
              <w:spacing w:before="0" w:after="0"/>
              <w:jc w:val="right"/>
            </w:pPr>
            <w:r>
              <w:rPr>
                <w:sz w:val="18"/>
                <w:szCs w:val="18"/>
              </w:rPr>
              <w:t xml:space="preserve">6.41</w:t>
            </w:r>
          </w:p>
        </w:tc>
      </w:tr>
      <w:tr>
        <w:tc>
          <w:tcPr>
            <w:tcW w:w="2872" w:type="dxa"/>
            <w:vAlign w:val="center"/>
          </w:tcPr>
          <w:p>
            <w:pPr>
              <w:spacing w:before="0" w:after="0"/>
              <w:jc w:val="left"/>
            </w:pPr>
            <w:r>
              <w:rPr>
                <w:sz w:val="18"/>
                <w:szCs w:val="18"/>
              </w:rPr>
              <w:t xml:space="preserve">Fenwick Ridge Growth Fund LP</w:t>
            </w:r>
          </w:p>
        </w:tc>
        <w:tc>
          <w:tcPr>
            <w:tcW w:w="2400" w:type="dxa"/>
            <w:vAlign w:val="center"/>
          </w:tcPr>
          <w:p>
            <w:pPr>
              <w:spacing w:before="0" w:after="0"/>
              <w:jc w:val="left"/>
            </w:pPr>
            <w:r>
              <w:rPr>
                <w:sz w:val="18"/>
                <w:szCs w:val="18"/>
              </w:rPr>
              <w:t xml:space="preserve">290 Harbor Street, Westridge</w:t>
            </w:r>
          </w:p>
        </w:tc>
        <w:tc>
          <w:tcPr>
            <w:tcW w:w="1900" w:type="dxa"/>
            <w:vAlign w:val="center"/>
          </w:tcPr>
          <w:p>
            <w:pPr>
              <w:spacing w:before="0" w:after="0"/>
              <w:jc w:val="right"/>
            </w:pPr>
            <w:r>
              <w:rPr>
                <w:sz w:val="18"/>
                <w:szCs w:val="18"/>
              </w:rPr>
              <w:t xml:space="preserve">1,862,000</w:t>
            </w:r>
          </w:p>
        </w:tc>
        <w:tc>
          <w:tcPr>
            <w:tcW w:w="1900" w:type="dxa"/>
            <w:vAlign w:val="center"/>
          </w:tcPr>
          <w:p>
            <w:pPr>
              <w:spacing w:before="0" w:after="0"/>
              <w:jc w:val="right"/>
            </w:pPr>
            <w:r>
              <w:rPr>
                <w:sz w:val="18"/>
                <w:szCs w:val="18"/>
              </w:rPr>
              <w:t xml:space="preserve">9.76</w:t>
            </w:r>
          </w:p>
        </w:tc>
      </w:tr>
      <w:tr>
        <w:tc>
          <w:tcPr>
            <w:tcW w:w="2872" w:type="dxa"/>
            <w:vAlign w:val="center"/>
          </w:tcPr>
          <w:p>
            <w:pPr>
              <w:spacing w:before="0" w:after="0"/>
              <w:jc w:val="left"/>
            </w:pPr>
            <w:r>
              <w:rPr>
                <w:sz w:val="18"/>
                <w:szCs w:val="18"/>
              </w:rPr>
              <w:t xml:space="preserve">Larchmont Brook Investments LP</w:t>
            </w:r>
          </w:p>
        </w:tc>
        <w:tc>
          <w:tcPr>
            <w:tcW w:w="2400" w:type="dxa"/>
            <w:vAlign w:val="center"/>
          </w:tcPr>
          <w:p>
            <w:pPr>
              <w:spacing w:before="0" w:after="0"/>
              <w:jc w:val="left"/>
            </w:pPr>
            <w:r>
              <w:rPr>
                <w:sz w:val="18"/>
                <w:szCs w:val="18"/>
              </w:rPr>
              <w:t xml:space="preserve">960 Harbor Street, Eastbay</w:t>
            </w:r>
          </w:p>
        </w:tc>
        <w:tc>
          <w:tcPr>
            <w:tcW w:w="1900" w:type="dxa"/>
            <w:vAlign w:val="center"/>
          </w:tcPr>
          <w:p>
            <w:pPr>
              <w:spacing w:before="0" w:after="0"/>
              <w:jc w:val="right"/>
            </w:pPr>
            <w:r>
              <w:rPr>
                <w:sz w:val="18"/>
                <w:szCs w:val="18"/>
              </w:rPr>
              <w:t xml:space="preserve">2,850,000</w:t>
            </w:r>
          </w:p>
        </w:tc>
        <w:tc>
          <w:tcPr>
            <w:tcW w:w="1900" w:type="dxa"/>
            <w:vAlign w:val="center"/>
          </w:tcPr>
          <w:p>
            <w:pPr>
              <w:spacing w:before="0" w:after="0"/>
              <w:jc w:val="right"/>
            </w:pPr>
            <w:r>
              <w:rPr>
                <w:sz w:val="18"/>
                <w:szCs w:val="18"/>
              </w:rPr>
              <w:t xml:space="preserve">5.66</w:t>
            </w:r>
          </w:p>
        </w:tc>
      </w:tr>
      <w:tr>
        <w:tc>
          <w:tcPr>
            <w:tcW w:w="2872" w:type="dxa"/>
            <w:vAlign w:val="center"/>
          </w:tcPr>
          <w:p>
            <w:pPr>
              <w:spacing w:before="0" w:after="0"/>
              <w:jc w:val="left"/>
            </w:pPr>
            <w:r>
              <w:rPr>
                <w:sz w:val="18"/>
                <w:szCs w:val="18"/>
              </w:rPr>
              <w:t xml:space="preserve">Alder Bay Partners LLC</w:t>
            </w:r>
          </w:p>
        </w:tc>
        <w:tc>
          <w:tcPr>
            <w:tcW w:w="2400" w:type="dxa"/>
            <w:vAlign w:val="center"/>
          </w:tcPr>
          <w:p>
            <w:pPr>
              <w:spacing w:before="0" w:after="0"/>
              <w:jc w:val="left"/>
            </w:pPr>
            <w:r>
              <w:rPr>
                <w:sz w:val="18"/>
                <w:szCs w:val="18"/>
              </w:rPr>
              <w:t xml:space="preserve">705 Orchard Street, Northfield</w:t>
            </w:r>
          </w:p>
        </w:tc>
        <w:tc>
          <w:tcPr>
            <w:tcW w:w="1900" w:type="dxa"/>
            <w:vAlign w:val="center"/>
          </w:tcPr>
          <w:p>
            <w:pPr>
              <w:spacing w:before="0" w:after="0"/>
              <w:jc w:val="right"/>
            </w:pPr>
            <w:r>
              <w:rPr>
                <w:sz w:val="18"/>
                <w:szCs w:val="18"/>
              </w:rPr>
              <w:t xml:space="preserve">4,120,000</w:t>
            </w:r>
          </w:p>
        </w:tc>
        <w:tc>
          <w:tcPr>
            <w:tcW w:w="1900" w:type="dxa"/>
            <w:vAlign w:val="center"/>
          </w:tcPr>
          <w:p>
            <w:pPr>
              <w:spacing w:before="0" w:after="0"/>
              <w:jc w:val="right"/>
            </w:pPr>
            <w:r>
              <w:rPr>
                <w:sz w:val="18"/>
                <w:szCs w:val="18"/>
              </w:rPr>
              <w:t xml:space="preserve">7.54</w:t>
            </w:r>
          </w:p>
        </w:tc>
      </w:tr>
      <w:tr>
        <w:tc>
          <w:tcPr>
            <w:tcW w:w="2872" w:type="dxa"/>
            <w:vAlign w:val="center"/>
          </w:tcPr>
          <w:p>
            <w:pPr>
              <w:spacing w:before="0" w:after="0"/>
              <w:jc w:val="left"/>
            </w:pPr>
            <w:r>
              <w:rPr>
                <w:sz w:val="18"/>
                <w:szCs w:val="18"/>
              </w:rPr>
              <w:t xml:space="preserve">Glenhaven Crest Holdings LLC</w:t>
            </w:r>
          </w:p>
        </w:tc>
        <w:tc>
          <w:tcPr>
            <w:tcW w:w="2400" w:type="dxa"/>
            <w:vAlign w:val="center"/>
          </w:tcPr>
          <w:p>
            <w:pPr>
              <w:spacing w:before="0" w:after="0"/>
              <w:jc w:val="left"/>
            </w:pPr>
            <w:r>
              <w:rPr>
                <w:sz w:val="18"/>
                <w:szCs w:val="18"/>
              </w:rPr>
              <w:t xml:space="preserve">970 Chapel Street, Hillcrest</w:t>
            </w:r>
          </w:p>
        </w:tc>
        <w:tc>
          <w:tcPr>
            <w:tcW w:w="1900" w:type="dxa"/>
            <w:vAlign w:val="center"/>
          </w:tcPr>
          <w:p>
            <w:pPr>
              <w:spacing w:before="0" w:after="0"/>
              <w:jc w:val="right"/>
            </w:pPr>
            <w:r>
              <w:rPr>
                <w:sz w:val="18"/>
                <w:szCs w:val="18"/>
              </w:rPr>
              <w:t xml:space="preserve">4,439,000</w:t>
            </w:r>
          </w:p>
        </w:tc>
        <w:tc>
          <w:tcPr>
            <w:tcW w:w="1900" w:type="dxa"/>
            <w:vAlign w:val="center"/>
          </w:tcPr>
          <w:p>
            <w:pPr>
              <w:spacing w:before="0" w:after="0"/>
              <w:jc w:val="right"/>
            </w:pPr>
            <w:r>
              <w:rPr>
                <w:sz w:val="18"/>
                <w:szCs w:val="18"/>
              </w:rPr>
              <w:t xml:space="preserve">6.82</w:t>
            </w:r>
          </w:p>
        </w:tc>
      </w:tr>
      <w:tr>
        <w:tc>
          <w:tcPr>
            <w:tcW w:w="2872" w:type="dxa"/>
            <w:vAlign w:val="center"/>
          </w:tcPr>
          <w:p>
            <w:pPr>
              <w:spacing w:before="0" w:after="0"/>
              <w:jc w:val="left"/>
            </w:pPr>
            <w:r>
              <w:rPr>
                <w:sz w:val="18"/>
                <w:szCs w:val="18"/>
              </w:rPr>
              <w:t xml:space="preserve">Bramble Crest Family Trust</w:t>
            </w:r>
          </w:p>
        </w:tc>
        <w:tc>
          <w:tcPr>
            <w:tcW w:w="2400" w:type="dxa"/>
            <w:vAlign w:val="center"/>
          </w:tcPr>
          <w:p>
            <w:pPr>
              <w:spacing w:before="0" w:after="0"/>
              <w:jc w:val="left"/>
            </w:pPr>
            <w:r>
              <w:rPr>
                <w:sz w:val="18"/>
                <w:szCs w:val="18"/>
              </w:rPr>
              <w:t xml:space="preserve">668 Mill Street, Southport</w:t>
            </w:r>
          </w:p>
        </w:tc>
        <w:tc>
          <w:tcPr>
            <w:tcW w:w="1900" w:type="dxa"/>
            <w:vAlign w:val="center"/>
          </w:tcPr>
          <w:p>
            <w:pPr>
              <w:spacing w:before="0" w:after="0"/>
              <w:jc w:val="right"/>
            </w:pPr>
            <w:r>
              <w:rPr>
                <w:sz w:val="18"/>
                <w:szCs w:val="18"/>
              </w:rPr>
              <w:t xml:space="preserve">1,591,000</w:t>
            </w:r>
          </w:p>
        </w:tc>
        <w:tc>
          <w:tcPr>
            <w:tcW w:w="1900" w:type="dxa"/>
            <w:vAlign w:val="center"/>
          </w:tcPr>
          <w:p>
            <w:pPr>
              <w:spacing w:before="0" w:after="0"/>
              <w:jc w:val="right"/>
            </w:pPr>
            <w:r>
              <w:rPr>
                <w:sz w:val="18"/>
                <w:szCs w:val="18"/>
              </w:rPr>
              <w:t xml:space="preserve">10.56</w:t>
            </w:r>
          </w:p>
        </w:tc>
      </w:tr>
    </w:tbl>
    <w:p>
      <w:pPr/>
    </w:p>
    <w:p>
      <w:r>
        <w:br w:type="page"/>
      </w:r>
    </w:p>
    <w:p>
      <w:pPr>
        <w:pStyle w:val="Heading2"/>
        <w:keepNext/>
      </w:pPr>
      <w:r>
        <w:t xml:space="preserve">Report of Independent Registered Public Accounting Firm</w:t>
      </w:r>
    </w:p>
    <w:p>
      <w:pPr>
        <w:ind w:left="0" w:firstLine="360"/>
      </w:pPr>
      <w:r>
        <w:t xml:space="preserve">The roastery produced 85 thousand pounds of roasted coffee during the fiscal year, of which 50.2% was sold through company-operated stores. Labor costs are affected by minimum wage laws in the regions where the stores are located, and further increases could reduce store margins. Occupancy costs increased to $28,523 thousand, reflecting rent for new stores and scheduled rent increases at existing locations.</w:t>
      </w:r>
    </w:p>
    <w:p>
      <w:pPr>
        <w:ind w:left="0" w:firstLine="360"/>
      </w:pPr>
      <w:r>
        <w:t xml:space="preserve">Each store is managed by a store manager who reports to a district manager, and district managers report to the director for their region. Occupancy costs increased to $26,955 thousand, reflecting rent for new stores and scheduled rent increases at existing locations. Capital expenditures totaled $8,233 thousand and consisted mainly of the build-out of new stores, the remodeling of existing stores and a second roasting line at the Northfield roastery. Net cash used in financing activities was $8,875 thousand, reflecting repayments of the term loan and dividends paid. Each store is managed by a store manager who reports to a district manager, and district managers report to the director for their region.</w:t>
      </w:r>
    </w:p>
    <w:p>
      <w:pPr>
        <w:ind w:left="0" w:firstLine="360"/>
      </w:pPr>
      <w:r>
        <w:t xml:space="preserve">Net cash used in investing activities was $2,411 thousand, primarily for purchases of property and equipment. New stores generally reach the sales level of a mature store within eighteen to twenty-four months of opening. Baristas complete a four-week training course before working on the floor, and store managers complete a further course at the Northfield training center.</w:t>
      </w:r>
    </w:p>
    <w:p>
      <w:pPr>
        <w:ind w:left="0" w:firstLine="360"/>
      </w:pPr>
      <w:r>
        <w:t xml:space="preserve">Labor costs are affected by minimum wage laws in the regions where the stores are located, and further increases could reduce store margins. Occupancy costs increased to $11,083 thousand, reflecting rent for new stores and scheduled rent increases at existing locations. The Company holds no derivatives other than coffee futures contracts used to fix the price of part of its future green coffee purchases.</w:t>
      </w:r>
    </w:p>
    <w:p>
      <w:pPr>
        <w:ind w:left="0" w:firstLine="360"/>
      </w:pPr>
      <w:r>
        <w:t xml:space="preserve">The Group intends to pay dividends out of retained earnings while keeping sufficient funds to finance the opening of new stores. These forward-looking statements are based on information available as of the date of this statement, and actual results may differ materially because of many factors. Revenue from the Beans category increased 7.1% compared with the prior year, while its share of total revenue was little changed.</w:t>
      </w:r>
    </w:p>
    <w:p>
      <w:pPr>
        <w:ind w:left="0" w:firstLine="360"/>
      </w:pPr>
      <w:r>
        <w:t xml:space="preserve">The ability of the Group to open new stores depends on finding suitable sites on acceptable lease terms and on hiring and training store managers. Total revenue for the fiscal year was $177,819 thousand, an increase of 11.6% over the prior year, and operating income was $18,672 thousand, an increase of 23.6%. At the end of the fiscal year, Nimbus Coffee operated 178 company-operated stores in eight regions: Northfield, Eastbay, Southport, Westridge, Lakeside, Hillcrest, Riverside and Harborview. Inventories consist of green coffee, roasted coffee, packaging, food and merchandise, and are stated at the lower of cost and net realizable value.</w:t>
      </w:r>
    </w:p>
    <w:p>
      <w:pPr>
        <w:ind w:left="0" w:firstLine="360"/>
      </w:pPr>
      <w:r>
        <w:t xml:space="preserve">The Company holds no derivatives other than coffee futures contracts used to fix the price of part of its future green coffee purchases. Inventories consist of green coffee, roasted coffee, packaging, food and merchandise, and are stated at the lower of cost and net realizable value. The loyalty program had 245 thousand active members at the end of the fiscal year, and purchases by members accounted for 53.1% of store revenue. Green coffee is purchased from exporters and cooperatives in Central America, South America and East Africa under fixed-price contracts that generally cover the next nine to twelve months of expected needs. Revenue from the Food category increased 9.9% compared with the prior year, while its share of total revenue was little changed. These forward-looking statements are based on information available as of the date of this statement, and actual results may differ materially because of many factors.</w:t>
      </w:r>
    </w:p>
    <w:p>
      <w:pPr>
        <w:ind w:left="0" w:firstLine="360"/>
      </w:pPr>
      <w:r>
        <w:t xml:space="preserve">The Company depends on a small number of dairy and bakery suppliers in each region, and an interruption in their deliveries could affect sales at the stores they serve. Total assets at the end of the fiscal year were $172,663 thousand, an increase of $30,025 thousand from the end of the prior fiscal year. Green coffee is purchased from exporters and cooperatives in Central America, South America and East Africa under fixed-price contracts that generally cover the next nine to twelve months of expected needs.</w:t>
      </w:r>
    </w:p>
    <w:p>
      <w:pPr>
        <w:ind w:left="0" w:firstLine="360"/>
      </w:pPr>
      <w:r>
        <w:t xml:space="preserve">Baristas complete a four-week training course before working on the floor, and store managers complete a further course at the Northfield training center. Comparable store sales increased 2.5%, driven by a 1.8% increase in average ticket and a 3.5% increase in transactions. Revenue from stores in the Harborview region increased 11.7% compared with the prior year, while its share of total revenue was little changed. Revenue from the Beverages category was $15,885 thousand, or 21.7% of total revenue. Baristas complete a four-week training course before working on the floor, and store managers complete a further course at the Northfield training center.</w:t>
      </w:r>
    </w:p>
    <w:p>
      <w:pPr>
        <w:ind w:left="0" w:firstLine="360"/>
      </w:pPr>
      <w:r>
        <w:t xml:space="preserve">Inventories consist of green coffee, roasted coffee, packaging, food and merchandise, and are stated at the lower of cost and net realizable value. Energy use per store decreased 1.2% compared with the prior year, as older espresso machines and refrigerators were replaced with more efficient models. Weather affects customer traffic: cold drinks sell best in summer, while hot beverages and whole beans sell best from October through February. Wholesale revenue comes from sales of roasted beans to restaurants, hotels and grocery stores in the regions where the Company operates. The ability of Nimbus Coffee to open new stores depends on finding suitable sites on acceptable lease terms and on hiring and training store managers. Total revenue for the fiscal year was $111,178 thousand, an increase of 10.9% over the prior year, and operating income was $15,144 thousand, an increase of 14.5%.</w:t>
      </w:r>
    </w:p>
    <w:p>
      <w:pPr>
        <w:ind w:left="0" w:firstLine="360"/>
      </w:pPr>
      <w:r>
        <w:t xml:space="preserve">The Company holds no derivatives other than coffee futures contracts used to fix the price of part of its future green coffee purchases. Merchandise sales, consisting of mugs, brewing equipment and seasonal gift sets, are highest in the fourth quarter of each year. Total revenue for the fiscal year was $194,577 thousand, an increase of 6.6% over the prior year, and operating income was $12,705 thousand, an increase of 10.0%. Food safety incidents, whether or not they occur at our stores, could harm the reputation of the Nimbus Coffee brand and reduce customer traffic.</w:t>
      </w:r>
    </w:p>
    <w:p>
      <w:pPr>
        <w:ind w:left="0" w:firstLine="360"/>
      </w:pPr>
      <w:r>
        <w:t xml:space="preserve">Capital expenditures totaled $21,646 thousand and consisted mainly of the build-out of new stores, the remodeling of existing stores and a second roasting line at the Northfield roastery. Revenue from stores in the Riverside region was $55,497 thousand, or 8.0% of total revenue. Store operating expenses, which consist mainly of wages, benefits and supplies, were 32.0% of revenue, compared with 29.3% in the prior year. Net cash provided by operating activities was $117,762 thousand, mainly reflecting net income and depreciation and amortization.</w:t>
      </w:r>
    </w:p>
    <w:sectPr>
      <w:headerReference w:type="default" r:id="rId3"/>
      <w:footerReference w:type="default" r:id="rId4"/>
      <w:pgSz w:w="11906" w:h="16838"/>
      <w:pgMar w:top="1418" w:right="1417" w:bottom="1418" w:left="1417" w:header="851" w:footer="567" w:gutter="0"/>
    </w:sectPr>
  </w:body>
</w:document>
</file>

<file path=word/footer1.xml><?xml version="1.0" encoding="utf-8"?>
<w:ftr xmlns:w="http://schemas.openxmlformats.org/wordprocessingml/2006/main" xmlns:r="http://schemas.openxmlformats.org/officeDocument/2006/relationships">
  <w:p>
    <w:pPr>
      <w:jc w:val="center"/>
    </w:pPr>
    <w:r>
      <w:t xml:space="preserve">- </w:t>
    </w:r>
    <w:r>
      <w:fldChar w:fldCharType="begin"/>
    </w:r>
    <w:r>
      <w:instrText xml:space="preserve"> PAGE </w:instrText>
    </w:r>
    <w:r>
      <w:fldChar w:fldCharType="separate"/>
    </w:r>
    <w:r>
      <w:t xml:space="preserve">1</w:t>
    </w:r>
    <w:r>
      <w:fldChar w:fldCharType="end"/>
    </w:r>
    <w:r>
      <w:t xml:space="preserve"> -</w:t>
    </w:r>
  </w:p>
</w:ftr>
</file>

<file path=word/header1.xml><?xml version="1.0" encoding="utf-8"?>
<w:hdr xmlns:w="http://schemas.openxmlformats.org/wordprocessingml/2006/main" xmlns:r="http://schemas.openxmlformats.org/officeDocument/2006/relationships">
  <w:p>
    <w:pPr>
      <w:jc w:val="right"/>
    </w:pPr>
    <w:r>
      <w:rPr>
        <w:sz w:val="16"/>
        <w:szCs w:val="16"/>
      </w:rPr>
      <w:t xml:space="preserve">Nimbus Coffee, Inc. — Securities Registration Statement (fictional)</w:t>
    </w:r>
  </w:p>
</w:hdr>
</file>

<file path=word/settings.xml><?xml version="1.0" encoding="utf-8"?>
<w:settings xmlns:w="http://schemas.openxmlformats.org/wordprocessingml/2006/main" xmlns:r="http://schemas.openxmlformats.org/officeDocument/2006/relationships">
  <w:zoom w:percent="100"/>
  <w:defaultTabStop w:val="720"/>
  <w:compat>
    <w:compatSetting w:name="compatibilityMode" w:uri="http://schemas.microsoft.com/office/word" w:val="15"/>
  </w:compat>
</w:settings>
</file>

<file path=word/styles.xml><?xml version="1.0" encoding="utf-8"?>
<w:styles xmlns:w="http://schemas.openxmlformats.org/wordprocessingml/2006/main" xmlns:r="http://schemas.openxmlformats.org/officeDocument/2006/relationships">
  <w:docDefaults>
    <w:rPrDefault>
      <w:rPr>
        <w:rFonts w:ascii="Times New Roman" w:hAnsi="Times New Roman" w:cs="Times New Roman"/>
        <w:sz w:val="21"/>
        <w:szCs w:val="21"/>
        <w:lang w:val="en-US"/>
      </w:rPr>
    </w:rPrDefault>
    <w:pPrDefault>
      <w:pPr>
        <w:spacing w:after="120" w:line="252" w:lineRule="auto"/>
        <w:jc w:val="both"/>
      </w:pPr>
    </w:pPrDefault>
  </w:docDefaults>
  <w:style w:type="paragraph" w:default="1" w:styleId="Normal">
    <w:name w:val="Normal"/>
    <w:qFormat/>
  </w:style>
  <w:style w:type="paragraph" w:styleId="Heading1">
    <w:name w:val="heading 1"/>
    <w:basedOn w:val="Normal"/>
    <w:next w:val="Normal"/>
    <w:qFormat/>
    <w:pPr>
      <w:keepNext/>
      <w:spacing w:before="360" w:after="180"/>
      <w:jc w:val="left"/>
      <w:outlineLvl w:val="0"/>
    </w:pPr>
    <w:rPr>
      <w:rFonts w:ascii="Arial" w:hAnsi="Arial" w:cs="Arial"/>
      <w:b/>
      <w:sz w:val="28"/>
      <w:szCs w:val="28"/>
    </w:rPr>
  </w:style>
  <w:style w:type="paragraph" w:styleId="Heading2">
    <w:name w:val="heading 2"/>
    <w:basedOn w:val="Normal"/>
    <w:next w:val="Normal"/>
    <w:qFormat/>
    <w:pPr>
      <w:keepNext/>
      <w:spacing w:before="240" w:after="120"/>
      <w:jc w:val="left"/>
      <w:outlineLvl w:val="1"/>
    </w:pPr>
    <w:rPr>
      <w:rFonts w:ascii="Arial" w:hAnsi="Arial" w:cs="Arial"/>
      <w:b/>
      <w:sz w:val="24"/>
      <w:szCs w:val="24"/>
    </w:rPr>
  </w:style>
  <w:style w:type="paragraph" w:styleId="Heading3">
    <w:name w:val="heading 3"/>
    <w:basedOn w:val="Normal"/>
    <w:next w:val="Normal"/>
    <w:qFormat/>
    <w:pPr>
      <w:keepNext/>
      <w:spacing w:before="180" w:after="60"/>
      <w:jc w:val="left"/>
      <w:outlineLvl w:val="2"/>
    </w:pPr>
    <w:rPr>
      <w:rFonts w:ascii="Arial" w:hAnsi="Arial" w:cs="Arial"/>
      <w:b/>
      <w:sz w:val="21"/>
      <w:szCs w:val="21"/>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settings" Target="settings.xml"/><Relationship Id="rId3" Type="http://schemas.openxmlformats.org/officeDocument/2006/relationships/header" Target="header1.xml"/><Relationship Id="rId4" Type="http://schemas.openxmlformats.org/officeDocument/2006/relationships/footer" Target="footer1.xml"/></Relationships>
</file>

<file path=docProps/app.xml><?xml version="1.0" encoding="utf-8"?>
<Properties xmlns="http://schemas.openxmlformats.org/officeDocument/2006/extended-properties">
  <Application>Microsoft Office Word</Application>
</Properties>
</file>

<file path=docProps/core.xml><?xml version="1.0" encoding="utf-8"?>
<cp:coreProperties xmlns:cp="http://schemas.openxmlformats.org/package/2006/metadata/core-properties" xmlns:dc="http://purl.org/dc/elements/1.1/" xmlns:dcterms="http://purl.org/dc/terms/" xmlns:xsi="http://www.w3.org/2001/XMLSchema-instance">
  <dc:title>Nimbus Coffee, Inc. Securities Registration Statement (fictional)</dc:title>
  <dcterms:created xsi:type="dcterms:W3CDTF">2026-09-29T00:00:00Z</dcterms:created>
  <dcterms:modified xsi:type="dcterms:W3CDTF">2026-09-29T00:00:00Z</dcterms:modified>
</cp:coreProperties>
</file>