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442E2313" w:rsidR="000E55FE" w:rsidRPr="00A24A16" w:rsidRDefault="007F50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Bucket Mirroring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One-Way Bucket Replication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C91B1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A – Basic Mirroring Concepts</w:t>
      </w:r>
    </w:p>
    <w:p w14:paraId="12226D33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1: Environment Preparation</w:t>
      </w:r>
    </w:p>
    <w:p w14:paraId="4DC3F772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 xml:space="preserve">Prepare a single-node </w:t>
      </w:r>
      <w:proofErr w:type="spellStart"/>
      <w:r w:rsidRPr="00E77C1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C19">
        <w:rPr>
          <w:rFonts w:ascii="Georgia" w:eastAsia="Georgia Pro" w:hAnsi="Georgia" w:cs="Georgia Pro"/>
          <w:color w:val="000000" w:themeColor="text1"/>
        </w:rPr>
        <w:t xml:space="preserve"> environment suitable for testing bucket mirroring. Verify that the </w:t>
      </w:r>
      <w:proofErr w:type="spellStart"/>
      <w:r w:rsidRPr="00E77C1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C19">
        <w:rPr>
          <w:rFonts w:ascii="Georgia" w:eastAsia="Georgia Pro" w:hAnsi="Georgia" w:cs="Georgia Pro"/>
          <w:color w:val="000000" w:themeColor="text1"/>
        </w:rPr>
        <w:t xml:space="preserve"> service is accessible and ready.</w:t>
      </w:r>
    </w:p>
    <w:p w14:paraId="71F8B9E9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716AFE3F">
          <v:rect id="_x0000_i1237" style="width:0;height:1.5pt" o:hralign="center" o:hrstd="t" o:hr="t" fillcolor="#a0a0a0" stroked="f"/>
        </w:pict>
      </w:r>
    </w:p>
    <w:p w14:paraId="6E01164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2: Source and Target Buckets</w:t>
      </w:r>
    </w:p>
    <w:p w14:paraId="3ABFAA22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 xml:space="preserve">Create two buckets on the same </w:t>
      </w:r>
      <w:proofErr w:type="spellStart"/>
      <w:r w:rsidRPr="00E77C1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C19">
        <w:rPr>
          <w:rFonts w:ascii="Georgia" w:eastAsia="Georgia Pro" w:hAnsi="Georgia" w:cs="Georgia Pro"/>
          <w:color w:val="000000" w:themeColor="text1"/>
        </w:rPr>
        <w:t xml:space="preserve"> server to act as </w:t>
      </w:r>
      <w:r w:rsidRPr="00E77C19">
        <w:rPr>
          <w:rFonts w:ascii="Georgia" w:eastAsia="Georgia Pro" w:hAnsi="Georgia" w:cs="Georgia Pro"/>
          <w:b/>
          <w:bCs/>
          <w:color w:val="000000" w:themeColor="text1"/>
        </w:rPr>
        <w:t>source</w:t>
      </w:r>
      <w:r w:rsidRPr="00E77C19">
        <w:rPr>
          <w:rFonts w:ascii="Georgia" w:eastAsia="Georgia Pro" w:hAnsi="Georgia" w:cs="Georgia Pro"/>
          <w:color w:val="000000" w:themeColor="text1"/>
        </w:rPr>
        <w:t xml:space="preserve"> and </w:t>
      </w:r>
      <w:r w:rsidRPr="00E77C19">
        <w:rPr>
          <w:rFonts w:ascii="Georgia" w:eastAsia="Georgia Pro" w:hAnsi="Georgia" w:cs="Georgia Pro"/>
          <w:b/>
          <w:bCs/>
          <w:color w:val="000000" w:themeColor="text1"/>
        </w:rPr>
        <w:t>mirror target</w:t>
      </w:r>
      <w:r w:rsidRPr="00E77C19">
        <w:rPr>
          <w:rFonts w:ascii="Georgia" w:eastAsia="Georgia Pro" w:hAnsi="Georgia" w:cs="Georgia Pro"/>
          <w:color w:val="000000" w:themeColor="text1"/>
        </w:rPr>
        <w:t>. Confirm both buckets exist.</w:t>
      </w:r>
    </w:p>
    <w:p w14:paraId="65EEB13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30A8A688">
          <v:rect id="_x0000_i1238" style="width:0;height:1.5pt" o:hralign="center" o:hrstd="t" o:hr="t" fillcolor="#a0a0a0" stroked="f"/>
        </w:pict>
      </w:r>
    </w:p>
    <w:p w14:paraId="111092A6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3: Initial Data Population</w:t>
      </w:r>
    </w:p>
    <w:p w14:paraId="43D6A8B8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Upload multiple objects to the source bucket and verify that the target bucket remains empty before mirroring is started.</w:t>
      </w:r>
    </w:p>
    <w:p w14:paraId="1D138073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51097BC2">
          <v:rect id="_x0000_i1239" style="width:0;height:1.5pt" o:hralign="center" o:hrstd="t" o:hr="t" fillcolor="#a0a0a0" stroked="f"/>
        </w:pict>
      </w:r>
    </w:p>
    <w:p w14:paraId="10337AF2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B – One-Time Mirroring</w:t>
      </w:r>
    </w:p>
    <w:p w14:paraId="22004E1D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4: One-Time Sync</w:t>
      </w:r>
    </w:p>
    <w:p w14:paraId="00C16AD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Perform a one-time mirror operation from the source bucket to the target bucket. Verify that all existing objects are copied.</w:t>
      </w:r>
    </w:p>
    <w:p w14:paraId="172D0F8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73DD9ED6">
          <v:rect id="_x0000_i1240" style="width:0;height:1.5pt" o:hralign="center" o:hrstd="t" o:hr="t" fillcolor="#a0a0a0" stroked="f"/>
        </w:pict>
      </w:r>
    </w:p>
    <w:p w14:paraId="36B88754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5: Post-Mirror Validation</w:t>
      </w:r>
    </w:p>
    <w:p w14:paraId="602C8116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Compare the object list between source and target buckets and confirm consistency.</w:t>
      </w:r>
    </w:p>
    <w:p w14:paraId="266109CD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lastRenderedPageBreak/>
        <w:pict w14:anchorId="18235E06">
          <v:rect id="_x0000_i1241" style="width:0;height:1.5pt" o:hralign="center" o:hrstd="t" o:hr="t" fillcolor="#a0a0a0" stroked="f"/>
        </w:pict>
      </w:r>
    </w:p>
    <w:p w14:paraId="73C1CB0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C – Continuous Mirroring</w:t>
      </w:r>
    </w:p>
    <w:p w14:paraId="6C967EF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6: Continuous Sync Activation</w:t>
      </w:r>
    </w:p>
    <w:p w14:paraId="6490D4C4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Enable continuous mirroring and ensure the process remains active.</w:t>
      </w:r>
    </w:p>
    <w:p w14:paraId="233F4EBA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1FDABD69">
          <v:rect id="_x0000_i1242" style="width:0;height:1.5pt" o:hralign="center" o:hrstd="t" o:hr="t" fillcolor="#a0a0a0" stroked="f"/>
        </w:pict>
      </w:r>
    </w:p>
    <w:p w14:paraId="4EBC022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7: Live Upload Propagation</w:t>
      </w:r>
    </w:p>
    <w:p w14:paraId="1DAB37B6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Upload a new object to the source bucket and verify that it automatically appears in the target bucket.</w:t>
      </w:r>
    </w:p>
    <w:p w14:paraId="4C84F4A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25A12596">
          <v:rect id="_x0000_i1243" style="width:0;height:1.5pt" o:hralign="center" o:hrstd="t" o:hr="t" fillcolor="#a0a0a0" stroked="f"/>
        </w:pict>
      </w:r>
    </w:p>
    <w:p w14:paraId="23AB1CC3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8: File Modification Behavior</w:t>
      </w:r>
    </w:p>
    <w:p w14:paraId="767B3A1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Modify an existing object in the source bucket and observe how the change is reflected in the target bucket.</w:t>
      </w:r>
    </w:p>
    <w:p w14:paraId="707112C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322BA710">
          <v:rect id="_x0000_i1244" style="width:0;height:1.5pt" o:hralign="center" o:hrstd="t" o:hr="t" fillcolor="#a0a0a0" stroked="f"/>
        </w:pict>
      </w:r>
    </w:p>
    <w:p w14:paraId="3CE9FE3C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9: Delete Propagation</w:t>
      </w:r>
    </w:p>
    <w:p w14:paraId="77CB2893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Delete an object from the source bucket and verify its removal from the target bucket.</w:t>
      </w:r>
    </w:p>
    <w:p w14:paraId="47E0750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4FB4D3CC">
          <v:rect id="_x0000_i1245" style="width:0;height:1.5pt" o:hralign="center" o:hrstd="t" o:hr="t" fillcolor="#a0a0a0" stroked="f"/>
        </w:pict>
      </w:r>
    </w:p>
    <w:p w14:paraId="08F58CE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D – Mirror Limitations</w:t>
      </w:r>
    </w:p>
    <w:p w14:paraId="4F2AE563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10: Versioning Limitation Test</w:t>
      </w:r>
    </w:p>
    <w:p w14:paraId="3BAEE9A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Enable versioning on both buckets and upload multiple versions of the same object. Observe how mirroring handles object versions.</w:t>
      </w:r>
    </w:p>
    <w:p w14:paraId="4046413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672E21C8">
          <v:rect id="_x0000_i1246" style="width:0;height:1.5pt" o:hralign="center" o:hrstd="t" o:hr="t" fillcolor="#a0a0a0" stroked="f"/>
        </w:pict>
      </w:r>
    </w:p>
    <w:p w14:paraId="6241F3B6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11: Mirror Downtime Scenario</w:t>
      </w:r>
    </w:p>
    <w:p w14:paraId="172F878E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Stop the mirror process, upload new objects to the source bucket, then restart mirroring and observe synchronization behavior.</w:t>
      </w:r>
    </w:p>
    <w:p w14:paraId="048032AE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lastRenderedPageBreak/>
        <w:pict w14:anchorId="09C1BB06">
          <v:rect id="_x0000_i1248" style="width:0;height:1.5pt" o:hralign="center" o:hrstd="t" o:hr="t" fillcolor="#a0a0a0" stroked="f"/>
        </w:pict>
      </w:r>
    </w:p>
    <w:p w14:paraId="4524EE97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Practice Exercise 4 – One-Way Bucket Replication (Lab Exercise 13)</w:t>
      </w:r>
    </w:p>
    <w:p w14:paraId="34E1E53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A – Replication Prerequisites</w:t>
      </w:r>
    </w:p>
    <w:p w14:paraId="5923E21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1: Multi-Node Setup</w:t>
      </w:r>
    </w:p>
    <w:p w14:paraId="50A6A95C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 xml:space="preserve">Prepare two independent </w:t>
      </w:r>
      <w:proofErr w:type="spellStart"/>
      <w:r w:rsidRPr="00E77C1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E77C19">
        <w:rPr>
          <w:rFonts w:ascii="Georgia" w:eastAsia="Georgia Pro" w:hAnsi="Georgia" w:cs="Georgia Pro"/>
          <w:color w:val="000000" w:themeColor="text1"/>
        </w:rPr>
        <w:t xml:space="preserve"> nodes to act as </w:t>
      </w:r>
      <w:r w:rsidRPr="00E77C19">
        <w:rPr>
          <w:rFonts w:ascii="Georgia" w:eastAsia="Georgia Pro" w:hAnsi="Georgia" w:cs="Georgia Pro"/>
          <w:b/>
          <w:bCs/>
          <w:color w:val="000000" w:themeColor="text1"/>
        </w:rPr>
        <w:t>source</w:t>
      </w:r>
      <w:r w:rsidRPr="00E77C19">
        <w:rPr>
          <w:rFonts w:ascii="Georgia" w:eastAsia="Georgia Pro" w:hAnsi="Georgia" w:cs="Georgia Pro"/>
          <w:color w:val="000000" w:themeColor="text1"/>
        </w:rPr>
        <w:t xml:space="preserve"> and </w:t>
      </w:r>
      <w:r w:rsidRPr="00E77C19">
        <w:rPr>
          <w:rFonts w:ascii="Georgia" w:eastAsia="Georgia Pro" w:hAnsi="Georgia" w:cs="Georgia Pro"/>
          <w:b/>
          <w:bCs/>
          <w:color w:val="000000" w:themeColor="text1"/>
        </w:rPr>
        <w:t>destination</w:t>
      </w:r>
      <w:r w:rsidRPr="00E77C19">
        <w:rPr>
          <w:rFonts w:ascii="Georgia" w:eastAsia="Georgia Pro" w:hAnsi="Georgia" w:cs="Georgia Pro"/>
          <w:color w:val="000000" w:themeColor="text1"/>
        </w:rPr>
        <w:t xml:space="preserve"> sites.</w:t>
      </w:r>
    </w:p>
    <w:p w14:paraId="24BC100E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68307A91">
          <v:rect id="_x0000_i1249" style="width:0;height:1.5pt" o:hralign="center" o:hrstd="t" o:hr="t" fillcolor="#a0a0a0" stroked="f"/>
        </w:pict>
      </w:r>
    </w:p>
    <w:p w14:paraId="5DC0B68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2: Bucket Creation</w:t>
      </w:r>
    </w:p>
    <w:p w14:paraId="4528851C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Create one bucket on the source node and one bucket on the destination node using valid bucket names.</w:t>
      </w:r>
    </w:p>
    <w:p w14:paraId="3E8751F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26DAFF05">
          <v:rect id="_x0000_i1250" style="width:0;height:1.5pt" o:hralign="center" o:hrstd="t" o:hr="t" fillcolor="#a0a0a0" stroked="f"/>
        </w:pict>
      </w:r>
    </w:p>
    <w:p w14:paraId="686180C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3: Versioning Enforcement</w:t>
      </w:r>
    </w:p>
    <w:p w14:paraId="7F95FD4C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Enable and verify versioning on both buckets and explain why this step is mandatory.</w:t>
      </w:r>
    </w:p>
    <w:p w14:paraId="382356DA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3A761D56">
          <v:rect id="_x0000_i1251" style="width:0;height:1.5pt" o:hralign="center" o:hrstd="t" o:hr="t" fillcolor="#a0a0a0" stroked="f"/>
        </w:pict>
      </w:r>
    </w:p>
    <w:p w14:paraId="3EC7C7F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B – One-Way Replication Configuration</w:t>
      </w:r>
    </w:p>
    <w:p w14:paraId="114FB969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4: Replication Rule Setup</w:t>
      </w:r>
    </w:p>
    <w:p w14:paraId="3A88A0BA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Configure a one-way replication rule from the source bucket to the destination bucket.</w:t>
      </w:r>
    </w:p>
    <w:p w14:paraId="268AC029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605040C2">
          <v:rect id="_x0000_i1252" style="width:0;height:1.5pt" o:hralign="center" o:hrstd="t" o:hr="t" fillcolor="#a0a0a0" stroked="f"/>
        </w:pict>
      </w:r>
    </w:p>
    <w:p w14:paraId="33FAAE66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5: Replication Rule Verification</w:t>
      </w:r>
    </w:p>
    <w:p w14:paraId="3301602A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Validate that the replication rule exists and is correctly configured.</w:t>
      </w:r>
    </w:p>
    <w:p w14:paraId="56D2EE5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01D14E7D">
          <v:rect id="_x0000_i1253" style="width:0;height:1.5pt" o:hralign="center" o:hrstd="t" o:hr="t" fillcolor="#a0a0a0" stroked="f"/>
        </w:pict>
      </w:r>
    </w:p>
    <w:p w14:paraId="750D891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PART C – Replication Behavior Validation</w:t>
      </w:r>
    </w:p>
    <w:p w14:paraId="235043BE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6: Object Replication Test</w:t>
      </w:r>
    </w:p>
    <w:p w14:paraId="59439F85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Upload a new object to the source bucket and verify its appearance in the destination bucket.</w:t>
      </w:r>
    </w:p>
    <w:p w14:paraId="124BA6C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lastRenderedPageBreak/>
        <w:pict w14:anchorId="55BCB620">
          <v:rect id="_x0000_i1254" style="width:0;height:1.5pt" o:hralign="center" o:hrstd="t" o:hr="t" fillcolor="#a0a0a0" stroked="f"/>
        </w:pict>
      </w:r>
    </w:p>
    <w:p w14:paraId="7B4AFF7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7: Version Replication</w:t>
      </w:r>
    </w:p>
    <w:p w14:paraId="0737F8F0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Overwrite the same object in the source bucket to create multiple versions and verify version propagation to the destination.</w:t>
      </w:r>
    </w:p>
    <w:p w14:paraId="0955CE5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43A3C39E">
          <v:rect id="_x0000_i1255" style="width:0;height:1.5pt" o:hralign="center" o:hrstd="t" o:hr="t" fillcolor="#a0a0a0" stroked="f"/>
        </w:pict>
      </w:r>
    </w:p>
    <w:p w14:paraId="3BDA3141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8: Delete Marker Replication</w:t>
      </w:r>
    </w:p>
    <w:p w14:paraId="3CA06D4B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>Delete an object from the source bucket and confirm that the delete marker appears on the destination bucket.</w:t>
      </w:r>
    </w:p>
    <w:p w14:paraId="718DB88D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7C9454A5">
          <v:rect id="_x0000_i1256" style="width:0;height:1.5pt" o:hralign="center" o:hrstd="t" o:hr="t" fillcolor="#a0a0a0" stroked="f"/>
        </w:pict>
      </w:r>
    </w:p>
    <w:p w14:paraId="64EDDF0C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7C19">
        <w:rPr>
          <w:rFonts w:ascii="Georgia" w:eastAsia="Georgia Pro" w:hAnsi="Georgia" w:cs="Georgia Pro"/>
          <w:b/>
          <w:bCs/>
          <w:color w:val="000000" w:themeColor="text1"/>
        </w:rPr>
        <w:t>Problem 9: One-Way Enforcement</w:t>
      </w:r>
    </w:p>
    <w:p w14:paraId="1492C9DF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t xml:space="preserve">Upload an object directly to the destination bucket and verify that it does </w:t>
      </w:r>
      <w:r w:rsidRPr="00E77C19">
        <w:rPr>
          <w:rFonts w:ascii="Georgia" w:eastAsia="Georgia Pro" w:hAnsi="Georgia" w:cs="Georgia Pro"/>
          <w:b/>
          <w:bCs/>
          <w:color w:val="000000" w:themeColor="text1"/>
        </w:rPr>
        <w:t>not</w:t>
      </w:r>
      <w:r w:rsidRPr="00E77C19">
        <w:rPr>
          <w:rFonts w:ascii="Georgia" w:eastAsia="Georgia Pro" w:hAnsi="Georgia" w:cs="Georgia Pro"/>
          <w:color w:val="000000" w:themeColor="text1"/>
        </w:rPr>
        <w:t xml:space="preserve"> replicate back to the source.</w:t>
      </w:r>
    </w:p>
    <w:p w14:paraId="5E5722D0" w14:textId="77777777" w:rsidR="00E77C19" w:rsidRPr="00E77C19" w:rsidRDefault="00E77C19" w:rsidP="00E77C1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7C19">
        <w:rPr>
          <w:rFonts w:ascii="Georgia" w:eastAsia="Georgia Pro" w:hAnsi="Georgia" w:cs="Georgia Pro"/>
          <w:color w:val="000000" w:themeColor="text1"/>
        </w:rPr>
        <w:pict w14:anchorId="61802C62">
          <v:rect id="_x0000_i1257" style="width:0;height:1.5pt" o:hralign="center" o:hrstd="t" o:hr="t" fillcolor="#a0a0a0" stroked="f"/>
        </w:pict>
      </w:r>
    </w:p>
    <w:p w14:paraId="69F1F720" w14:textId="77777777" w:rsidR="00776824" w:rsidRPr="00A24A16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A2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7"/>
  </w:num>
  <w:num w:numId="3" w16cid:durableId="1142650945">
    <w:abstractNumId w:val="12"/>
  </w:num>
  <w:num w:numId="4" w16cid:durableId="1645085684">
    <w:abstractNumId w:val="21"/>
  </w:num>
  <w:num w:numId="5" w16cid:durableId="1652909027">
    <w:abstractNumId w:val="18"/>
  </w:num>
  <w:num w:numId="6" w16cid:durableId="2054839043">
    <w:abstractNumId w:val="5"/>
  </w:num>
  <w:num w:numId="7" w16cid:durableId="1391075760">
    <w:abstractNumId w:val="20"/>
  </w:num>
  <w:num w:numId="8" w16cid:durableId="1638102923">
    <w:abstractNumId w:val="7"/>
  </w:num>
  <w:num w:numId="9" w16cid:durableId="1873876806">
    <w:abstractNumId w:val="15"/>
  </w:num>
  <w:num w:numId="10" w16cid:durableId="732852777">
    <w:abstractNumId w:val="0"/>
  </w:num>
  <w:num w:numId="11" w16cid:durableId="1720322660">
    <w:abstractNumId w:val="19"/>
  </w:num>
  <w:num w:numId="12" w16cid:durableId="1219246608">
    <w:abstractNumId w:val="13"/>
  </w:num>
  <w:num w:numId="13" w16cid:durableId="947734520">
    <w:abstractNumId w:val="11"/>
  </w:num>
  <w:num w:numId="14" w16cid:durableId="1244074290">
    <w:abstractNumId w:val="16"/>
  </w:num>
  <w:num w:numId="15" w16cid:durableId="1107501796">
    <w:abstractNumId w:val="9"/>
  </w:num>
  <w:num w:numId="16" w16cid:durableId="1305695784">
    <w:abstractNumId w:val="6"/>
  </w:num>
  <w:num w:numId="17" w16cid:durableId="133647985">
    <w:abstractNumId w:val="3"/>
  </w:num>
  <w:num w:numId="18" w16cid:durableId="1750999742">
    <w:abstractNumId w:val="14"/>
  </w:num>
  <w:num w:numId="19" w16cid:durableId="611396260">
    <w:abstractNumId w:val="22"/>
  </w:num>
  <w:num w:numId="20" w16cid:durableId="16544880">
    <w:abstractNumId w:val="4"/>
  </w:num>
  <w:num w:numId="21" w16cid:durableId="585192454">
    <w:abstractNumId w:val="8"/>
  </w:num>
  <w:num w:numId="22" w16cid:durableId="1846435706">
    <w:abstractNumId w:val="10"/>
  </w:num>
  <w:num w:numId="23" w16cid:durableId="176811546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A240F8"/>
    <w:rsid w:val="00A24A16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77C19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2780</Characters>
  <Application>Microsoft Office Word</Application>
  <DocSecurity>0</DocSecurity>
  <Lines>139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2026-01-07T04:15:00Z</dcterms:created>
  <dcterms:modified xsi:type="dcterms:W3CDTF">2026-01-07T04:15:00Z</dcterms:modified>
</cp:coreProperties>
</file>