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26BA3" w14:textId="77777777" w:rsidR="00030F3F" w:rsidRDefault="00030F3F" w:rsidP="002B7840">
      <w:pPr>
        <w:spacing w:after="0" w:line="360" w:lineRule="auto"/>
        <w:jc w:val="center"/>
        <w:rPr>
          <w:rFonts w:ascii="Georgia" w:hAnsi="Georgia"/>
          <w:b/>
          <w:bCs/>
          <w:sz w:val="28"/>
          <w:szCs w:val="28"/>
        </w:rPr>
      </w:pPr>
    </w:p>
    <w:p w14:paraId="0362637C" w14:textId="78488920" w:rsidR="00030F3F" w:rsidRPr="002B7840" w:rsidRDefault="00712518" w:rsidP="002B7840">
      <w:pPr>
        <w:spacing w:after="0" w:line="360" w:lineRule="auto"/>
        <w:jc w:val="center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Applying </w:t>
      </w:r>
      <w:r w:rsidR="00C43018">
        <w:rPr>
          <w:rFonts w:ascii="Georgia" w:hAnsi="Georgia"/>
          <w:b/>
          <w:bCs/>
          <w:sz w:val="32"/>
          <w:szCs w:val="32"/>
        </w:rPr>
        <w:t xml:space="preserve">OOAD Principles </w:t>
      </w:r>
      <w:r>
        <w:rPr>
          <w:rFonts w:ascii="Georgia" w:hAnsi="Georgia"/>
          <w:b/>
          <w:bCs/>
          <w:sz w:val="32"/>
          <w:szCs w:val="32"/>
        </w:rPr>
        <w:t>in QT/QML</w:t>
      </w:r>
    </w:p>
    <w:p w14:paraId="08E1BBB6" w14:textId="77777777" w:rsidR="00712518" w:rsidRPr="00712518" w:rsidRDefault="00712518" w:rsidP="0071251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712518">
        <w:rPr>
          <w:rFonts w:ascii="Georgia" w:hAnsi="Georgia"/>
          <w:color w:val="202124"/>
        </w:rPr>
        <w:t>When applying Object-Oriented Analysis and Design (OOAD) principles to Qt/QML projects, it's important to consider the following guidelines to ensure a well-structured and maintainable application:</w:t>
      </w:r>
    </w:p>
    <w:p w14:paraId="0B3D942A" w14:textId="77777777" w:rsidR="00712518" w:rsidRPr="00712518" w:rsidRDefault="00712518" w:rsidP="0071251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712518">
        <w:rPr>
          <w:rFonts w:ascii="Georgia" w:hAnsi="Georgia"/>
          <w:b/>
          <w:bCs/>
          <w:color w:val="202124"/>
        </w:rPr>
        <w:t>Identify Objects and Classes:</w:t>
      </w:r>
      <w:r w:rsidRPr="00712518">
        <w:rPr>
          <w:rFonts w:ascii="Georgia" w:hAnsi="Georgia"/>
          <w:color w:val="202124"/>
        </w:rPr>
        <w:t xml:space="preserve"> </w:t>
      </w:r>
      <w:proofErr w:type="spellStart"/>
      <w:r w:rsidRPr="00712518">
        <w:rPr>
          <w:rFonts w:ascii="Georgia" w:hAnsi="Georgia"/>
          <w:color w:val="202124"/>
        </w:rPr>
        <w:t>Analyze</w:t>
      </w:r>
      <w:proofErr w:type="spellEnd"/>
      <w:r w:rsidRPr="00712518">
        <w:rPr>
          <w:rFonts w:ascii="Georgia" w:hAnsi="Georgia"/>
          <w:color w:val="202124"/>
        </w:rPr>
        <w:t xml:space="preserve"> the application requirements and identify the key objects and classes that represent the various elements and functionalities of the system. Design classes to encapsulate data and </w:t>
      </w:r>
      <w:proofErr w:type="spellStart"/>
      <w:r w:rsidRPr="00712518">
        <w:rPr>
          <w:rFonts w:ascii="Georgia" w:hAnsi="Georgia"/>
          <w:color w:val="202124"/>
        </w:rPr>
        <w:t>behavior</w:t>
      </w:r>
      <w:proofErr w:type="spellEnd"/>
      <w:r w:rsidRPr="00712518">
        <w:rPr>
          <w:rFonts w:ascii="Georgia" w:hAnsi="Georgia"/>
          <w:color w:val="202124"/>
        </w:rPr>
        <w:t>, ensuring that each class has a clear and well-defined purpose within the application.</w:t>
      </w:r>
    </w:p>
    <w:p w14:paraId="7857D85B" w14:textId="77777777" w:rsidR="00712518" w:rsidRPr="00712518" w:rsidRDefault="00712518" w:rsidP="0071251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712518">
        <w:rPr>
          <w:rFonts w:ascii="Georgia" w:hAnsi="Georgia"/>
          <w:b/>
          <w:bCs/>
          <w:color w:val="202124"/>
        </w:rPr>
        <w:t>Use Encapsulation:</w:t>
      </w:r>
      <w:r w:rsidRPr="00712518">
        <w:rPr>
          <w:rFonts w:ascii="Georgia" w:hAnsi="Georgia"/>
          <w:color w:val="202124"/>
        </w:rPr>
        <w:t xml:space="preserve"> Encapsulate the internal state and </w:t>
      </w:r>
      <w:proofErr w:type="spellStart"/>
      <w:r w:rsidRPr="00712518">
        <w:rPr>
          <w:rFonts w:ascii="Georgia" w:hAnsi="Georgia"/>
          <w:color w:val="202124"/>
        </w:rPr>
        <w:t>behavior</w:t>
      </w:r>
      <w:proofErr w:type="spellEnd"/>
      <w:r w:rsidRPr="00712518">
        <w:rPr>
          <w:rFonts w:ascii="Georgia" w:hAnsi="Georgia"/>
          <w:color w:val="202124"/>
        </w:rPr>
        <w:t xml:space="preserve"> of classes, exposing a well-defined interface for interacting with the objects. Use properties and signals in QML to encapsulate data and define controlled access to the object's properties.</w:t>
      </w:r>
    </w:p>
    <w:p w14:paraId="636FF8D0" w14:textId="77777777" w:rsidR="00712518" w:rsidRPr="00712518" w:rsidRDefault="00712518" w:rsidP="0071251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712518">
        <w:rPr>
          <w:rFonts w:ascii="Georgia" w:hAnsi="Georgia"/>
          <w:color w:val="202124"/>
        </w:rPr>
        <w:t xml:space="preserve">Implement Inheritance: Utilize inheritance to create a hierarchy of classes that share common attributes and </w:t>
      </w:r>
      <w:proofErr w:type="spellStart"/>
      <w:r w:rsidRPr="00712518">
        <w:rPr>
          <w:rFonts w:ascii="Georgia" w:hAnsi="Georgia"/>
          <w:color w:val="202124"/>
        </w:rPr>
        <w:t>behaviors</w:t>
      </w:r>
      <w:proofErr w:type="spellEnd"/>
      <w:r w:rsidRPr="00712518">
        <w:rPr>
          <w:rFonts w:ascii="Georgia" w:hAnsi="Georgia"/>
          <w:color w:val="202124"/>
        </w:rPr>
        <w:t xml:space="preserve">. Define base classes to capture shared </w:t>
      </w:r>
      <w:proofErr w:type="gramStart"/>
      <w:r w:rsidRPr="00712518">
        <w:rPr>
          <w:rFonts w:ascii="Georgia" w:hAnsi="Georgia"/>
          <w:color w:val="202124"/>
        </w:rPr>
        <w:t>functionalities, and</w:t>
      </w:r>
      <w:proofErr w:type="gramEnd"/>
      <w:r w:rsidRPr="00712518">
        <w:rPr>
          <w:rFonts w:ascii="Georgia" w:hAnsi="Georgia"/>
          <w:color w:val="202124"/>
        </w:rPr>
        <w:t xml:space="preserve"> derive subclasses to extend or specialize the </w:t>
      </w:r>
      <w:proofErr w:type="spellStart"/>
      <w:r w:rsidRPr="00712518">
        <w:rPr>
          <w:rFonts w:ascii="Georgia" w:hAnsi="Georgia"/>
          <w:color w:val="202124"/>
        </w:rPr>
        <w:t>behavior</w:t>
      </w:r>
      <w:proofErr w:type="spellEnd"/>
      <w:r w:rsidRPr="00712518">
        <w:rPr>
          <w:rFonts w:ascii="Georgia" w:hAnsi="Georgia"/>
          <w:color w:val="202124"/>
        </w:rPr>
        <w:t xml:space="preserve"> of the base classes as needed.</w:t>
      </w:r>
    </w:p>
    <w:p w14:paraId="4969581D" w14:textId="77777777" w:rsidR="00712518" w:rsidRPr="00712518" w:rsidRDefault="00712518" w:rsidP="0071251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712518">
        <w:rPr>
          <w:rFonts w:ascii="Georgia" w:hAnsi="Georgia"/>
          <w:b/>
          <w:bCs/>
          <w:color w:val="202124"/>
        </w:rPr>
        <w:t>Apply Polymorphism:</w:t>
      </w:r>
      <w:r w:rsidRPr="00712518">
        <w:rPr>
          <w:rFonts w:ascii="Georgia" w:hAnsi="Georgia"/>
          <w:color w:val="202124"/>
        </w:rPr>
        <w:t xml:space="preserve"> Apply polymorphism to enable objects of different types to be treated uniformly. Use virtual functions and interfaces to define a common set of methods that can be implemented differently by subclasses, allowing for flexibility and extensibility in the application.</w:t>
      </w:r>
    </w:p>
    <w:p w14:paraId="0FC7D2CD" w14:textId="77777777" w:rsidR="00712518" w:rsidRPr="00712518" w:rsidRDefault="00712518" w:rsidP="0071251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712518">
        <w:rPr>
          <w:rFonts w:ascii="Georgia" w:hAnsi="Georgia"/>
          <w:b/>
          <w:bCs/>
          <w:color w:val="202124"/>
        </w:rPr>
        <w:t>Design Modular QML Components:</w:t>
      </w:r>
      <w:r w:rsidRPr="00712518">
        <w:rPr>
          <w:rFonts w:ascii="Georgia" w:hAnsi="Georgia"/>
          <w:color w:val="202124"/>
        </w:rPr>
        <w:t xml:space="preserve"> Design modular QML components that represent distinct visual and functional elements of the application. Encapsulate reusable components with well-defined interfaces, promoting code reusability and maintainability.</w:t>
      </w:r>
    </w:p>
    <w:p w14:paraId="7FEEB113" w14:textId="77777777" w:rsidR="00712518" w:rsidRPr="00712518" w:rsidRDefault="00712518" w:rsidP="0071251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</w:p>
    <w:p w14:paraId="030C255C" w14:textId="77777777" w:rsidR="00712518" w:rsidRPr="00712518" w:rsidRDefault="00712518" w:rsidP="0071251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712518">
        <w:rPr>
          <w:rFonts w:ascii="Georgia" w:hAnsi="Georgia"/>
          <w:b/>
          <w:bCs/>
          <w:color w:val="202124"/>
        </w:rPr>
        <w:t>Establish Clear Communication Channels:</w:t>
      </w:r>
      <w:r w:rsidRPr="00712518">
        <w:rPr>
          <w:rFonts w:ascii="Georgia" w:hAnsi="Georgia"/>
          <w:color w:val="202124"/>
        </w:rPr>
        <w:t xml:space="preserve"> Define clear communication channels between QML components and C++ backend logic. Utilize signals and slots </w:t>
      </w:r>
      <w:r w:rsidRPr="00712518">
        <w:rPr>
          <w:rFonts w:ascii="Georgia" w:hAnsi="Georgia"/>
          <w:color w:val="202124"/>
        </w:rPr>
        <w:lastRenderedPageBreak/>
        <w:t>to establish seamless communication between QML and C++, ensuring that data and events are transmitted accurately and efficiently.</w:t>
      </w:r>
    </w:p>
    <w:p w14:paraId="58E8240A" w14:textId="77777777" w:rsidR="00712518" w:rsidRPr="00712518" w:rsidRDefault="00712518" w:rsidP="0071251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712518">
        <w:rPr>
          <w:rFonts w:ascii="Georgia" w:hAnsi="Georgia"/>
          <w:b/>
          <w:bCs/>
          <w:color w:val="202124"/>
        </w:rPr>
        <w:t>Follow Best Practices for QML:</w:t>
      </w:r>
      <w:r w:rsidRPr="00712518">
        <w:rPr>
          <w:rFonts w:ascii="Georgia" w:hAnsi="Georgia"/>
          <w:color w:val="202124"/>
        </w:rPr>
        <w:t xml:space="preserve"> Adhere to best practices for designing QML interfaces, including proper component organization, efficient data binding, and optimized rendering techniques. Maintain a clear separation between the presentation layer (QML) and the business logic layer (C++), ensuring a clean and manageable architecture.</w:t>
      </w:r>
    </w:p>
    <w:p w14:paraId="6684415F" w14:textId="1DEA4A8B" w:rsidR="00712518" w:rsidRDefault="00712518" w:rsidP="0071251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712518">
        <w:rPr>
          <w:rFonts w:ascii="Georgia" w:hAnsi="Georgia"/>
          <w:color w:val="202124"/>
        </w:rPr>
        <w:t>By applying these OOAD principles to Qt/QML projects, you can create well-structured, scalable, and maintainable applications that effectively meet the requirements of modern software development while leveraging the powerful features of the Qt framework.</w:t>
      </w:r>
    </w:p>
    <w:p w14:paraId="72328048" w14:textId="403A658D" w:rsidR="005C0B3B" w:rsidRPr="00B87373" w:rsidRDefault="005C0B3B" w:rsidP="005C0B3B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</w:p>
    <w:sectPr w:rsidR="005C0B3B" w:rsidRPr="00B8737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42C54" w14:textId="77777777" w:rsidR="005D3BC2" w:rsidRDefault="005D3BC2" w:rsidP="00030F3F">
      <w:pPr>
        <w:spacing w:after="0" w:line="240" w:lineRule="auto"/>
      </w:pPr>
      <w:r>
        <w:separator/>
      </w:r>
    </w:p>
  </w:endnote>
  <w:endnote w:type="continuationSeparator" w:id="0">
    <w:p w14:paraId="52201B5A" w14:textId="77777777" w:rsidR="005D3BC2" w:rsidRDefault="005D3BC2" w:rsidP="00030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7B1C5" w14:textId="77777777" w:rsidR="005D3BC2" w:rsidRDefault="005D3BC2" w:rsidP="00030F3F">
      <w:pPr>
        <w:spacing w:after="0" w:line="240" w:lineRule="auto"/>
      </w:pPr>
      <w:r>
        <w:separator/>
      </w:r>
    </w:p>
  </w:footnote>
  <w:footnote w:type="continuationSeparator" w:id="0">
    <w:p w14:paraId="7AE42BFC" w14:textId="77777777" w:rsidR="005D3BC2" w:rsidRDefault="005D3BC2" w:rsidP="00030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03355" w14:textId="344C066F" w:rsidR="00030F3F" w:rsidRDefault="00030F3F" w:rsidP="00030F3F">
    <w:pPr>
      <w:pStyle w:val="Header"/>
      <w:jc w:val="center"/>
    </w:pPr>
    <w:r>
      <w:rPr>
        <w:noProof/>
      </w:rPr>
      <w:drawing>
        <wp:inline distT="0" distB="0" distL="0" distR="0" wp14:anchorId="782E3FA8" wp14:editId="7C64808D">
          <wp:extent cx="1375576" cy="458881"/>
          <wp:effectExtent l="0" t="0" r="0" b="0"/>
          <wp:docPr id="1096482524" name="Picture 1096482524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3D4B66D" w14:textId="639F96AE" w:rsidR="00030F3F" w:rsidRDefault="00030F3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E38E84" wp14:editId="6458E9C6">
              <wp:simplePos x="0" y="0"/>
              <wp:positionH relativeFrom="column">
                <wp:posOffset>-384175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351F2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25pt,6.25pt" to="474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32617"/>
    <w:multiLevelType w:val="hybridMultilevel"/>
    <w:tmpl w:val="E40E77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BD75BB"/>
    <w:multiLevelType w:val="hybridMultilevel"/>
    <w:tmpl w:val="A7EC8F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E3413"/>
    <w:multiLevelType w:val="hybridMultilevel"/>
    <w:tmpl w:val="D2187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94703"/>
    <w:multiLevelType w:val="hybridMultilevel"/>
    <w:tmpl w:val="EDA6A8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432F2"/>
    <w:multiLevelType w:val="hybridMultilevel"/>
    <w:tmpl w:val="52F295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523947"/>
    <w:multiLevelType w:val="hybridMultilevel"/>
    <w:tmpl w:val="52307F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2634B7"/>
    <w:multiLevelType w:val="hybridMultilevel"/>
    <w:tmpl w:val="41A4A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40AB4"/>
    <w:multiLevelType w:val="hybridMultilevel"/>
    <w:tmpl w:val="9752A9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D23AE"/>
    <w:multiLevelType w:val="hybridMultilevel"/>
    <w:tmpl w:val="E0162F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DE5369"/>
    <w:multiLevelType w:val="hybridMultilevel"/>
    <w:tmpl w:val="6D283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6356B"/>
    <w:multiLevelType w:val="hybridMultilevel"/>
    <w:tmpl w:val="22DE1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E7245"/>
    <w:multiLevelType w:val="hybridMultilevel"/>
    <w:tmpl w:val="27A2C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C38B3"/>
    <w:multiLevelType w:val="hybridMultilevel"/>
    <w:tmpl w:val="F7062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160EA"/>
    <w:multiLevelType w:val="hybridMultilevel"/>
    <w:tmpl w:val="66380B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11"/>
  </w:num>
  <w:num w:numId="3" w16cid:durableId="397558638">
    <w:abstractNumId w:val="0"/>
  </w:num>
  <w:num w:numId="4" w16cid:durableId="617840325">
    <w:abstractNumId w:val="6"/>
  </w:num>
  <w:num w:numId="5" w16cid:durableId="1267346183">
    <w:abstractNumId w:val="14"/>
  </w:num>
  <w:num w:numId="6" w16cid:durableId="1213619451">
    <w:abstractNumId w:val="13"/>
  </w:num>
  <w:num w:numId="7" w16cid:durableId="274410197">
    <w:abstractNumId w:val="15"/>
  </w:num>
  <w:num w:numId="8" w16cid:durableId="1908757038">
    <w:abstractNumId w:val="16"/>
  </w:num>
  <w:num w:numId="9" w16cid:durableId="1332483501">
    <w:abstractNumId w:val="10"/>
  </w:num>
  <w:num w:numId="10" w16cid:durableId="1781022680">
    <w:abstractNumId w:val="1"/>
  </w:num>
  <w:num w:numId="11" w16cid:durableId="1512574173">
    <w:abstractNumId w:val="7"/>
  </w:num>
  <w:num w:numId="12" w16cid:durableId="1219635245">
    <w:abstractNumId w:val="17"/>
  </w:num>
  <w:num w:numId="13" w16cid:durableId="2029211530">
    <w:abstractNumId w:val="4"/>
  </w:num>
  <w:num w:numId="14" w16cid:durableId="255020755">
    <w:abstractNumId w:val="9"/>
  </w:num>
  <w:num w:numId="15" w16cid:durableId="1575621855">
    <w:abstractNumId w:val="12"/>
  </w:num>
  <w:num w:numId="16" w16cid:durableId="782841993">
    <w:abstractNumId w:val="5"/>
  </w:num>
  <w:num w:numId="17" w16cid:durableId="650793883">
    <w:abstractNumId w:val="8"/>
  </w:num>
  <w:num w:numId="18" w16cid:durableId="1028339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30F3F"/>
    <w:rsid w:val="001C710C"/>
    <w:rsid w:val="002209E1"/>
    <w:rsid w:val="002B7840"/>
    <w:rsid w:val="00307C98"/>
    <w:rsid w:val="003B4DA2"/>
    <w:rsid w:val="004407C8"/>
    <w:rsid w:val="005902DB"/>
    <w:rsid w:val="0059537F"/>
    <w:rsid w:val="005A63E9"/>
    <w:rsid w:val="005C0B3B"/>
    <w:rsid w:val="005D3BC2"/>
    <w:rsid w:val="006A787D"/>
    <w:rsid w:val="00712518"/>
    <w:rsid w:val="00743B15"/>
    <w:rsid w:val="00815FBE"/>
    <w:rsid w:val="008516C6"/>
    <w:rsid w:val="008A68CE"/>
    <w:rsid w:val="00953897"/>
    <w:rsid w:val="00A52D4C"/>
    <w:rsid w:val="00B87373"/>
    <w:rsid w:val="00BD1FF4"/>
    <w:rsid w:val="00C43018"/>
    <w:rsid w:val="00C730A2"/>
    <w:rsid w:val="00E076EF"/>
    <w:rsid w:val="00ED7CF5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0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F3F"/>
  </w:style>
  <w:style w:type="paragraph" w:styleId="Footer">
    <w:name w:val="footer"/>
    <w:basedOn w:val="Normal"/>
    <w:link w:val="FooterChar"/>
    <w:uiPriority w:val="99"/>
    <w:unhideWhenUsed/>
    <w:rsid w:val="00030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2023-10-13T18:56:00Z</dcterms:created>
  <dcterms:modified xsi:type="dcterms:W3CDTF">2023-10-13T18:56:00Z</dcterms:modified>
</cp:coreProperties>
</file>