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DASC7606C Group Project Proposal</w:t>
      </w:r>
    </w:p>
    <w:p>
      <w:pPr>
        <w:jc w:val="center"/>
      </w:pPr>
      <w:r>
        <w:rPr>
          <w:rFonts w:ascii="Arial" w:hAnsi="Arial"/>
          <w:b/>
          <w:sz w:val="26"/>
        </w:rPr>
        <w:t>Track 4: Humanoid-Robot Motion Generation Deployment</w:t>
      </w:r>
    </w:p>
    <w:p>
      <w:pPr>
        <w:jc w:val="center"/>
      </w:pPr>
      <w:r>
        <w:rPr>
          <w:rFonts w:ascii="Arial" w:hAnsi="Arial"/>
          <w:i/>
          <w:sz w:val="22"/>
        </w:rPr>
        <w:t>Comparing Kimodo and ARDY for Text-Driven Tabletop Grasping with SONIC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pPr>
              <w:spacing w:after="0"/>
            </w:pPr>
            <w:r/>
            <w:r>
              <w:rPr>
                <w:rFonts w:ascii="Arial" w:hAnsi="Arial"/>
                <w:b/>
                <w:sz w:val="18"/>
              </w:rPr>
              <w:t>Group Size</w:t>
            </w:r>
          </w:p>
        </w:tc>
        <w:tc>
          <w:tcPr>
            <w:tcW w:type="dxa" w:w="5040"/>
            <w:vAlign w:val="center"/>
          </w:tcPr>
          <w:p>
            <w:pPr>
              <w:spacing w:after="0"/>
            </w:pPr>
            <w:r/>
            <w:r>
              <w:rPr>
                <w:rFonts w:ascii="Arial" w:hAnsi="Arial"/>
                <w:b w:val="0"/>
                <w:sz w:val="18"/>
              </w:rPr>
              <w:t>12 students</w:t>
            </w:r>
          </w:p>
        </w:tc>
      </w:tr>
      <w:tr>
        <w:tc>
          <w:tcPr>
            <w:tcW w:type="dxa" w:w="5040"/>
            <w:vAlign w:val="center"/>
            <w:shd w:fill="E9EEF5"/>
          </w:tcPr>
          <w:p>
            <w:pPr>
              <w:spacing w:after="0"/>
            </w:pPr>
            <w:r/>
            <w:r>
              <w:rPr>
                <w:rFonts w:ascii="Arial" w:hAnsi="Arial"/>
                <w:b/>
                <w:sz w:val="18"/>
              </w:rPr>
              <w:t>Primary Platform</w:t>
            </w:r>
          </w:p>
        </w:tc>
        <w:tc>
          <w:tcPr>
            <w:tcW w:type="dxa" w:w="5040"/>
            <w:vAlign w:val="center"/>
          </w:tcPr>
          <w:p>
            <w:pPr>
              <w:spacing w:after="0"/>
            </w:pPr>
            <w:r/>
            <w:r>
              <w:rPr>
                <w:rFonts w:ascii="Arial" w:hAnsi="Arial"/>
                <w:b w:val="0"/>
                <w:sz w:val="18"/>
              </w:rPr>
              <w:t>Unitree G1 in simulation; SONIC as the mandatory low-level controller</w:t>
            </w:r>
          </w:p>
        </w:tc>
      </w:tr>
      <w:tr>
        <w:tc>
          <w:tcPr>
            <w:tcW w:type="dxa" w:w="5040"/>
            <w:vAlign w:val="center"/>
            <w:shd w:fill="E9EEF5"/>
          </w:tcPr>
          <w:p>
            <w:pPr>
              <w:spacing w:after="0"/>
            </w:pPr>
            <w:r/>
            <w:r>
              <w:rPr>
                <w:rFonts w:ascii="Arial" w:hAnsi="Arial"/>
                <w:b/>
                <w:sz w:val="18"/>
              </w:rPr>
              <w:t>Core Methods</w:t>
            </w:r>
          </w:p>
        </w:tc>
        <w:tc>
          <w:tcPr>
            <w:tcW w:type="dxa" w:w="5040"/>
            <w:vAlign w:val="center"/>
          </w:tcPr>
          <w:p>
            <w:pPr>
              <w:spacing w:after="0"/>
            </w:pPr>
            <w:r/>
            <w:r>
              <w:rPr>
                <w:rFonts w:ascii="Arial" w:hAnsi="Arial"/>
                <w:b w:val="0"/>
                <w:sz w:val="18"/>
              </w:rPr>
              <w:t>Method A: Kimodo-G1   |   Method B: ARDY-G1</w:t>
            </w:r>
          </w:p>
        </w:tc>
      </w:tr>
    </w:tbl>
    <w:p/>
    <w:p>
      <w:pPr>
        <w:pStyle w:val="Heading1"/>
      </w:pPr>
      <w:r>
        <w:t>1. Chosen Track, Topic, and Objectives</w:t>
      </w:r>
    </w:p>
    <w:p>
      <w:r>
        <w:t>We select Track 4: Humanoid-Robot Motion Generation Deployment. The project will build a text-to-motion manipulation pipeline for a Unitree G1 humanoid robot in simulation. The robot will receive natural-language instructions and grasp and lift a block from a tabletop scene. SONIC will be used as the common low-level motion controller, while two distinct pretrained motion-generation methods—Kimodo and ARDY—will be implemented and compared under matched conditions.</w:t>
      </w:r>
    </w:p>
    <w:p>
      <w:r>
        <w:t>The project has four primary objectives:</w:t>
      </w:r>
    </w:p>
    <w:p>
      <w:pPr>
        <w:pStyle w:val="ListBullet"/>
        <w:spacing w:after="40"/>
      </w:pPr>
      <w:r>
        <w:t>Build a reproducible G1 tabletop simulation containing a table and graspable block, and integrate SONIC as the low-level controller.</w:t>
      </w:r>
    </w:p>
    <w:p>
      <w:pPr>
        <w:pStyle w:val="ListBullet"/>
        <w:spacing w:after="40"/>
      </w:pPr>
      <w:r>
        <w:t>Deploy pretrained Kimodo-G1 and ARDY-G1 without requiring project-specific model fine-tuning for the baseline.</w:t>
      </w:r>
    </w:p>
    <w:p>
      <w:pPr>
        <w:pStyle w:val="ListBullet"/>
        <w:spacing w:after="40"/>
      </w:pPr>
      <w:r>
        <w:t>Connect both motion generators to the same grasping task and SONIC execution pipeline, including separate hand/gripper control where required.</w:t>
      </w:r>
    </w:p>
    <w:p>
      <w:pPr>
        <w:pStyle w:val="ListBullet"/>
        <w:spacing w:after="40"/>
      </w:pPr>
      <w:r>
        <w:t>Evaluate both methods using repeated trials and a shared instruction set, focusing on grasp success, response time, user corrections, motion precision, physical feasibility, instruction following, and representative failure cases.</w:t>
      </w:r>
    </w:p>
    <w:p>
      <w:pPr>
        <w:pStyle w:val="Heading1"/>
      </w:pPr>
      <w:r>
        <w:t>2. Proposed System and Technical Approach</w:t>
      </w:r>
    </w:p>
    <w:p>
      <w:pPr>
        <w:pStyle w:val="Heading2"/>
      </w:pPr>
      <w:r>
        <w:t>2.1 Baseline pipeline</w:t>
      </w:r>
    </w:p>
    <w:p>
      <w:r>
        <w:t>The baseline is intentionally deployment-first. We will first establish a minimum working pipeline before attempting optional extensions. No new training dataset or model fine-tuning is required for the baseline; pretrained motion-generation checkpoints will be used.</w:t>
      </w:r>
    </w:p>
    <w:p>
      <w:pPr>
        <w:jc w:val="center"/>
      </w:pPr>
      <w:r>
        <w:rPr>
          <w:b/>
        </w:rPr>
        <w:t>Natural-language instruction → Kimodo / ARDY → reference motion → G1 adaptation → SONIC → hand/gripper control → simulated grasp and lift</w:t>
      </w:r>
    </w:p>
    <w:p>
      <w:pPr>
        <w:pStyle w:val="Heading2"/>
      </w:pPr>
      <w:r>
        <w:t>2.2 Method A — Kimodo</w:t>
      </w:r>
    </w:p>
    <w:p>
      <w:r>
        <w:t>Kimodo will be used as the first motion-generation method. The team will deploy the available G1-oriented pretrained model, study its text and kinematic-constraint interfaces, generate reference motions for reaching and lifting, and adapt the generated representation to the SONIC execution interface. Spatial constraints such as a target hand/end-effector pose may be derived from the known object pose in simulation.</w:t>
      </w:r>
    </w:p>
    <w:p>
      <w:pPr>
        <w:pStyle w:val="Heading2"/>
      </w:pPr>
      <w:r>
        <w:t>2.3 Method B — ARDY</w:t>
      </w:r>
    </w:p>
    <w:p>
      <w:r>
        <w:t>ARDY will be used as the second, distinct motion-generation method. The team will deploy its pretrained G1 configuration and construct an equivalent grasping pipeline using the same tabletop scene, grasp targets, SONIC controller, and evaluation protocol. ARDY's interactive/streaming motion-generation capability will also be examined where technically feasible.</w:t>
      </w:r>
    </w:p>
    <w:p>
      <w:pPr>
        <w:pStyle w:val="Heading2"/>
      </w:pPr>
      <w:r>
        <w:t>2.4 SONIC and manipulation integration</w:t>
      </w:r>
    </w:p>
    <w:p>
      <w:r>
        <w:t>Both methods will use SONIC as the common low-level controller. A central integration task is to determine how each generated motion is represented, how it must be adapted to the G1 embodiment, and how SONIC tracks that reference while maintaining stable whole-body behavior. Hand or gripper actuation will be implemented as a separate control component if it is not covered by the motion representation. For the initial milestone, the table, block, robot start pose, and block pose will be fixed to reduce confounding factors.</w:t>
      </w:r>
    </w:p>
    <w:p>
      <w:pPr>
        <w:pStyle w:val="Heading1"/>
      </w:pPr>
      <w:r>
        <w:t>3. Evaluation Plan</w:t>
      </w:r>
    </w:p>
    <w:p>
      <w:r>
        <w:t>Kimodo and ARDY will be tested using the same instruction set and comparable simulation initial conditions. Each condition will be repeated multiple times. The exact number of trials will be finalized after runtime profiling so that both methods receive a comparable evaluation budget.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spacing w:after="0"/>
            </w:pPr>
            <w:r/>
            <w:r>
              <w:rPr>
                <w:rFonts w:ascii="Arial" w:hAnsi="Arial"/>
                <w:b/>
                <w:sz w:val="17"/>
              </w:rPr>
              <w:t>Metric</w:t>
            </w:r>
          </w:p>
        </w:tc>
        <w:tc>
          <w:tcPr>
            <w:tcW w:type="dxa" w:w="3360"/>
            <w:vAlign w:val="center"/>
            <w:shd w:fill="D9E2F3"/>
          </w:tcPr>
          <w:p>
            <w:pPr>
              <w:spacing w:after="0"/>
            </w:pPr>
            <w:r/>
            <w:r>
              <w:rPr>
                <w:rFonts w:ascii="Arial" w:hAnsi="Arial"/>
                <w:b/>
                <w:sz w:val="17"/>
              </w:rPr>
              <w:t>Definition / Measurement</w:t>
            </w:r>
          </w:p>
        </w:tc>
        <w:tc>
          <w:tcPr>
            <w:tcW w:type="dxa" w:w="3360"/>
            <w:vAlign w:val="center"/>
            <w:shd w:fill="D9E2F3"/>
          </w:tcPr>
          <w:p>
            <w:pPr>
              <w:spacing w:after="0"/>
            </w:pPr>
            <w:r/>
            <w:r>
              <w:rPr>
                <w:rFonts w:ascii="Arial" w:hAnsi="Arial"/>
                <w:b/>
                <w:sz w:val="17"/>
              </w:rPr>
              <w:t>Purpose</w:t>
            </w:r>
          </w:p>
        </w:tc>
      </w:tr>
      <w:tr>
        <w:tc>
          <w:tcPr>
            <w:tcW w:type="dxa" w:w="3360"/>
            <w:vAlign w:val="center"/>
          </w:tcPr>
          <w:p>
            <w:pPr>
              <w:spacing w:after="0"/>
            </w:pPr>
            <w:r/>
            <w:r>
              <w:rPr>
                <w:rFonts w:ascii="Arial" w:hAnsi="Arial"/>
                <w:b w:val="0"/>
                <w:sz w:val="16"/>
              </w:rPr>
              <w:t>Grasp success rate</w:t>
            </w:r>
          </w:p>
        </w:tc>
        <w:tc>
          <w:tcPr>
            <w:tcW w:type="dxa" w:w="3360"/>
            <w:vAlign w:val="center"/>
          </w:tcPr>
          <w:p>
            <w:pPr>
              <w:spacing w:after="0"/>
            </w:pPr>
            <w:r/>
            <w:r>
              <w:rPr>
                <w:rFonts w:ascii="Arial" w:hAnsi="Arial"/>
                <w:b w:val="0"/>
                <w:sz w:val="16"/>
              </w:rPr>
              <w:t>Block is successfully grasped and lifted above a predefined height.</w:t>
            </w:r>
          </w:p>
        </w:tc>
        <w:tc>
          <w:tcPr>
            <w:tcW w:type="dxa" w:w="3360"/>
            <w:vAlign w:val="center"/>
          </w:tcPr>
          <w:p>
            <w:pPr>
              <w:spacing w:after="0"/>
            </w:pPr>
            <w:r/>
            <w:r>
              <w:rPr>
                <w:rFonts w:ascii="Arial" w:hAnsi="Arial"/>
                <w:b w:val="0"/>
                <w:sz w:val="16"/>
              </w:rPr>
              <w:t>Primary task success</w:t>
            </w:r>
          </w:p>
        </w:tc>
      </w:tr>
      <w:tr>
        <w:tc>
          <w:tcPr>
            <w:tcW w:type="dxa" w:w="3360"/>
            <w:vAlign w:val="center"/>
          </w:tcPr>
          <w:p>
            <w:pPr>
              <w:spacing w:after="0"/>
            </w:pPr>
            <w:r/>
            <w:r>
              <w:rPr>
                <w:rFonts w:ascii="Arial" w:hAnsi="Arial"/>
                <w:b w:val="0"/>
                <w:sz w:val="16"/>
              </w:rPr>
              <w:t>Response time</w:t>
            </w:r>
          </w:p>
        </w:tc>
        <w:tc>
          <w:tcPr>
            <w:tcW w:type="dxa" w:w="3360"/>
            <w:vAlign w:val="center"/>
          </w:tcPr>
          <w:p>
            <w:pPr>
              <w:spacing w:after="0"/>
            </w:pPr>
            <w:r/>
            <w:r>
              <w:rPr>
                <w:rFonts w:ascii="Arial" w:hAnsi="Arial"/>
                <w:b w:val="0"/>
                <w:sz w:val="16"/>
              </w:rPr>
              <w:t>Time from instruction submission to motion availability / task response.</w:t>
            </w:r>
          </w:p>
        </w:tc>
        <w:tc>
          <w:tcPr>
            <w:tcW w:type="dxa" w:w="3360"/>
            <w:vAlign w:val="center"/>
          </w:tcPr>
          <w:p>
            <w:pPr>
              <w:spacing w:after="0"/>
            </w:pPr>
            <w:r/>
            <w:r>
              <w:rPr>
                <w:rFonts w:ascii="Arial" w:hAnsi="Arial"/>
                <w:b w:val="0"/>
                <w:sz w:val="16"/>
              </w:rPr>
              <w:t>Efficiency</w:t>
            </w:r>
          </w:p>
        </w:tc>
      </w:tr>
      <w:tr>
        <w:tc>
          <w:tcPr>
            <w:tcW w:type="dxa" w:w="3360"/>
            <w:vAlign w:val="center"/>
          </w:tcPr>
          <w:p>
            <w:pPr>
              <w:spacing w:after="0"/>
            </w:pPr>
            <w:r/>
            <w:r>
              <w:rPr>
                <w:rFonts w:ascii="Arial" w:hAnsi="Arial"/>
                <w:b w:val="0"/>
                <w:sz w:val="16"/>
              </w:rPr>
              <w:t>User corrections</w:t>
            </w:r>
          </w:p>
        </w:tc>
        <w:tc>
          <w:tcPr>
            <w:tcW w:type="dxa" w:w="3360"/>
            <w:vAlign w:val="center"/>
          </w:tcPr>
          <w:p>
            <w:pPr>
              <w:spacing w:after="0"/>
            </w:pPr>
            <w:r/>
            <w:r>
              <w:rPr>
                <w:rFonts w:ascii="Arial" w:hAnsi="Arial"/>
                <w:b w:val="0"/>
                <w:sz w:val="16"/>
              </w:rPr>
              <w:t>Number of additional text corrections needed before successful execution.</w:t>
            </w:r>
          </w:p>
        </w:tc>
        <w:tc>
          <w:tcPr>
            <w:tcW w:type="dxa" w:w="3360"/>
            <w:vAlign w:val="center"/>
          </w:tcPr>
          <w:p>
            <w:pPr>
              <w:spacing w:after="0"/>
            </w:pPr>
            <w:r/>
            <w:r>
              <w:rPr>
                <w:rFonts w:ascii="Arial" w:hAnsi="Arial"/>
                <w:b w:val="0"/>
                <w:sz w:val="16"/>
              </w:rPr>
              <w:t>Interactivity</w:t>
            </w:r>
          </w:p>
        </w:tc>
      </w:tr>
      <w:tr>
        <w:tc>
          <w:tcPr>
            <w:tcW w:type="dxa" w:w="3360"/>
            <w:vAlign w:val="center"/>
          </w:tcPr>
          <w:p>
            <w:pPr>
              <w:spacing w:after="0"/>
            </w:pPr>
            <w:r/>
            <w:r>
              <w:rPr>
                <w:rFonts w:ascii="Arial" w:hAnsi="Arial"/>
                <w:b w:val="0"/>
                <w:sz w:val="16"/>
              </w:rPr>
              <w:t>Motion precision</w:t>
            </w:r>
          </w:p>
        </w:tc>
        <w:tc>
          <w:tcPr>
            <w:tcW w:type="dxa" w:w="3360"/>
            <w:vAlign w:val="center"/>
          </w:tcPr>
          <w:p>
            <w:pPr>
              <w:spacing w:after="0"/>
            </w:pPr>
            <w:r/>
            <w:r>
              <w:rPr>
                <w:rFonts w:ascii="Arial" w:hAnsi="Arial"/>
                <w:b w:val="0"/>
                <w:sz w:val="16"/>
              </w:rPr>
              <w:t>End-effector / grasp-target error where measurable.</w:t>
            </w:r>
          </w:p>
        </w:tc>
        <w:tc>
          <w:tcPr>
            <w:tcW w:type="dxa" w:w="3360"/>
            <w:vAlign w:val="center"/>
          </w:tcPr>
          <w:p>
            <w:pPr>
              <w:spacing w:after="0"/>
            </w:pPr>
            <w:r/>
            <w:r>
              <w:rPr>
                <w:rFonts w:ascii="Arial" w:hAnsi="Arial"/>
                <w:b w:val="0"/>
                <w:sz w:val="16"/>
              </w:rPr>
              <w:t>Accuracy</w:t>
            </w:r>
          </w:p>
        </w:tc>
      </w:tr>
      <w:tr>
        <w:tc>
          <w:tcPr>
            <w:tcW w:type="dxa" w:w="3360"/>
            <w:vAlign w:val="center"/>
          </w:tcPr>
          <w:p>
            <w:pPr>
              <w:spacing w:after="0"/>
            </w:pPr>
            <w:r/>
            <w:r>
              <w:rPr>
                <w:rFonts w:ascii="Arial" w:hAnsi="Arial"/>
                <w:b w:val="0"/>
                <w:sz w:val="16"/>
              </w:rPr>
              <w:t>Physical feasibility</w:t>
            </w:r>
          </w:p>
        </w:tc>
        <w:tc>
          <w:tcPr>
            <w:tcW w:type="dxa" w:w="3360"/>
            <w:vAlign w:val="center"/>
          </w:tcPr>
          <w:p>
            <w:pPr>
              <w:spacing w:after="0"/>
            </w:pPr>
            <w:r/>
            <w:r>
              <w:rPr>
                <w:rFonts w:ascii="Arial" w:hAnsi="Arial"/>
                <w:b w:val="0"/>
                <w:sz w:val="16"/>
              </w:rPr>
              <w:t>Stability, collisions, joint-limit or visibly infeasible behavior.</w:t>
            </w:r>
          </w:p>
        </w:tc>
        <w:tc>
          <w:tcPr>
            <w:tcW w:type="dxa" w:w="3360"/>
            <w:vAlign w:val="center"/>
          </w:tcPr>
          <w:p>
            <w:pPr>
              <w:spacing w:after="0"/>
            </w:pPr>
            <w:r/>
            <w:r>
              <w:rPr>
                <w:rFonts w:ascii="Arial" w:hAnsi="Arial"/>
                <w:b w:val="0"/>
                <w:sz w:val="16"/>
              </w:rPr>
              <w:t>Execution quality</w:t>
            </w:r>
          </w:p>
        </w:tc>
      </w:tr>
      <w:tr>
        <w:tc>
          <w:tcPr>
            <w:tcW w:type="dxa" w:w="3360"/>
            <w:vAlign w:val="center"/>
          </w:tcPr>
          <w:p>
            <w:pPr>
              <w:spacing w:after="0"/>
            </w:pPr>
            <w:r/>
            <w:r>
              <w:rPr>
                <w:rFonts w:ascii="Arial" w:hAnsi="Arial"/>
                <w:b w:val="0"/>
                <w:sz w:val="16"/>
              </w:rPr>
              <w:t>Failure analysis</w:t>
            </w:r>
          </w:p>
        </w:tc>
        <w:tc>
          <w:tcPr>
            <w:tcW w:type="dxa" w:w="3360"/>
            <w:vAlign w:val="center"/>
          </w:tcPr>
          <w:p>
            <w:pPr>
              <w:spacing w:after="0"/>
            </w:pPr>
            <w:r/>
            <w:r>
              <w:rPr>
                <w:rFonts w:ascii="Arial" w:hAnsi="Arial"/>
                <w:b w:val="0"/>
                <w:sz w:val="16"/>
              </w:rPr>
              <w:t>Representative reach, grasp, contact, stability, and instruction-following failures.</w:t>
            </w:r>
          </w:p>
        </w:tc>
        <w:tc>
          <w:tcPr>
            <w:tcW w:type="dxa" w:w="3360"/>
            <w:vAlign w:val="center"/>
          </w:tcPr>
          <w:p>
            <w:pPr>
              <w:spacing w:after="0"/>
            </w:pPr>
            <w:r/>
            <w:r>
              <w:rPr>
                <w:rFonts w:ascii="Arial" w:hAnsi="Arial"/>
                <w:b w:val="0"/>
                <w:sz w:val="16"/>
              </w:rPr>
              <w:t>Technical understanding</w:t>
            </w:r>
          </w:p>
        </w:tc>
      </w:tr>
    </w:tbl>
    <w:p>
      <w:r>
        <w:t>A secondary generalization test may vary the block position after the fixed-scene baseline is stable. This will be treated as an extension rather than a prerequisite for the core comparison.</w:t>
      </w:r>
    </w:p>
    <w:p>
      <w:pPr>
        <w:pStyle w:val="Heading1"/>
      </w:pPr>
      <w:r>
        <w:t>4. Optional Extension / Bonus Direction: VLM/LLM-Guided Instruction Generation</w:t>
      </w:r>
    </w:p>
    <w:p>
      <w:r>
        <w:t>In parallel with the baseline, we propose an optional perception-and-language extension. A simulated head-mounted camera image will be provided to an external vision-language model (VLM), optionally combined with a large language model (LLM), to interpret the scene and generate a structured textual command or motion-level instruction for the downstream motion generator. The resulting text will then be passed to Kimodo or ARDY, followed by the same SONIC execution pipeline.</w:t>
      </w:r>
    </w:p>
    <w:p>
      <w:pPr>
        <w:jc w:val="center"/>
      </w:pPr>
      <w:r>
        <w:rPr>
          <w:b/>
        </w:rPr>
        <w:t>Simulated camera image + user goal → VLM/LLM → structured text / spatial instruction → Kimodo or ARDY → SONIC → G1</w:t>
      </w:r>
    </w:p>
    <w:p>
      <w:r>
        <w:t>Example: given an image containing a red block and a user request such as “pick up the red block,” the VLM may convert visual context into a more explicit instruction such as “reach the right hand toward the red block on the table, align above it, grasp, then lift.” If reliable geometric information is available from the simulator, it may also be used to form motion constraints rather than asking the VLM to estimate precise coordinates.</w:t>
      </w:r>
    </w:p>
    <w:p>
      <w:r>
        <w:t>This extension is intended to improve interaction and demonstrate a richer perception-to-motion pipeline. It is not assumed to be an automatic formal bonus category; we will confirm with the teaching team that it qualifies as an original extension aligned with Track 4 before presenting it as bonus work. The baseline Kimodo/ARDY comparison will remain independently runnable if the VLM/LLM extension is incomplete.</w:t>
      </w:r>
    </w:p>
    <w:p>
      <w:pPr>
        <w:pStyle w:val="Heading1"/>
      </w:pPr>
      <w:r>
        <w:t>5. Archon Supervised Session</w:t>
      </w:r>
    </w:p>
    <w:p>
      <w:r>
        <w:t>The group will book and attend the required supervised Archon visit. During the session, we will go through the provided real-humanoid demonstration-recording and policy-inference workflows and document the system inputs, recorded data, model outputs, and robot-control flow. The baseline proposal does not depend on training a new policy or deploying our own text-to-motion system on the physical robot.</w:t>
      </w:r>
    </w:p>
    <w:p>
      <w:pPr>
        <w:pStyle w:val="Heading1"/>
      </w:pPr>
      <w:r>
        <w:t>6. Team Organization and Responsibilities</w:t>
      </w:r>
    </w:p>
    <w:p>
      <w:r>
        <w:t>The 12-person team will be organized into two six-person method teams. Each team is responsible for an end-to-end method rather than only one isolated module. This allows Kimodo and ARDY to progress in parallel while enforcing a common interface, simulation scene, SONIC controller, grasp definition, and evaluation protocol.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pPr>
              <w:spacing w:after="0"/>
            </w:pPr>
            <w:r/>
            <w:r>
              <w:rPr>
                <w:rFonts w:ascii="Arial" w:hAnsi="Arial"/>
                <w:b/>
                <w:sz w:val="16"/>
              </w:rPr>
              <w:t>Team</w:t>
            </w:r>
          </w:p>
        </w:tc>
        <w:tc>
          <w:tcPr>
            <w:tcW w:type="dxa" w:w="2520"/>
            <w:vAlign w:val="center"/>
            <w:shd w:fill="D9E2F3"/>
          </w:tcPr>
          <w:p>
            <w:pPr>
              <w:spacing w:after="0"/>
            </w:pPr>
            <w:r/>
            <w:r>
              <w:rPr>
                <w:rFonts w:ascii="Arial" w:hAnsi="Arial"/>
                <w:b/>
                <w:sz w:val="16"/>
              </w:rPr>
              <w:t>Members</w:t>
            </w:r>
          </w:p>
        </w:tc>
        <w:tc>
          <w:tcPr>
            <w:tcW w:type="dxa" w:w="2520"/>
            <w:vAlign w:val="center"/>
            <w:shd w:fill="D9E2F3"/>
          </w:tcPr>
          <w:p>
            <w:pPr>
              <w:spacing w:after="0"/>
            </w:pPr>
            <w:r/>
            <w:r>
              <w:rPr>
                <w:rFonts w:ascii="Arial" w:hAnsi="Arial"/>
                <w:b/>
                <w:sz w:val="16"/>
              </w:rPr>
              <w:t>Primary responsibilities</w:t>
            </w:r>
          </w:p>
        </w:tc>
        <w:tc>
          <w:tcPr>
            <w:tcW w:type="dxa" w:w="2520"/>
            <w:vAlign w:val="center"/>
            <w:shd w:fill="D9E2F3"/>
          </w:tcPr>
          <w:p>
            <w:pPr>
              <w:spacing w:after="0"/>
            </w:pPr>
            <w:r/>
            <w:r>
              <w:rPr>
                <w:rFonts w:ascii="Arial" w:hAnsi="Arial"/>
                <w:b/>
                <w:sz w:val="16"/>
              </w:rPr>
              <w:t>Parallel extension responsibility</w:t>
            </w:r>
          </w:p>
        </w:tc>
      </w:tr>
      <w:tr>
        <w:tc>
          <w:tcPr>
            <w:tcW w:type="dxa" w:w="2520"/>
            <w:vAlign w:val="center"/>
          </w:tcPr>
          <w:p>
            <w:pPr>
              <w:spacing w:after="0"/>
            </w:pPr>
            <w:r/>
            <w:r>
              <w:rPr>
                <w:rFonts w:ascii="Arial" w:hAnsi="Arial"/>
                <w:b w:val="0"/>
                <w:sz w:val="15"/>
              </w:rPr>
              <w:t>Team A — Kimodo</w:t>
            </w:r>
          </w:p>
        </w:tc>
        <w:tc>
          <w:tcPr>
            <w:tcW w:type="dxa" w:w="2520"/>
            <w:vAlign w:val="center"/>
          </w:tcPr>
          <w:p>
            <w:pPr>
              <w:spacing w:after="0"/>
            </w:pPr>
            <w:r/>
            <w:r>
              <w:rPr>
                <w:rFonts w:ascii="Arial" w:hAnsi="Arial"/>
                <w:b w:val="0"/>
                <w:sz w:val="15"/>
              </w:rPr>
              <w:t>Li Jingyao; Meng Guanlin; Hao Hao; Zhang Wenqi; Yuhan; Member 6 (to confirm)</w:t>
            </w:r>
          </w:p>
        </w:tc>
        <w:tc>
          <w:tcPr>
            <w:tcW w:type="dxa" w:w="2520"/>
            <w:vAlign w:val="center"/>
          </w:tcPr>
          <w:p>
            <w:pPr>
              <w:spacing w:after="0"/>
            </w:pPr>
            <w:r/>
            <w:r>
              <w:rPr>
                <w:rFonts w:ascii="Arial" w:hAnsi="Arial"/>
                <w:b w:val="0"/>
                <w:sz w:val="15"/>
              </w:rPr>
              <w:t>Kimodo-G1 deployment; G1/table/block simulation; Kimodo→SONIC adaptation; grasp/hand control; method-specific evaluation; demo recording.</w:t>
            </w:r>
          </w:p>
        </w:tc>
        <w:tc>
          <w:tcPr>
            <w:tcW w:type="dxa" w:w="2520"/>
            <w:vAlign w:val="center"/>
          </w:tcPr>
          <w:p>
            <w:pPr>
              <w:spacing w:after="0"/>
            </w:pPr>
            <w:r/>
            <w:r>
              <w:rPr>
                <w:rFonts w:ascii="Arial" w:hAnsi="Arial"/>
                <w:b w:val="0"/>
                <w:sz w:val="15"/>
              </w:rPr>
              <w:t>Implement one branch of the VLM/LLM→text→Kimodo interface and contribute to shared evaluation/reporting.</w:t>
            </w:r>
          </w:p>
        </w:tc>
      </w:tr>
      <w:tr>
        <w:tc>
          <w:tcPr>
            <w:tcW w:type="dxa" w:w="2520"/>
            <w:vAlign w:val="center"/>
          </w:tcPr>
          <w:p>
            <w:pPr>
              <w:spacing w:after="0"/>
            </w:pPr>
            <w:r/>
            <w:r>
              <w:rPr>
                <w:rFonts w:ascii="Arial" w:hAnsi="Arial"/>
                <w:b w:val="0"/>
                <w:sz w:val="15"/>
              </w:rPr>
              <w:t>Team B — ARDY</w:t>
            </w:r>
          </w:p>
        </w:tc>
        <w:tc>
          <w:tcPr>
            <w:tcW w:type="dxa" w:w="2520"/>
            <w:vAlign w:val="center"/>
          </w:tcPr>
          <w:p>
            <w:pPr>
              <w:spacing w:after="0"/>
            </w:pPr>
            <w:r/>
            <w:r>
              <w:rPr>
                <w:rFonts w:ascii="Arial" w:hAnsi="Arial"/>
                <w:b w:val="0"/>
                <w:sz w:val="15"/>
              </w:rPr>
              <w:t>Chen Jianyu; Huang Xinxuan; Zhang Yuanzhuo; Tang Zichun; Zhang Yixin; Member 12 (to confirm)</w:t>
            </w:r>
          </w:p>
        </w:tc>
        <w:tc>
          <w:tcPr>
            <w:tcW w:type="dxa" w:w="2520"/>
            <w:vAlign w:val="center"/>
          </w:tcPr>
          <w:p>
            <w:pPr>
              <w:spacing w:after="0"/>
            </w:pPr>
            <w:r/>
            <w:r>
              <w:rPr>
                <w:rFonts w:ascii="Arial" w:hAnsi="Arial"/>
                <w:b w:val="0"/>
                <w:sz w:val="15"/>
              </w:rPr>
              <w:t>ARDY-G1 deployment; matched simulation setup; ARDY→SONIC adaptation; grasp/hand control; method-specific evaluation; demo recording.</w:t>
            </w:r>
          </w:p>
        </w:tc>
        <w:tc>
          <w:tcPr>
            <w:tcW w:type="dxa" w:w="2520"/>
            <w:vAlign w:val="center"/>
          </w:tcPr>
          <w:p>
            <w:pPr>
              <w:spacing w:after="0"/>
            </w:pPr>
            <w:r/>
            <w:r>
              <w:rPr>
                <w:rFonts w:ascii="Arial" w:hAnsi="Arial"/>
                <w:b w:val="0"/>
                <w:sz w:val="15"/>
              </w:rPr>
              <w:t>Implement one branch of the VLM/LLM→text→ARDY interface and contribute to shared evaluation/reporting.</w:t>
            </w:r>
          </w:p>
        </w:tc>
      </w:tr>
    </w:tbl>
    <w:p>
      <w:r>
        <w:t>The meeting minutes identify ten members by name; the remaining two names were not present in the available minutes and are therefore left as placeholders rather than guessed. The final submission will replace these placeholders and specify each member's exact contribution.</w:t>
      </w:r>
    </w:p>
    <w:p>
      <w:pPr>
        <w:pStyle w:val="Heading2"/>
      </w:pPr>
      <w:r>
        <w:t>6.1 Suggested internal roles within each six-person team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pPr>
              <w:spacing w:after="0"/>
            </w:pPr>
            <w:r/>
            <w:r>
              <w:rPr>
                <w:rFonts w:ascii="Arial" w:hAnsi="Arial"/>
                <w:b/>
                <w:sz w:val="17"/>
              </w:rPr>
              <w:t>Role</w:t>
            </w:r>
          </w:p>
        </w:tc>
        <w:tc>
          <w:tcPr>
            <w:tcW w:type="dxa" w:w="5040"/>
            <w:vAlign w:val="center"/>
            <w:shd w:fill="E9EEF5"/>
          </w:tcPr>
          <w:p>
            <w:pPr>
              <w:spacing w:after="0"/>
            </w:pPr>
            <w:r/>
            <w:r>
              <w:rPr>
                <w:rFonts w:ascii="Arial" w:hAnsi="Arial"/>
                <w:b/>
                <w:sz w:val="17"/>
              </w:rPr>
              <w:t>Responsibility</w:t>
            </w:r>
          </w:p>
        </w:tc>
      </w:tr>
      <w:tr>
        <w:tc>
          <w:tcPr>
            <w:tcW w:type="dxa" w:w="5040"/>
            <w:vAlign w:val="center"/>
          </w:tcPr>
          <w:p>
            <w:pPr>
              <w:spacing w:after="0"/>
            </w:pPr>
            <w:r/>
            <w:r>
              <w:rPr>
                <w:rFonts w:ascii="Arial" w:hAnsi="Arial"/>
                <w:b/>
                <w:sz w:val="16"/>
              </w:rPr>
              <w:t>1. Method lead / integration</w:t>
            </w:r>
          </w:p>
        </w:tc>
        <w:tc>
          <w:tcPr>
            <w:tcW w:type="dxa" w:w="5040"/>
            <w:vAlign w:val="center"/>
          </w:tcPr>
          <w:p>
            <w:pPr>
              <w:spacing w:after="0"/>
            </w:pPr>
            <w:r/>
            <w:r>
              <w:rPr>
                <w:rFonts w:ascii="Arial" w:hAnsi="Arial"/>
                <w:b w:val="0"/>
                <w:sz w:val="16"/>
              </w:rPr>
              <w:t>Own the method pipeline, interfaces, schedule, and cross-team compatibility.</w:t>
            </w:r>
          </w:p>
        </w:tc>
      </w:tr>
      <w:tr>
        <w:tc>
          <w:tcPr>
            <w:tcW w:type="dxa" w:w="5040"/>
            <w:vAlign w:val="center"/>
          </w:tcPr>
          <w:p>
            <w:pPr>
              <w:spacing w:after="0"/>
            </w:pPr>
            <w:r/>
            <w:r>
              <w:rPr>
                <w:rFonts w:ascii="Arial" w:hAnsi="Arial"/>
                <w:b/>
                <w:sz w:val="16"/>
              </w:rPr>
              <w:t>2. Model deployment</w:t>
            </w:r>
          </w:p>
        </w:tc>
        <w:tc>
          <w:tcPr>
            <w:tcW w:type="dxa" w:w="5040"/>
            <w:vAlign w:val="center"/>
          </w:tcPr>
          <w:p>
            <w:pPr>
              <w:spacing w:after="0"/>
            </w:pPr>
            <w:r/>
            <w:r>
              <w:rPr>
                <w:rFonts w:ascii="Arial" w:hAnsi="Arial"/>
                <w:b w:val="0"/>
                <w:sz w:val="16"/>
              </w:rPr>
              <w:t>Set up the pretrained motion generator and reproduce official inference examples.</w:t>
            </w:r>
          </w:p>
        </w:tc>
      </w:tr>
      <w:tr>
        <w:tc>
          <w:tcPr>
            <w:tcW w:type="dxa" w:w="5040"/>
            <w:vAlign w:val="center"/>
          </w:tcPr>
          <w:p>
            <w:pPr>
              <w:spacing w:after="0"/>
            </w:pPr>
            <w:r/>
            <w:r>
              <w:rPr>
                <w:rFonts w:ascii="Arial" w:hAnsi="Arial"/>
                <w:b/>
                <w:sz w:val="16"/>
              </w:rPr>
              <w:t>3. Simulation + SONIC</w:t>
            </w:r>
          </w:p>
        </w:tc>
        <w:tc>
          <w:tcPr>
            <w:tcW w:type="dxa" w:w="5040"/>
            <w:vAlign w:val="center"/>
          </w:tcPr>
          <w:p>
            <w:pPr>
              <w:spacing w:after="0"/>
            </w:pPr>
            <w:r/>
            <w:r>
              <w:rPr>
                <w:rFonts w:ascii="Arial" w:hAnsi="Arial"/>
                <w:b w:val="0"/>
                <w:sz w:val="16"/>
              </w:rPr>
              <w:t>Maintain G1 scene, SONIC execution, and motion-format adaptation.</w:t>
            </w:r>
          </w:p>
        </w:tc>
      </w:tr>
      <w:tr>
        <w:tc>
          <w:tcPr>
            <w:tcW w:type="dxa" w:w="5040"/>
            <w:vAlign w:val="center"/>
          </w:tcPr>
          <w:p>
            <w:pPr>
              <w:spacing w:after="0"/>
            </w:pPr>
            <w:r/>
            <w:r>
              <w:rPr>
                <w:rFonts w:ascii="Arial" w:hAnsi="Arial"/>
                <w:b/>
                <w:sz w:val="16"/>
              </w:rPr>
              <w:t>4. Grasp / hand control</w:t>
            </w:r>
          </w:p>
        </w:tc>
        <w:tc>
          <w:tcPr>
            <w:tcW w:type="dxa" w:w="5040"/>
            <w:vAlign w:val="center"/>
          </w:tcPr>
          <w:p>
            <w:pPr>
              <w:spacing w:after="0"/>
            </w:pPr>
            <w:r/>
            <w:r>
              <w:rPr>
                <w:rFonts w:ascii="Arial" w:hAnsi="Arial"/>
                <w:b w:val="0"/>
                <w:sz w:val="16"/>
              </w:rPr>
              <w:t>Define pre-grasp, grasp, lift behavior and separate hand/gripper control.</w:t>
            </w:r>
          </w:p>
        </w:tc>
      </w:tr>
      <w:tr>
        <w:tc>
          <w:tcPr>
            <w:tcW w:type="dxa" w:w="5040"/>
            <w:vAlign w:val="center"/>
          </w:tcPr>
          <w:p>
            <w:pPr>
              <w:spacing w:after="0"/>
            </w:pPr>
            <w:r/>
            <w:r>
              <w:rPr>
                <w:rFonts w:ascii="Arial" w:hAnsi="Arial"/>
                <w:b/>
                <w:sz w:val="16"/>
              </w:rPr>
              <w:t>5. Evaluation + logging</w:t>
            </w:r>
          </w:p>
        </w:tc>
        <w:tc>
          <w:tcPr>
            <w:tcW w:type="dxa" w:w="5040"/>
            <w:vAlign w:val="center"/>
          </w:tcPr>
          <w:p>
            <w:pPr>
              <w:spacing w:after="0"/>
            </w:pPr>
            <w:r/>
            <w:r>
              <w:rPr>
                <w:rFonts w:ascii="Arial" w:hAnsi="Arial"/>
                <w:b w:val="0"/>
                <w:sz w:val="16"/>
              </w:rPr>
              <w:t>Implement metrics, repeated-trial scripts, failure logging, and matched comparisons.</w:t>
            </w:r>
          </w:p>
        </w:tc>
      </w:tr>
      <w:tr>
        <w:tc>
          <w:tcPr>
            <w:tcW w:type="dxa" w:w="5040"/>
            <w:vAlign w:val="center"/>
          </w:tcPr>
          <w:p>
            <w:pPr>
              <w:spacing w:after="0"/>
            </w:pPr>
            <w:r/>
            <w:r>
              <w:rPr>
                <w:rFonts w:ascii="Arial" w:hAnsi="Arial"/>
                <w:b/>
                <w:sz w:val="16"/>
              </w:rPr>
              <w:t>6. VLM/LLM extension + documentation</w:t>
            </w:r>
          </w:p>
        </w:tc>
        <w:tc>
          <w:tcPr>
            <w:tcW w:type="dxa" w:w="5040"/>
            <w:vAlign w:val="center"/>
          </w:tcPr>
          <w:p>
            <w:pPr>
              <w:spacing w:after="0"/>
            </w:pPr>
            <w:r/>
            <w:r>
              <w:rPr>
                <w:rFonts w:ascii="Arial" w:hAnsi="Arial"/>
                <w:b w:val="0"/>
                <w:sz w:val="16"/>
              </w:rPr>
              <w:t>Build the optional visual-to-text interface and maintain setup/report/demo artifacts.</w:t>
            </w:r>
          </w:p>
        </w:tc>
      </w:tr>
    </w:tbl>
    <w:p>
      <w:pPr>
        <w:pStyle w:val="Heading1"/>
      </w:pPr>
      <w:r>
        <w:t>7. Work Plan and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spacing w:after="0"/>
            </w:pPr>
            <w:r/>
            <w:r>
              <w:rPr>
                <w:rFonts w:ascii="Arial" w:hAnsi="Arial"/>
                <w:b/>
                <w:sz w:val="17"/>
              </w:rPr>
              <w:t>Milestone</w:t>
            </w:r>
          </w:p>
        </w:tc>
        <w:tc>
          <w:tcPr>
            <w:tcW w:type="dxa" w:w="3360"/>
            <w:vAlign w:val="center"/>
            <w:shd w:fill="D9E2F3"/>
          </w:tcPr>
          <w:p>
            <w:pPr>
              <w:spacing w:after="0"/>
            </w:pPr>
            <w:r/>
            <w:r>
              <w:rPr>
                <w:rFonts w:ascii="Arial" w:hAnsi="Arial"/>
                <w:b/>
                <w:sz w:val="17"/>
              </w:rPr>
              <w:t>Target outcome</w:t>
            </w:r>
          </w:p>
        </w:tc>
        <w:tc>
          <w:tcPr>
            <w:tcW w:type="dxa" w:w="3360"/>
            <w:vAlign w:val="center"/>
            <w:shd w:fill="D9E2F3"/>
          </w:tcPr>
          <w:p>
            <w:pPr>
              <w:spacing w:after="0"/>
            </w:pPr>
            <w:r/>
            <w:r>
              <w:rPr>
                <w:rFonts w:ascii="Arial" w:hAnsi="Arial"/>
                <w:b/>
                <w:sz w:val="17"/>
              </w:rPr>
              <w:t>Dependency / risk control</w:t>
            </w:r>
          </w:p>
        </w:tc>
      </w:tr>
      <w:tr>
        <w:tc>
          <w:tcPr>
            <w:tcW w:type="dxa" w:w="3360"/>
            <w:vAlign w:val="center"/>
          </w:tcPr>
          <w:p>
            <w:pPr>
              <w:spacing w:after="0"/>
            </w:pPr>
            <w:r/>
            <w:r>
              <w:rPr>
                <w:rFonts w:ascii="Arial" w:hAnsi="Arial"/>
                <w:b w:val="0"/>
                <w:sz w:val="16"/>
              </w:rPr>
              <w:t>M1 — Independent baselines</w:t>
            </w:r>
          </w:p>
        </w:tc>
        <w:tc>
          <w:tcPr>
            <w:tcW w:type="dxa" w:w="3360"/>
            <w:vAlign w:val="center"/>
          </w:tcPr>
          <w:p>
            <w:pPr>
              <w:spacing w:after="0"/>
            </w:pPr>
            <w:r/>
            <w:r>
              <w:rPr>
                <w:rFonts w:ascii="Arial" w:hAnsi="Arial"/>
                <w:b w:val="0"/>
                <w:sz w:val="16"/>
              </w:rPr>
              <w:t>Official Kimodo and ARDY inference runs; G1+SONIC simulation operational; simple scripted grasp validated.</w:t>
            </w:r>
          </w:p>
        </w:tc>
        <w:tc>
          <w:tcPr>
            <w:tcW w:type="dxa" w:w="3360"/>
            <w:vAlign w:val="center"/>
          </w:tcPr>
          <w:p>
            <w:pPr>
              <w:spacing w:after="0"/>
            </w:pPr>
            <w:r/>
            <w:r>
              <w:rPr>
                <w:rFonts w:ascii="Arial" w:hAnsi="Arial"/>
                <w:b w:val="0"/>
                <w:sz w:val="16"/>
              </w:rPr>
              <w:t>Prioritize minimum viable pipeline; avoid fine-tuning.</w:t>
            </w:r>
          </w:p>
        </w:tc>
      </w:tr>
      <w:tr>
        <w:tc>
          <w:tcPr>
            <w:tcW w:type="dxa" w:w="3360"/>
            <w:vAlign w:val="center"/>
          </w:tcPr>
          <w:p>
            <w:pPr>
              <w:spacing w:after="0"/>
            </w:pPr>
            <w:r/>
            <w:r>
              <w:rPr>
                <w:rFonts w:ascii="Arial" w:hAnsi="Arial"/>
                <w:b w:val="0"/>
                <w:sz w:val="16"/>
              </w:rPr>
              <w:t>M2 — End-to-end integration</w:t>
            </w:r>
          </w:p>
        </w:tc>
        <w:tc>
          <w:tcPr>
            <w:tcW w:type="dxa" w:w="3360"/>
            <w:vAlign w:val="center"/>
          </w:tcPr>
          <w:p>
            <w:pPr>
              <w:spacing w:after="0"/>
            </w:pPr>
            <w:r/>
            <w:r>
              <w:rPr>
                <w:rFonts w:ascii="Arial" w:hAnsi="Arial"/>
                <w:b w:val="0"/>
                <w:sz w:val="16"/>
              </w:rPr>
              <w:t>Kimodo→SONIC→G1 grasp and ARDY→SONIC→G1 grasp both runnable.</w:t>
            </w:r>
          </w:p>
        </w:tc>
        <w:tc>
          <w:tcPr>
            <w:tcW w:type="dxa" w:w="3360"/>
            <w:vAlign w:val="center"/>
          </w:tcPr>
          <w:p>
            <w:pPr>
              <w:spacing w:after="0"/>
            </w:pPr>
            <w:r/>
            <w:r>
              <w:rPr>
                <w:rFonts w:ascii="Arial" w:hAnsi="Arial"/>
                <w:b w:val="0"/>
                <w:sz w:val="16"/>
              </w:rPr>
              <w:t>Use shared motion/grasp interfaces and fixed scene.</w:t>
            </w:r>
          </w:p>
        </w:tc>
      </w:tr>
      <w:tr>
        <w:tc>
          <w:tcPr>
            <w:tcW w:type="dxa" w:w="3360"/>
            <w:vAlign w:val="center"/>
          </w:tcPr>
          <w:p>
            <w:pPr>
              <w:spacing w:after="0"/>
            </w:pPr>
            <w:r/>
            <w:r>
              <w:rPr>
                <w:rFonts w:ascii="Arial" w:hAnsi="Arial"/>
                <w:b w:val="0"/>
                <w:sz w:val="16"/>
              </w:rPr>
              <w:t>M3 — Controlled comparison</w:t>
            </w:r>
          </w:p>
        </w:tc>
        <w:tc>
          <w:tcPr>
            <w:tcW w:type="dxa" w:w="3360"/>
            <w:vAlign w:val="center"/>
          </w:tcPr>
          <w:p>
            <w:pPr>
              <w:spacing w:after="0"/>
            </w:pPr>
            <w:r/>
            <w:r>
              <w:rPr>
                <w:rFonts w:ascii="Arial" w:hAnsi="Arial"/>
                <w:b w:val="0"/>
                <w:sz w:val="16"/>
              </w:rPr>
              <w:t>Repeated trials, metrics, failure taxonomy, successful and failed videos.</w:t>
            </w:r>
          </w:p>
        </w:tc>
        <w:tc>
          <w:tcPr>
            <w:tcW w:type="dxa" w:w="3360"/>
            <w:vAlign w:val="center"/>
          </w:tcPr>
          <w:p>
            <w:pPr>
              <w:spacing w:after="0"/>
            </w:pPr>
            <w:r/>
            <w:r>
              <w:rPr>
                <w:rFonts w:ascii="Arial" w:hAnsi="Arial"/>
                <w:b w:val="0"/>
                <w:sz w:val="16"/>
              </w:rPr>
              <w:t>Same instructions and comparable conditions.</w:t>
            </w:r>
          </w:p>
        </w:tc>
      </w:tr>
      <w:tr>
        <w:tc>
          <w:tcPr>
            <w:tcW w:type="dxa" w:w="3360"/>
            <w:vAlign w:val="center"/>
          </w:tcPr>
          <w:p>
            <w:pPr>
              <w:spacing w:after="0"/>
            </w:pPr>
            <w:r/>
            <w:r>
              <w:rPr>
                <w:rFonts w:ascii="Arial" w:hAnsi="Arial"/>
                <w:b w:val="0"/>
                <w:sz w:val="16"/>
              </w:rPr>
              <w:t>M4 — Optional extension</w:t>
            </w:r>
          </w:p>
        </w:tc>
        <w:tc>
          <w:tcPr>
            <w:tcW w:type="dxa" w:w="3360"/>
            <w:vAlign w:val="center"/>
          </w:tcPr>
          <w:p>
            <w:pPr>
              <w:spacing w:after="0"/>
            </w:pPr>
            <w:r/>
            <w:r>
              <w:rPr>
                <w:rFonts w:ascii="Arial" w:hAnsi="Arial"/>
                <w:b w:val="0"/>
                <w:sz w:val="16"/>
              </w:rPr>
              <w:t>VLM/LLM converts simulated visual context into downstream text/spatial instruction for both methods.</w:t>
            </w:r>
          </w:p>
        </w:tc>
        <w:tc>
          <w:tcPr>
            <w:tcW w:type="dxa" w:w="3360"/>
            <w:vAlign w:val="center"/>
          </w:tcPr>
          <w:p>
            <w:pPr>
              <w:spacing w:after="0"/>
            </w:pPr>
            <w:r/>
            <w:r>
              <w:rPr>
                <w:rFonts w:ascii="Arial" w:hAnsi="Arial"/>
                <w:b w:val="0"/>
                <w:sz w:val="16"/>
              </w:rPr>
              <w:t>Keep extension decoupled from baseline.</w:t>
            </w:r>
          </w:p>
        </w:tc>
      </w:tr>
      <w:tr>
        <w:tc>
          <w:tcPr>
            <w:tcW w:type="dxa" w:w="3360"/>
            <w:vAlign w:val="center"/>
          </w:tcPr>
          <w:p>
            <w:pPr>
              <w:spacing w:after="0"/>
            </w:pPr>
            <w:r/>
            <w:r>
              <w:rPr>
                <w:rFonts w:ascii="Arial" w:hAnsi="Arial"/>
                <w:b w:val="0"/>
                <w:sz w:val="16"/>
              </w:rPr>
              <w:t>M5 — Final artifacts</w:t>
            </w:r>
          </w:p>
        </w:tc>
        <w:tc>
          <w:tcPr>
            <w:tcW w:type="dxa" w:w="3360"/>
            <w:vAlign w:val="center"/>
          </w:tcPr>
          <w:p>
            <w:pPr>
              <w:spacing w:after="0"/>
            </w:pPr>
            <w:r/>
            <w:r>
              <w:rPr>
                <w:rFonts w:ascii="Arial" w:hAnsi="Arial"/>
                <w:b w:val="0"/>
                <w:sz w:val="16"/>
              </w:rPr>
              <w:t>Public GitHub, setup/configuration/evaluation code, report, presentation, videos, contribution statement.</w:t>
            </w:r>
          </w:p>
        </w:tc>
        <w:tc>
          <w:tcPr>
            <w:tcW w:type="dxa" w:w="3360"/>
            <w:vAlign w:val="center"/>
          </w:tcPr>
          <w:p>
            <w:pPr>
              <w:spacing w:after="0"/>
            </w:pPr>
            <w:r/>
            <w:r>
              <w:rPr>
                <w:rFonts w:ascii="Arial" w:hAnsi="Arial"/>
                <w:b w:val="0"/>
                <w:sz w:val="16"/>
              </w:rPr>
              <w:t>Reproducibility review before submission.</w:t>
            </w:r>
          </w:p>
        </w:tc>
      </w:tr>
    </w:tbl>
    <w:p>
      <w:pPr>
        <w:pStyle w:val="Heading1"/>
      </w:pPr>
      <w:r>
        <w:t>8. Expected Deliverables</w:t>
      </w:r>
    </w:p>
    <w:p>
      <w:pPr>
        <w:pStyle w:val="ListBullet"/>
        <w:spacing w:after="40"/>
      </w:pPr>
      <w:r>
        <w:t>A 5–8 page final report describing the Archon session, simulation system, both methods, evaluation, failures, and completed extensions.</w:t>
      </w:r>
    </w:p>
    <w:p>
      <w:pPr>
        <w:pStyle w:val="ListBullet"/>
        <w:spacing w:after="40"/>
      </w:pPr>
      <w:r>
        <w:t>A 10-minute presentation including a required demonstration, followed by Q&amp;A.</w:t>
      </w:r>
    </w:p>
    <w:p>
      <w:pPr>
        <w:pStyle w:val="ListBullet"/>
        <w:spacing w:after="40"/>
      </w:pPr>
      <w:r>
        <w:t>Videos showing the text instructions and corresponding G1 behavior, including successful and failed trials for both Kimodo and ARDY.</w:t>
      </w:r>
    </w:p>
    <w:p>
      <w:pPr>
        <w:pStyle w:val="ListBullet"/>
        <w:spacing w:after="40"/>
      </w:pPr>
      <w:r>
        <w:t>A public GitHub repository containing implementation, configurations, setup instructions, and evaluation code, without credentials or restricted materials.</w:t>
      </w:r>
    </w:p>
    <w:p>
      <w:pPr>
        <w:pStyle w:val="ListBullet"/>
        <w:spacing w:after="40"/>
      </w:pPr>
      <w:r>
        <w:t>A contribution statement documenting each member’s actual work.</w:t>
      </w:r>
    </w:p>
    <w:p>
      <w:pPr>
        <w:pStyle w:val="ListBullet"/>
        <w:spacing w:after="40"/>
      </w:pPr>
      <w:r>
        <w:t>If completed, evidence and code for the VLM/LLM-guided extension.</w:t>
      </w:r>
    </w:p>
    <w:p>
      <w:pPr>
        <w:pStyle w:val="Heading1"/>
      </w:pPr>
      <w:r>
        <w:t>9. Feasibility, Resources, and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spacing w:after="0"/>
            </w:pPr>
            <w:r/>
            <w:r>
              <w:rPr>
                <w:rFonts w:ascii="Arial" w:hAnsi="Arial"/>
                <w:b/>
                <w:sz w:val="17"/>
              </w:rPr>
              <w:t>Risk</w:t>
            </w:r>
          </w:p>
        </w:tc>
        <w:tc>
          <w:tcPr>
            <w:tcW w:type="dxa" w:w="3360"/>
            <w:vAlign w:val="center"/>
            <w:shd w:fill="D9E2F3"/>
          </w:tcPr>
          <w:p>
            <w:pPr>
              <w:spacing w:after="0"/>
            </w:pPr>
            <w:r/>
            <w:r>
              <w:rPr>
                <w:rFonts w:ascii="Arial" w:hAnsi="Arial"/>
                <w:b/>
                <w:sz w:val="17"/>
              </w:rPr>
              <w:t>Impact</w:t>
            </w:r>
          </w:p>
        </w:tc>
        <w:tc>
          <w:tcPr>
            <w:tcW w:type="dxa" w:w="3360"/>
            <w:vAlign w:val="center"/>
            <w:shd w:fill="D9E2F3"/>
          </w:tcPr>
          <w:p>
            <w:pPr>
              <w:spacing w:after="0"/>
            </w:pPr>
            <w:r/>
            <w:r>
              <w:rPr>
                <w:rFonts w:ascii="Arial" w:hAnsi="Arial"/>
                <w:b/>
                <w:sz w:val="17"/>
              </w:rPr>
              <w:t>Mitigation</w:t>
            </w:r>
          </w:p>
        </w:tc>
      </w:tr>
      <w:tr>
        <w:tc>
          <w:tcPr>
            <w:tcW w:type="dxa" w:w="3360"/>
            <w:vAlign w:val="center"/>
          </w:tcPr>
          <w:p>
            <w:pPr>
              <w:spacing w:after="0"/>
            </w:pPr>
            <w:r/>
            <w:r>
              <w:rPr>
                <w:rFonts w:ascii="Arial" w:hAnsi="Arial"/>
                <w:b w:val="0"/>
                <w:sz w:val="16"/>
              </w:rPr>
              <w:t>Motion representation mismatch</w:t>
            </w:r>
          </w:p>
        </w:tc>
        <w:tc>
          <w:tcPr>
            <w:tcW w:type="dxa" w:w="3360"/>
            <w:vAlign w:val="center"/>
          </w:tcPr>
          <w:p>
            <w:pPr>
              <w:spacing w:after="0"/>
            </w:pPr>
            <w:r/>
            <w:r>
              <w:rPr>
                <w:rFonts w:ascii="Arial" w:hAnsi="Arial"/>
                <w:b w:val="0"/>
                <w:sz w:val="16"/>
              </w:rPr>
              <w:t>Kimodo/ARDY output may not directly match SONIC/G1 input.</w:t>
            </w:r>
          </w:p>
        </w:tc>
        <w:tc>
          <w:tcPr>
            <w:tcW w:type="dxa" w:w="3360"/>
            <w:vAlign w:val="center"/>
          </w:tcPr>
          <w:p>
            <w:pPr>
              <w:spacing w:after="0"/>
            </w:pPr>
            <w:r/>
            <w:r>
              <w:rPr>
                <w:rFonts w:ascii="Arial" w:hAnsi="Arial"/>
                <w:b w:val="0"/>
                <w:sz w:val="16"/>
              </w:rPr>
              <w:t>Validate interfaces early; define a shared adapter and canonical motion format.</w:t>
            </w:r>
          </w:p>
        </w:tc>
      </w:tr>
      <w:tr>
        <w:tc>
          <w:tcPr>
            <w:tcW w:type="dxa" w:w="3360"/>
            <w:vAlign w:val="center"/>
          </w:tcPr>
          <w:p>
            <w:pPr>
              <w:spacing w:after="0"/>
            </w:pPr>
            <w:r/>
            <w:r>
              <w:rPr>
                <w:rFonts w:ascii="Arial" w:hAnsi="Arial"/>
                <w:b w:val="0"/>
                <w:sz w:val="16"/>
              </w:rPr>
              <w:t>Grasping/contact instability</w:t>
            </w:r>
          </w:p>
        </w:tc>
        <w:tc>
          <w:tcPr>
            <w:tcW w:type="dxa" w:w="3360"/>
            <w:vAlign w:val="center"/>
          </w:tcPr>
          <w:p>
            <w:pPr>
              <w:spacing w:after="0"/>
            </w:pPr>
            <w:r/>
            <w:r>
              <w:rPr>
                <w:rFonts w:ascii="Arial" w:hAnsi="Arial"/>
                <w:b w:val="0"/>
                <w:sz w:val="16"/>
              </w:rPr>
              <w:t>Good-looking motion may still fail to grasp or lift.</w:t>
            </w:r>
          </w:p>
        </w:tc>
        <w:tc>
          <w:tcPr>
            <w:tcW w:type="dxa" w:w="3360"/>
            <w:vAlign w:val="center"/>
          </w:tcPr>
          <w:p>
            <w:pPr>
              <w:spacing w:after="0"/>
            </w:pPr>
            <w:r/>
            <w:r>
              <w:rPr>
                <w:rFonts w:ascii="Arial" w:hAnsi="Arial"/>
                <w:b w:val="0"/>
                <w:sz w:val="16"/>
              </w:rPr>
              <w:t>Start with fixed cube pose; use explicit pre-grasp/grasp/lift stages and separate hand control.</w:t>
            </w:r>
          </w:p>
        </w:tc>
      </w:tr>
      <w:tr>
        <w:tc>
          <w:tcPr>
            <w:tcW w:type="dxa" w:w="3360"/>
            <w:vAlign w:val="center"/>
          </w:tcPr>
          <w:p>
            <w:pPr>
              <w:spacing w:after="0"/>
            </w:pPr>
            <w:r/>
            <w:r>
              <w:rPr>
                <w:rFonts w:ascii="Arial" w:hAnsi="Arial"/>
                <w:b w:val="0"/>
                <w:sz w:val="16"/>
              </w:rPr>
              <w:t>Compute constraints</w:t>
            </w:r>
          </w:p>
        </w:tc>
        <w:tc>
          <w:tcPr>
            <w:tcW w:type="dxa" w:w="3360"/>
            <w:vAlign w:val="center"/>
          </w:tcPr>
          <w:p>
            <w:pPr>
              <w:spacing w:after="0"/>
            </w:pPr>
            <w:r/>
            <w:r>
              <w:rPr>
                <w:rFonts w:ascii="Arial" w:hAnsi="Arial"/>
                <w:b w:val="0"/>
                <w:sz w:val="16"/>
              </w:rPr>
              <w:t>Only limited high-end NVIDIA GPU resources may be available.</w:t>
            </w:r>
          </w:p>
        </w:tc>
        <w:tc>
          <w:tcPr>
            <w:tcW w:type="dxa" w:w="3360"/>
            <w:vAlign w:val="center"/>
          </w:tcPr>
          <w:p>
            <w:pPr>
              <w:spacing w:after="0"/>
            </w:pPr>
            <w:r/>
            <w:r>
              <w:rPr>
                <w:rFonts w:ascii="Arial" w:hAnsi="Arial"/>
                <w:b w:val="0"/>
                <w:sz w:val="16"/>
              </w:rPr>
              <w:t>Use pretrained inference; avoid baseline fine-tuning; profile before scaling experiments.</w:t>
            </w:r>
          </w:p>
        </w:tc>
      </w:tr>
      <w:tr>
        <w:tc>
          <w:tcPr>
            <w:tcW w:type="dxa" w:w="3360"/>
            <w:vAlign w:val="center"/>
          </w:tcPr>
          <w:p>
            <w:pPr>
              <w:spacing w:after="0"/>
            </w:pPr>
            <w:r/>
            <w:r>
              <w:rPr>
                <w:rFonts w:ascii="Arial" w:hAnsi="Arial"/>
                <w:b w:val="0"/>
                <w:sz w:val="16"/>
              </w:rPr>
              <w:t>VLM/LLM API or latency</w:t>
            </w:r>
          </w:p>
        </w:tc>
        <w:tc>
          <w:tcPr>
            <w:tcW w:type="dxa" w:w="3360"/>
            <w:vAlign w:val="center"/>
          </w:tcPr>
          <w:p>
            <w:pPr>
              <w:spacing w:after="0"/>
            </w:pPr>
            <w:r/>
            <w:r>
              <w:rPr>
                <w:rFonts w:ascii="Arial" w:hAnsi="Arial"/>
                <w:b w:val="0"/>
                <w:sz w:val="16"/>
              </w:rPr>
              <w:t>Extension may be costly, slow, or inconsistent.</w:t>
            </w:r>
          </w:p>
        </w:tc>
        <w:tc>
          <w:tcPr>
            <w:tcW w:type="dxa" w:w="3360"/>
            <w:vAlign w:val="center"/>
          </w:tcPr>
          <w:p>
            <w:pPr>
              <w:spacing w:after="0"/>
            </w:pPr>
            <w:r/>
            <w:r>
              <w:rPr>
                <w:rFonts w:ascii="Arial" w:hAnsi="Arial"/>
                <w:b w:val="0"/>
                <w:sz w:val="16"/>
              </w:rPr>
              <w:t>Treat as optional and keep baseline independent; confirm available API quota.</w:t>
            </w:r>
          </w:p>
        </w:tc>
      </w:tr>
      <w:tr>
        <w:tc>
          <w:tcPr>
            <w:tcW w:type="dxa" w:w="3360"/>
            <w:vAlign w:val="center"/>
          </w:tcPr>
          <w:p>
            <w:pPr>
              <w:spacing w:after="0"/>
            </w:pPr>
            <w:r/>
            <w:r>
              <w:rPr>
                <w:rFonts w:ascii="Arial" w:hAnsi="Arial"/>
                <w:b w:val="0"/>
                <w:sz w:val="16"/>
              </w:rPr>
              <w:t>Integration delay</w:t>
            </w:r>
          </w:p>
        </w:tc>
        <w:tc>
          <w:tcPr>
            <w:tcW w:type="dxa" w:w="3360"/>
            <w:vAlign w:val="center"/>
          </w:tcPr>
          <w:p>
            <w:pPr>
              <w:spacing w:after="0"/>
            </w:pPr>
            <w:r/>
            <w:r>
              <w:rPr>
                <w:rFonts w:ascii="Arial" w:hAnsi="Arial"/>
                <w:b w:val="0"/>
                <w:sz w:val="16"/>
              </w:rPr>
              <w:t>Two teams may produce incompatible pipelines.</w:t>
            </w:r>
          </w:p>
        </w:tc>
        <w:tc>
          <w:tcPr>
            <w:tcW w:type="dxa" w:w="3360"/>
            <w:vAlign w:val="center"/>
          </w:tcPr>
          <w:p>
            <w:pPr>
              <w:spacing w:after="0"/>
            </w:pPr>
            <w:r/>
            <w:r>
              <w:rPr>
                <w:rFonts w:ascii="Arial" w:hAnsi="Arial"/>
                <w:b w:val="0"/>
                <w:sz w:val="16"/>
              </w:rPr>
              <w:t>Share simulation, SONIC version, evaluation scripts, interfaces, and weekly integration checkpoints.</w:t>
            </w:r>
          </w:p>
        </w:tc>
      </w:tr>
    </w:tbl>
    <w:p>
      <w:pPr>
        <w:pStyle w:val="Heading1"/>
      </w:pPr>
      <w:r>
        <w:t>10. LLM Usage Statement</w:t>
      </w:r>
    </w:p>
    <w:p>
      <w:r>
        <w:t>ChatGPT was used during project ideation and proposal drafting to help organize the course requirements, meeting decisions, technical work packages, and wording of this proposal. The group will review and verify all technical claims, model interfaces, references, code, and experimental results before submission. Any subsequent use of LLMs or VLMs for coding, analysis, writing, or the proposed system extension will be documented in the final report with the affected components and the nature of the assistance.</w:t>
      </w:r>
    </w:p>
    <w:p>
      <w:pPr>
        <w:pStyle w:val="Heading1"/>
      </w:pPr>
      <w:r>
        <w:t>11. Proposal Scope Summary</w:t>
      </w:r>
    </w:p>
    <w:p>
      <w:r>
        <w:t>The core scope is a controlled comparison of two pretrained text-to-motion methods, Kimodo and ARDY, for Unitree G1 tabletop block grasping in simulation using the same SONIC low-level controller. The team will work as two parallel six-person method groups. The project prioritizes an end-to-end, reproducible baseline over unnecessary training. In parallel, an optional VLM/LLM perception-to-text extension will be explored so that simulated visual observations can be converted into richer instructions for Kimodo and ARDY. Fine-tuning, simulation data collection, and sim-to-real deployment are not baseline dependencies and may only be attempted after the required pipeline and evaluation are stable.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DASC7606C • Track 4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Small"/>
    <w:rPr>
      <w:rFonts w:ascii="Arial" w:hAnsi="Arial"/>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