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8A"/>
          <w:sz w:val="40"/>
        </w:rPr>
        <w:t>Archway — Agent Planning &amp; Action Plan</w:t>
      </w:r>
    </w:p>
    <w:p>
      <w:r>
        <w:rPr>
          <w:i/>
        </w:rPr>
        <w:t>Student-Managed Fund | AI Workflow Sandbox</w:t>
      </w:r>
    </w:p>
    <w:p>
      <w:r>
        <w:rPr>
          <w:i/>
        </w:rPr>
        <w:t>Last updated: 2026-05-28</w:t>
      </w:r>
    </w:p>
    <w:p/>
    <w:p>
      <w:r>
        <w:rPr>
          <w:b/>
          <w:color w:val="1F3A8A"/>
          <w:sz w:val="30"/>
        </w:rPr>
        <w:t>1. Executive Summary</w:t>
      </w:r>
    </w:p>
    <w:p>
      <w:r>
        <w:t>Archway is a sandbox for the student-managed fund to learn how AI can improve research, monitoring, and reporting workflows. The v0 dashboard (watchlist, event calendar, rating tracker) is shipped. The next phase moves from passive dashboards to active agents — starting with a single earnings-briefing agent and growing into a multi-agent reporting system.</w:t>
      </w:r>
    </w:p>
    <w:p>
      <w:r>
        <w:t>Architectural decision: build runtime agents on Claude Managed Agents (launched April 2026) rather than hand-rolling orchestration. This reduces maintenance burden — critical for a student fund where contributors turn over every 1–4 years — and gives students exposure to current industry patterns instead of legacy plumbing.</w:t>
      </w:r>
    </w:p>
    <w:p>
      <w:r>
        <w:rPr>
          <w:b/>
          <w:color w:val="1F3A8A"/>
          <w:sz w:val="30"/>
        </w:rPr>
        <w:t>2. Current State (Phase 0 — Shipped)</w:t>
      </w:r>
    </w:p>
    <w:p>
      <w:pPr>
        <w:pStyle w:val="ListBullet"/>
      </w:pPr>
      <w:r>
        <w:t>Python + Streamlit multi-page application, repo at github.com/hkuangedu/apps-Archway</w:t>
      </w:r>
    </w:p>
    <w:p>
      <w:pPr>
        <w:pStyle w:val="ListBullet"/>
      </w:pPr>
      <w:r>
        <w:t>Watchlist page — sector-organized, CSV-backed, editable via st.data_editor</w:t>
      </w:r>
    </w:p>
    <w:p>
      <w:pPr>
        <w:pStyle w:val="ListBullet"/>
      </w:pPr>
      <w:r>
        <w:t>Event Calendar page — upcoming earnings (Finnhub)</w:t>
      </w:r>
    </w:p>
    <w:p>
      <w:pPr>
        <w:pStyle w:val="ListBullet"/>
      </w:pPr>
      <w:r>
        <w:t>Rating Tracker page — current sell-side recommendation distribution (Finnhub)</w:t>
      </w:r>
    </w:p>
    <w:p>
      <w:pPr>
        <w:pStyle w:val="ListBullet"/>
      </w:pPr>
      <w:r>
        <w:t>Deployed on Streamlit Community Cloud with Finnhub free-tier API key</w:t>
      </w:r>
    </w:p>
    <w:p>
      <w:r>
        <w:rPr>
          <w:b/>
          <w:color w:val="1F3A8A"/>
          <w:sz w:val="30"/>
        </w:rPr>
        <w:t>3. Stack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Choice</w:t>
            </w:r>
          </w:p>
        </w:tc>
        <w:tc>
          <w:tcPr>
            <w:tcW w:type="dxa" w:w="2880"/>
          </w:tcPr>
          <w:p>
            <w:r>
              <w:rPr>
                <w:b/>
              </w:rPr>
              <w:t>Why</w:t>
            </w:r>
          </w:p>
        </w:tc>
      </w:tr>
      <w:tr>
        <w:tc>
          <w:tcPr>
            <w:tcW w:type="dxa" w:w="2880"/>
          </w:tcPr>
          <w:p>
            <w:r>
              <w:t>Building the system</w:t>
            </w:r>
          </w:p>
        </w:tc>
        <w:tc>
          <w:tcPr>
            <w:tcW w:type="dxa" w:w="2880"/>
          </w:tcPr>
          <w:p>
            <w:r>
              <w:t>Claude Code</w:t>
            </w:r>
          </w:p>
        </w:tc>
        <w:tc>
          <w:tcPr>
            <w:tcW w:type="dxa" w:w="2880"/>
          </w:tcPr>
          <w:p>
            <w:r>
              <w:t>Students pair with Claude to write the app</w:t>
            </w:r>
          </w:p>
        </w:tc>
      </w:tr>
      <w:tr>
        <w:tc>
          <w:tcPr>
            <w:tcW w:type="dxa" w:w="2880"/>
          </w:tcPr>
          <w:p>
            <w:r>
              <w:t>Runtime agents</w:t>
            </w:r>
          </w:p>
        </w:tc>
        <w:tc>
          <w:tcPr>
            <w:tcW w:type="dxa" w:w="2880"/>
          </w:tcPr>
          <w:p>
            <w:r>
              <w:t>Claude Managed Agents</w:t>
            </w:r>
          </w:p>
        </w:tc>
        <w:tc>
          <w:tcPr>
            <w:tcW w:type="dxa" w:w="2880"/>
          </w:tcPr>
          <w:p>
            <w:r>
              <w:t>Hosted; built-in grader, sandbox, memory; less to maintain</w:t>
            </w:r>
          </w:p>
        </w:tc>
      </w:tr>
      <w:tr>
        <w:tc>
          <w:tcPr>
            <w:tcW w:type="dxa" w:w="2880"/>
          </w:tcPr>
          <w:p>
            <w:r>
              <w:t>Daily fund workflow</w:t>
            </w:r>
          </w:p>
        </w:tc>
        <w:tc>
          <w:tcPr>
            <w:tcW w:type="dxa" w:w="2880"/>
          </w:tcPr>
          <w:p>
            <w:r>
              <w:t>Claude Cowork (Excel/Word/PPT)</w:t>
            </w:r>
          </w:p>
        </w:tc>
        <w:tc>
          <w:tcPr>
            <w:tcW w:type="dxa" w:w="2880"/>
          </w:tcPr>
          <w:p>
            <w:r>
              <w:t>Meets students where they already work</w:t>
            </w:r>
          </w:p>
        </w:tc>
      </w:tr>
      <w:tr>
        <w:tc>
          <w:tcPr>
            <w:tcW w:type="dxa" w:w="2880"/>
          </w:tcPr>
          <w:p>
            <w:r>
              <w:t>Collaboration plan</w:t>
            </w:r>
          </w:p>
        </w:tc>
        <w:tc>
          <w:tcPr>
            <w:tcW w:type="dxa" w:w="2880"/>
          </w:tcPr>
          <w:p>
            <w:r>
              <w:t>Claude Team (5–75 seats)</w:t>
            </w:r>
          </w:p>
        </w:tc>
        <w:tc>
          <w:tcPr>
            <w:tcW w:type="dxa" w:w="2880"/>
          </w:tcPr>
          <w:p>
            <w:r>
              <w:t>Shared Projects, connectors, fund-wide billing</w:t>
            </w:r>
          </w:p>
        </w:tc>
      </w:tr>
      <w:tr>
        <w:tc>
          <w:tcPr>
            <w:tcW w:type="dxa" w:w="2880"/>
          </w:tcPr>
          <w:p>
            <w:r>
              <w:t>App layer</w:t>
            </w:r>
          </w:p>
        </w:tc>
        <w:tc>
          <w:tcPr>
            <w:tcW w:type="dxa" w:w="2880"/>
          </w:tcPr>
          <w:p>
            <w:r>
              <w:t>Python + Streamlit</w:t>
            </w:r>
          </w:p>
        </w:tc>
        <w:tc>
          <w:tcPr>
            <w:tcW w:type="dxa" w:w="2880"/>
          </w:tcPr>
          <w:p>
            <w:r>
              <w:t>Idea → working tool in minutes; aligns with practitioner stacks</w:t>
            </w:r>
          </w:p>
        </w:tc>
      </w:tr>
      <w:tr>
        <w:tc>
          <w:tcPr>
            <w:tcW w:type="dxa" w:w="2880"/>
          </w:tcPr>
          <w:p>
            <w:r>
              <w:t>Data (v0)</w:t>
            </w:r>
          </w:p>
        </w:tc>
        <w:tc>
          <w:tcPr>
            <w:tcW w:type="dxa" w:w="2880"/>
          </w:tcPr>
          <w:p>
            <w:r>
              <w:t>Finnhub free tier</w:t>
            </w:r>
          </w:p>
        </w:tc>
        <w:tc>
          <w:tcPr>
            <w:tcW w:type="dxa" w:w="2880"/>
          </w:tcPr>
          <w:p>
            <w:r>
              <w:t>Earnings calendar + recommendation trends</w:t>
            </w:r>
          </w:p>
        </w:tc>
      </w:tr>
      <w:tr>
        <w:tc>
          <w:tcPr>
            <w:tcW w:type="dxa" w:w="2880"/>
          </w:tcPr>
          <w:p>
            <w:r>
              <w:t>Data (later)</w:t>
            </w:r>
          </w:p>
        </w:tc>
        <w:tc>
          <w:tcPr>
            <w:tcW w:type="dxa" w:w="2880"/>
          </w:tcPr>
          <w:p>
            <w:r>
              <w:t>Fund's existing vendor (TBD)</w:t>
            </w:r>
          </w:p>
        </w:tc>
        <w:tc>
          <w:tcPr>
            <w:tcW w:type="dxa" w:w="2880"/>
          </w:tcPr>
          <w:p>
            <w:r>
              <w:t>Pluggable via archway/data/ adapter pattern</w:t>
            </w:r>
          </w:p>
        </w:tc>
      </w:tr>
      <w:tr>
        <w:tc>
          <w:tcPr>
            <w:tcW w:type="dxa" w:w="2880"/>
          </w:tcPr>
          <w:p>
            <w:r>
              <w:t>Hosting</w:t>
            </w:r>
          </w:p>
        </w:tc>
        <w:tc>
          <w:tcPr>
            <w:tcW w:type="dxa" w:w="2880"/>
          </w:tcPr>
          <w:p>
            <w:r>
              <w:t>Streamlit Community Cloud</w:t>
            </w:r>
          </w:p>
        </w:tc>
        <w:tc>
          <w:tcPr>
            <w:tcW w:type="dxa" w:w="2880"/>
          </w:tcPr>
          <w:p>
            <w:r>
              <w:t>Free; school infra is the fallback</w:t>
            </w:r>
          </w:p>
        </w:tc>
      </w:tr>
    </w:tbl>
    <w:p/>
    <w:p>
      <w:r>
        <w:rPr>
          <w:b/>
          <w:color w:val="1F3A8A"/>
          <w:sz w:val="30"/>
        </w:rPr>
        <w:t>4. Agent Planning Map</w:t>
      </w:r>
    </w:p>
    <w:p>
      <w:r>
        <w:t>Agents are grouped by role. Producers do the work; orchestrators route it; quality agents police it; formatters package it for the audience.</w:t>
      </w:r>
    </w:p>
    <w:p>
      <w:r>
        <w:rPr>
          <w:b/>
          <w:sz w:val="24"/>
        </w:rPr>
        <w:t>Layer 1 — Producer Agents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Job</w:t>
            </w:r>
          </w:p>
        </w:tc>
        <w:tc>
          <w:tcPr>
            <w:tcW w:type="dxa" w:w="2880"/>
          </w:tcPr>
          <w:p>
            <w:r>
              <w:rPr>
                <w:b/>
              </w:rPr>
              <w:t>Tools needed</w:t>
            </w:r>
          </w:p>
        </w:tc>
      </w:tr>
      <w:tr>
        <w:tc>
          <w:tcPr>
            <w:tcW w:type="dxa" w:w="2880"/>
          </w:tcPr>
          <w:p>
            <w:r>
              <w:t>Earnings Briefing</w:t>
            </w:r>
          </w:p>
        </w:tc>
        <w:tc>
          <w:tcPr>
            <w:tcW w:type="dxa" w:w="2880"/>
          </w:tcPr>
          <w:p>
            <w:r>
              <w:t>Per-ticker briefing on day of report</w:t>
            </w:r>
          </w:p>
        </w:tc>
        <w:tc>
          <w:tcPr>
            <w:tcW w:type="dxa" w:w="2880"/>
          </w:tcPr>
          <w:p>
            <w:r>
              <w:t>get_calendar, get_actuals, get_press_release, get_news</w:t>
            </w:r>
          </w:p>
        </w:tc>
      </w:tr>
      <w:tr>
        <w:tc>
          <w:tcPr>
            <w:tcW w:type="dxa" w:w="2880"/>
          </w:tcPr>
          <w:p>
            <w:r>
              <w:t>Sector Commentary</w:t>
            </w:r>
          </w:p>
        </w:tc>
        <w:tc>
          <w:tcPr>
            <w:tcW w:type="dxa" w:w="2880"/>
          </w:tcPr>
          <w:p>
            <w:r>
              <w:t>Sector view for the quarterly report</w:t>
            </w:r>
          </w:p>
        </w:tc>
        <w:tc>
          <w:tcPr>
            <w:tcW w:type="dxa" w:w="2880"/>
          </w:tcPr>
          <w:p>
            <w:r>
              <w:t>get_sector_returns, get_top_movers, get_macro_context</w:t>
            </w:r>
          </w:p>
        </w:tc>
      </w:tr>
      <w:tr>
        <w:tc>
          <w:tcPr>
            <w:tcW w:type="dxa" w:w="2880"/>
          </w:tcPr>
          <w:p>
            <w:r>
              <w:t>Performance</w:t>
            </w:r>
          </w:p>
        </w:tc>
        <w:tc>
          <w:tcPr>
            <w:tcW w:type="dxa" w:w="2880"/>
          </w:tcPr>
          <w:p>
            <w:r>
              <w:t>Fund-level returns, attribution, top contributors/detractors</w:t>
            </w:r>
          </w:p>
        </w:tc>
        <w:tc>
          <w:tcPr>
            <w:tcW w:type="dxa" w:w="2880"/>
          </w:tcPr>
          <w:p>
            <w:r>
              <w:t>get_portfolio, get_returns, get_attribution</w:t>
            </w:r>
          </w:p>
        </w:tc>
      </w:tr>
      <w:tr>
        <w:tc>
          <w:tcPr>
            <w:tcW w:type="dxa" w:w="2880"/>
          </w:tcPr>
          <w:p>
            <w:r>
              <w:t>Holdings</w:t>
            </w:r>
          </w:p>
        </w:tc>
        <w:tc>
          <w:tcPr>
            <w:tcW w:type="dxa" w:w="2880"/>
          </w:tcPr>
          <w:p>
            <w:r>
              <w:t>Position-level commentary, concentration, changes vs prior period</w:t>
            </w:r>
          </w:p>
        </w:tc>
        <w:tc>
          <w:tcPr>
            <w:tcW w:type="dxa" w:w="2880"/>
          </w:tcPr>
          <w:p>
            <w:r>
              <w:t>get_positions, get_changes</w:t>
            </w:r>
          </w:p>
        </w:tc>
      </w:tr>
      <w:tr>
        <w:tc>
          <w:tcPr>
            <w:tcW w:type="dxa" w:w="2880"/>
          </w:tcPr>
          <w:p>
            <w:r>
              <w:t>Market</w:t>
            </w:r>
          </w:p>
        </w:tc>
        <w:tc>
          <w:tcPr>
            <w:tcW w:type="dxa" w:w="2880"/>
          </w:tcPr>
          <w:p>
            <w:r>
              <w:t>Macro / market commentary for the period</w:t>
            </w:r>
          </w:p>
        </w:tc>
        <w:tc>
          <w:tcPr>
            <w:tcW w:type="dxa" w:w="2880"/>
          </w:tcPr>
          <w:p>
            <w:r>
              <w:t>get_indices, get_rates, get_macro_news</w:t>
            </w:r>
          </w:p>
        </w:tc>
      </w:tr>
    </w:tbl>
    <w:p/>
    <w:p>
      <w:r>
        <w:rPr>
          <w:b/>
          <w:sz w:val="24"/>
        </w:rPr>
        <w:t>Layer 2 — Orchestration</w:t>
      </w:r>
    </w:p>
    <w:p>
      <w:pPr>
        <w:pStyle w:val="ListBullet"/>
      </w:pPr>
      <w:r>
        <w:t>Orchestrator Agent — reads the report template, dispatches sub-agents in parallel, assembles the draft</w:t>
      </w:r>
    </w:p>
    <w:p>
      <w:pPr>
        <w:pStyle w:val="ListBullet"/>
      </w:pPr>
      <w:r>
        <w:t>In Managed Agents, this is the 'lead agent' pattern with specialist subagents on a shared filesystem</w:t>
      </w:r>
    </w:p>
    <w:p>
      <w:r>
        <w:rPr>
          <w:b/>
          <w:sz w:val="24"/>
        </w:rPr>
        <w:t>Layer 3 — Quality Agents</w:t>
      </w:r>
    </w:p>
    <w:p>
      <w:pPr>
        <w:pStyle w:val="ListBullet"/>
      </w:pPr>
      <w:r>
        <w:t>Verification Agent — re-reads each numeric claim against the cited source; loops back to producer if a number doesn't tie</w:t>
      </w:r>
    </w:p>
    <w:p>
      <w:pPr>
        <w:pStyle w:val="ListBullet"/>
      </w:pPr>
      <w:r>
        <w:t xml:space="preserve">  Implemented as the Managed Agents rubric grader (built-in, no custom code)</w:t>
      </w:r>
    </w:p>
    <w:p>
      <w:pPr>
        <w:pStyle w:val="ListBullet"/>
      </w:pPr>
      <w:r>
        <w:t>Governance Agent — enforces fund rules: must-cite-source, no investment-advice language, mandate alignment, MNPI scrubbing</w:t>
      </w:r>
    </w:p>
    <w:p>
      <w:pPr>
        <w:pStyle w:val="ListBullet"/>
      </w:pPr>
      <w:r>
        <w:t xml:space="preserve">  Sits as a checkpoint between producer output and user/file</w:t>
      </w:r>
    </w:p>
    <w:p>
      <w:r>
        <w:rPr>
          <w:b/>
          <w:sz w:val="24"/>
        </w:rPr>
        <w:t>Layer 4 — Output</w:t>
      </w:r>
    </w:p>
    <w:p>
      <w:pPr>
        <w:pStyle w:val="ListBullet"/>
      </w:pPr>
      <w:r>
        <w:t>Formatter Agent — renders the final draft into Word / PowerPoint / PDF per template</w:t>
      </w:r>
    </w:p>
    <w:p>
      <w:pPr>
        <w:pStyle w:val="ListBullet"/>
      </w:pPr>
      <w:r>
        <w:t>Uses python-docx / python-pptx; the LLM produces structured content, code produces the file</w:t>
      </w:r>
    </w:p>
    <w:p>
      <w:r>
        <w:rPr>
          <w:b/>
          <w:sz w:val="24"/>
        </w:rPr>
        <w:t>Flow (Reporting Example)</w:t>
      </w:r>
    </w:p>
    <w:p>
      <w:r>
        <w:t>Orchestrator → [Performance, Holdings, Sector, Market agents in parallel] → Writer → Verification → Governance → Formatter → final PPT/Word deliverable.</w:t>
      </w:r>
    </w:p>
    <w:p>
      <w:r>
        <w:rPr>
          <w:b/>
          <w:color w:val="1F3A8A"/>
          <w:sz w:val="30"/>
        </w:rPr>
        <w:t>5. Action Plan</w:t>
      </w:r>
    </w:p>
    <w:p>
      <w:r>
        <w:rPr>
          <w:b/>
          <w:sz w:val="24"/>
        </w:rPr>
        <w:t>Phase 1 — First Agent: Earnings Briefing  (Weeks 1–3)</w:t>
      </w:r>
    </w:p>
    <w:p>
      <w:r>
        <w:t>Goal: a single agent reads the watchlist + today's calendar and produces a 1-page briefing per reporting name.</w:t>
      </w:r>
    </w:p>
    <w:p>
      <w:pPr>
        <w:pStyle w:val="ListNumber"/>
      </w:pPr>
      <w:r>
        <w:t>Acquire Anthropic API access; add ANTHROPIC_API_KEY to Streamlit Cloud secrets</w:t>
      </w:r>
    </w:p>
    <w:p>
      <w:pPr>
        <w:pStyle w:val="ListNumber"/>
      </w:pPr>
      <w:r>
        <w:t>Set up a Managed Agents project; configure base model (suggest Sonnet for cost)</w:t>
      </w:r>
    </w:p>
    <w:p>
      <w:pPr>
        <w:pStyle w:val="ListNumber"/>
      </w:pPr>
      <w:r>
        <w:t>Implement Python tool functions: get_todays_earnings, get_actuals, get_press_release (SEC EDGAR), get_recent_news</w:t>
      </w:r>
    </w:p>
    <w:p>
      <w:pPr>
        <w:pStyle w:val="ListNumber"/>
      </w:pPr>
      <w:r>
        <w:t>Write the agent system prompt: persona, output format (markdown briefing), tone (research, not advice)</w:t>
      </w:r>
    </w:p>
    <w:p>
      <w:pPr>
        <w:pStyle w:val="ListNumber"/>
      </w:pPr>
      <w:r>
        <w:t>Add a Streamlit page 'Morning Briefing' with a 'Run today's briefings' button and a per-ticker output panel</w:t>
      </w:r>
    </w:p>
    <w:p>
      <w:pPr>
        <w:pStyle w:val="ListNumber"/>
      </w:pPr>
      <w:r>
        <w:t>Add Governance v1: a single rule — every numeric claim must include a parenthetical source citation</w:t>
      </w:r>
    </w:p>
    <w:p>
      <w:pPr>
        <w:pStyle w:val="ListNumber"/>
      </w:pPr>
      <w:r>
        <w:t>Test on 5–10 names from the current watchlist; iterate on the prompt</w:t>
      </w:r>
    </w:p>
    <w:p>
      <w:r>
        <w:t>Success criteria: clicking the button produces a cited, on-tone briefing for every name reporting today. No fabricated numbers.</w:t>
      </w:r>
    </w:p>
    <w:p>
      <w:r>
        <w:rPr>
          <w:b/>
          <w:sz w:val="24"/>
        </w:rPr>
        <w:t>Phase 2 — Verification + Polish  (Weeks 4–6)</w:t>
      </w:r>
    </w:p>
    <w:p>
      <w:pPr>
        <w:pStyle w:val="ListNumber"/>
      </w:pPr>
      <w:r>
        <w:t>Define the rubric: 'every numeric claim cites a source', 'tone is research not advice', 'no MNPI', 'within 350 words'</w:t>
      </w:r>
    </w:p>
    <w:p>
      <w:pPr>
        <w:pStyle w:val="ListNumber"/>
      </w:pPr>
      <w:r>
        <w:t>Configure Managed Agents' grader with the rubric; enable revise-on-fail loop</w:t>
      </w:r>
    </w:p>
    <w:p>
      <w:pPr>
        <w:pStyle w:val="ListNumber"/>
      </w:pPr>
      <w:r>
        <w:t>Expand Governance rules: mandate alignment, prohibited language list, source whitelist</w:t>
      </w:r>
    </w:p>
    <w:p>
      <w:pPr>
        <w:pStyle w:val="ListNumber"/>
      </w:pPr>
      <w:r>
        <w:t>Add UI affordances: 'good briefing' / 'needs revision' feedback buttons (feed into prompt improvement)</w:t>
      </w:r>
    </w:p>
    <w:p>
      <w:pPr>
        <w:pStyle w:val="ListNumber"/>
      </w:pPr>
      <w:r>
        <w:t>Document the prompts and rubric in the repo so the next student cohort can iterate</w:t>
      </w:r>
    </w:p>
    <w:p>
      <w:r>
        <w:rPr>
          <w:b/>
          <w:sz w:val="24"/>
        </w:rPr>
        <w:t>Phase 3 — Reporting System  (Weeks 7–12)</w:t>
      </w:r>
    </w:p>
    <w:p>
      <w:pPr>
        <w:pStyle w:val="ListNumber"/>
      </w:pPr>
      <w:r>
        <w:t>Inventory current process: locate an actual quarterly/monthly report template the fund uses today</w:t>
      </w:r>
    </w:p>
    <w:p>
      <w:pPr>
        <w:pStyle w:val="ListNumber"/>
      </w:pPr>
      <w:r>
        <w:t>Decide output format (recommend PPT for board/donor meetings)</w:t>
      </w:r>
    </w:p>
    <w:p>
      <w:pPr>
        <w:pStyle w:val="ListNumber"/>
      </w:pPr>
      <w:r>
        <w:t>Identify fund data source (custodian API, vendor, Excel) and build the data tools</w:t>
      </w:r>
    </w:p>
    <w:p>
      <w:pPr>
        <w:pStyle w:val="ListNumber"/>
      </w:pPr>
      <w:r>
        <w:t>Build the orchestrator agent (lead agent in Managed Agents)</w:t>
      </w:r>
    </w:p>
    <w:p>
      <w:pPr>
        <w:pStyle w:val="ListNumber"/>
      </w:pPr>
      <w:r>
        <w:t>Build sector sub-agents — one per sector team; each writes its own slide/section</w:t>
      </w:r>
    </w:p>
    <w:p>
      <w:pPr>
        <w:pStyle w:val="ListNumber"/>
      </w:pPr>
      <w:r>
        <w:t>Wire shared Verification + Governance from Phase 2 over the reporting outputs</w:t>
      </w:r>
    </w:p>
    <w:p>
      <w:pPr>
        <w:pStyle w:val="ListNumber"/>
      </w:pPr>
      <w:r>
        <w:t>Build the Formatter agent (python-pptx) to assemble the final deck</w:t>
      </w:r>
    </w:p>
    <w:p>
      <w:pPr>
        <w:pStyle w:val="ListNumber"/>
      </w:pPr>
      <w:r>
        <w:t>Pilot for one reporting cycle in parallel with the existing manual process; compare</w:t>
      </w:r>
    </w:p>
    <w:p>
      <w:r>
        <w:rPr>
          <w:b/>
          <w:sz w:val="24"/>
        </w:rPr>
        <w:t>Phase 4 — Operational Maturity  (Ongoing)</w:t>
      </w:r>
    </w:p>
    <w:p>
      <w:pPr>
        <w:pStyle w:val="ListBullet"/>
      </w:pPr>
      <w:r>
        <w:t>Memory curation via Managed Agents' Dreaming — captures recurring patterns for reuse</w:t>
      </w:r>
    </w:p>
    <w:p>
      <w:pPr>
        <w:pStyle w:val="ListBullet"/>
      </w:pPr>
      <w:r>
        <w:t>Webhooks → Slack/email when scheduled briefings or reports complete</w:t>
      </w:r>
    </w:p>
    <w:p>
      <w:pPr>
        <w:pStyle w:val="ListBullet"/>
      </w:pPr>
      <w:r>
        <w:t>Self-hosted sandbox if fund data privacy requires staying inside school infra</w:t>
      </w:r>
    </w:p>
    <w:p>
      <w:pPr>
        <w:pStyle w:val="ListBullet"/>
      </w:pPr>
      <w:r>
        <w:t>Skills library — package recurring patterns (e.g., 'guidance-change detector') as reusable Skills</w:t>
      </w:r>
    </w:p>
    <w:p>
      <w:pPr>
        <w:pStyle w:val="ListBullet"/>
      </w:pPr>
      <w:r>
        <w:t>Cost monitoring + budget alerts; per-user rate limits</w:t>
      </w:r>
    </w:p>
    <w:p>
      <w:r>
        <w:rPr>
          <w:b/>
          <w:color w:val="1F3A8A"/>
          <w:sz w:val="30"/>
        </w:rPr>
        <w:t>6. Open Questions Before Phase 1</w:t>
      </w:r>
    </w:p>
    <w:p>
      <w:pPr>
        <w:pStyle w:val="ListNumber"/>
      </w:pPr>
      <w:r>
        <w:t>Where does fund-level position/return data live today (custodian, Bloomberg PORT, Excel)?</w:t>
      </w:r>
    </w:p>
    <w:p>
      <w:pPr>
        <w:pStyle w:val="ListNumber"/>
      </w:pPr>
      <w:r>
        <w:t>Is there an existing report template the fund uses today? Can we get a copy?</w:t>
      </w:r>
    </w:p>
    <w:p>
      <w:pPr>
        <w:pStyle w:val="ListNumber"/>
      </w:pPr>
      <w:r>
        <w:t>Who funds API usage — school budget, fund operating budget, advisor's existing account?</w:t>
      </w:r>
    </w:p>
    <w:p>
      <w:pPr>
        <w:pStyle w:val="ListNumber"/>
      </w:pPr>
      <w:r>
        <w:t>Should Archway stay public on Streamlit Cloud, or move to a private app / school infra as agents handle more sensitive content?</w:t>
      </w:r>
    </w:p>
    <w:p>
      <w:pPr>
        <w:pStyle w:val="ListNumber"/>
      </w:pPr>
      <w:r>
        <w:t>How are sector commentaries written today (Word, Slack, email) — what is the agent replacing?</w:t>
      </w:r>
    </w:p>
    <w:p>
      <w:r>
        <w:rPr>
          <w:b/>
          <w:color w:val="1F3A8A"/>
          <w:sz w:val="30"/>
        </w:rPr>
        <w:t>7. Risks &amp; Mitigations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Likelihood</w:t>
            </w:r>
          </w:p>
        </w:tc>
        <w:tc>
          <w:tcPr>
            <w:tcW w:type="dxa" w:w="2880"/>
          </w:tcPr>
          <w:p>
            <w:r>
              <w:rPr>
                <w:b/>
              </w:rPr>
              <w:t>Mitigation</w:t>
            </w:r>
          </w:p>
        </w:tc>
      </w:tr>
      <w:tr>
        <w:tc>
          <w:tcPr>
            <w:tcW w:type="dxa" w:w="2880"/>
          </w:tcPr>
          <w:p>
            <w:r>
              <w:t>LLM hallucinates a number in a briefing</w:t>
            </w:r>
          </w:p>
        </w:tc>
        <w:tc>
          <w:tcPr>
            <w:tcW w:type="dxa" w:w="2880"/>
          </w:tcPr>
          <w:p>
            <w:r>
              <w:t>High</w:t>
            </w:r>
          </w:p>
        </w:tc>
        <w:tc>
          <w:tcPr>
            <w:tcW w:type="dxa" w:w="2880"/>
          </w:tcPr>
          <w:p>
            <w:r>
              <w:t>Verification agent (rubric grader) is non-negotiable; cite-the-source rule in Governance</w:t>
            </w:r>
          </w:p>
        </w:tc>
      </w:tr>
      <w:tr>
        <w:tc>
          <w:tcPr>
            <w:tcW w:type="dxa" w:w="2880"/>
          </w:tcPr>
          <w:p>
            <w:r>
              <w:t>Cost runaway from open agent triggers</w:t>
            </w:r>
          </w:p>
        </w:tc>
        <w:tc>
          <w:tcPr>
            <w:tcW w:type="dxa" w:w="2880"/>
          </w:tcPr>
          <w:p>
            <w:r>
              <w:t>Medium</w:t>
            </w:r>
          </w:p>
        </w:tc>
        <w:tc>
          <w:tcPr>
            <w:tcW w:type="dxa" w:w="2880"/>
          </w:tcPr>
          <w:p>
            <w:r>
              <w:t>Access controls; per-user rate limits; private Streamlit app once agents go live</w:t>
            </w:r>
          </w:p>
        </w:tc>
      </w:tr>
      <w:tr>
        <w:tc>
          <w:tcPr>
            <w:tcW w:type="dxa" w:w="2880"/>
          </w:tcPr>
          <w:p>
            <w:r>
              <w:t>Vendor lock-in to Anthropic</w:t>
            </w:r>
          </w:p>
        </w:tc>
        <w:tc>
          <w:tcPr>
            <w:tcW w:type="dxa" w:w="2880"/>
          </w:tcPr>
          <w:p>
            <w:r>
              <w:t>Accepted</w:t>
            </w:r>
          </w:p>
        </w:tc>
        <w:tc>
          <w:tcPr>
            <w:tcW w:type="dxa" w:w="2880"/>
          </w:tcPr>
          <w:p>
            <w:r>
              <w:t>Thin abstraction over the agent layer; tools stay provider-neutral</w:t>
            </w:r>
          </w:p>
        </w:tc>
      </w:tr>
      <w:tr>
        <w:tc>
          <w:tcPr>
            <w:tcW w:type="dxa" w:w="2880"/>
          </w:tcPr>
          <w:p>
            <w:r>
              <w:t>Knowledge loss as students graduate</w:t>
            </w:r>
          </w:p>
        </w:tc>
        <w:tc>
          <w:tcPr>
            <w:tcW w:type="dxa" w:w="2880"/>
          </w:tcPr>
          <w:p>
            <w:r>
              <w:t>High</w:t>
            </w:r>
          </w:p>
        </w:tc>
        <w:tc>
          <w:tcPr>
            <w:tcW w:type="dxa" w:w="2880"/>
          </w:tcPr>
          <w:p>
            <w:r>
              <w:t>Managed Agents reduces hand-rolled code; document prompts and rubrics in /docs</w:t>
            </w:r>
          </w:p>
        </w:tc>
      </w:tr>
      <w:tr>
        <w:tc>
          <w:tcPr>
            <w:tcW w:type="dxa" w:w="2880"/>
          </w:tcPr>
          <w:p>
            <w:r>
              <w:t>MNPI / compliance exposure</w:t>
            </w:r>
          </w:p>
        </w:tc>
        <w:tc>
          <w:tcPr>
            <w:tcW w:type="dxa" w:w="2880"/>
          </w:tcPr>
          <w:p>
            <w:r>
              <w:t>Low (public data only at v0)</w:t>
            </w:r>
          </w:p>
        </w:tc>
        <w:tc>
          <w:tcPr>
            <w:tcW w:type="dxa" w:w="2880"/>
          </w:tcPr>
          <w:p>
            <w:r>
              <w:t>Governance agent scrubs and logs; revisit before adding real fund data</w:t>
            </w:r>
          </w:p>
        </w:tc>
      </w:tr>
    </w:tbl>
    <w:p/>
    <w:p>
      <w:r>
        <w:rPr>
          <w:b/>
          <w:color w:val="1F3A8A"/>
          <w:sz w:val="30"/>
        </w:rPr>
        <w:t>8. Educational Outcomes by Phase</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What students learn</w:t>
            </w:r>
          </w:p>
        </w:tc>
      </w:tr>
      <w:tr>
        <w:tc>
          <w:tcPr>
            <w:tcW w:type="dxa" w:w="4320"/>
          </w:tcPr>
          <w:p>
            <w:r>
              <w:t>Phase 0 (done)</w:t>
            </w:r>
          </w:p>
        </w:tc>
        <w:tc>
          <w:tcPr>
            <w:tcW w:type="dxa" w:w="4320"/>
          </w:tcPr>
          <w:p>
            <w:r>
              <w:t>Web app stack, data plumbing, Streamlit, deploying to cloud</w:t>
            </w:r>
          </w:p>
        </w:tc>
      </w:tr>
      <w:tr>
        <w:tc>
          <w:tcPr>
            <w:tcW w:type="dxa" w:w="4320"/>
          </w:tcPr>
          <w:p>
            <w:r>
              <w:t>Phase 1</w:t>
            </w:r>
          </w:p>
        </w:tc>
        <w:tc>
          <w:tcPr>
            <w:tcW w:type="dxa" w:w="4320"/>
          </w:tcPr>
          <w:p>
            <w:r>
              <w:t>Agent loop, tool design, prompting, structured outputs</w:t>
            </w:r>
          </w:p>
        </w:tc>
      </w:tr>
      <w:tr>
        <w:tc>
          <w:tcPr>
            <w:tcW w:type="dxa" w:w="4320"/>
          </w:tcPr>
          <w:p>
            <w:r>
              <w:t>Phase 2</w:t>
            </w:r>
          </w:p>
        </w:tc>
        <w:tc>
          <w:tcPr>
            <w:tcW w:type="dxa" w:w="4320"/>
          </w:tcPr>
          <w:p>
            <w:r>
              <w:t>Evaluation rubrics, LLM-as-judge, self-critique loops</w:t>
            </w:r>
          </w:p>
        </w:tc>
      </w:tr>
      <w:tr>
        <w:tc>
          <w:tcPr>
            <w:tcW w:type="dxa" w:w="4320"/>
          </w:tcPr>
          <w:p>
            <w:r>
              <w:t>Phase 3</w:t>
            </w:r>
          </w:p>
        </w:tc>
        <w:tc>
          <w:tcPr>
            <w:tcW w:type="dxa" w:w="4320"/>
          </w:tcPr>
          <w:p>
            <w:r>
              <w:t>Multi-agent orchestration, separation of concerns, document generation</w:t>
            </w:r>
          </w:p>
        </w:tc>
      </w:tr>
      <w:tr>
        <w:tc>
          <w:tcPr>
            <w:tcW w:type="dxa" w:w="4320"/>
          </w:tcPr>
          <w:p>
            <w:r>
              <w:t>Phase 4</w:t>
            </w:r>
          </w:p>
        </w:tc>
        <w:tc>
          <w:tcPr>
            <w:tcW w:type="dxa" w:w="4320"/>
          </w:tcPr>
          <w:p>
            <w:r>
              <w:t>Production patterns: observability, scheduling, cost governance, MCP</w:t>
            </w:r>
          </w:p>
        </w:tc>
      </w:tr>
    </w:tbl>
    <w:p/>
    <w:p>
      <w:r>
        <w:rPr>
          <w:b/>
          <w:color w:val="1F3A8A"/>
          <w:sz w:val="30"/>
        </w:rPr>
        <w:t>Appendix — References</w:t>
      </w:r>
    </w:p>
    <w:p>
      <w:pPr>
        <w:pStyle w:val="ListBullet"/>
      </w:pPr>
      <w:r>
        <w:t>Claude Managed Agents: platform.claude.com/docs/en/managed-agents/overview</w:t>
      </w:r>
    </w:p>
    <w:p>
      <w:pPr>
        <w:pStyle w:val="ListBullet"/>
      </w:pPr>
      <w:r>
        <w:t>Claude Agent SDK: code.claude.com/docs/en/agent-sdk/overview</w:t>
      </w:r>
    </w:p>
    <w:p>
      <w:pPr>
        <w:pStyle w:val="ListBullet"/>
      </w:pPr>
      <w:r>
        <w:t>Anthropic release notes (May 2026): releasebot.io/updates/anthropic</w:t>
      </w:r>
    </w:p>
    <w:p>
      <w:pPr>
        <w:pStyle w:val="ListBullet"/>
      </w:pPr>
      <w:r>
        <w:t>Repo: github.com/hkuangedu/apps-Archway</w:t>
      </w:r>
    </w:p>
    <w:p>
      <w:pPr>
        <w:pStyle w:val="ListBullet"/>
      </w:pPr>
      <w:r>
        <w:t>Finnhub API: finnhub.io/docs/api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