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keepNext/>
        <w:keepLines w:val="false"/>
        <w:spacing w:lineRule="auto" w:line="240" w:before="0" w:after="0"/>
        <w:ind w:left="0" w:right="0" w:hanging="0"/>
        <w:jc w:val="left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1" t="0" r="255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el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el"/>
        <w:spacing w:before="0" w:after="0"/>
        <w:jc w:val="left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Safety Plan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/>
      </w:pPr>
      <w:bookmarkStart w:id="9" w:name="_ryo483hmgvs6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1t3h5sf"/>
      <w:bookmarkEnd w:id="10"/>
      <w:r>
        <w:rPr>
          <w:sz w:val="48"/>
          <w:szCs w:val="48"/>
        </w:rPr>
        <w:t xml:space="preserve"> </w:t>
      </w:r>
    </w:p>
    <w:p>
      <w:pPr>
        <w:pStyle w:val="Berschrift1"/>
        <w:widowControl w:val="false"/>
        <w:spacing w:lineRule="auto" w:line="240" w:before="480" w:after="180"/>
        <w:rPr/>
      </w:pPr>
      <w:r>
        <w:rPr/>
      </w:r>
      <w:r>
        <w:br w:type="page"/>
      </w:r>
    </w:p>
    <w:p>
      <w:pPr>
        <w:pStyle w:val="Berschrift1"/>
        <w:widowControl w:val="false"/>
        <w:spacing w:lineRule="auto" w:line="240" w:before="480" w:after="180"/>
        <w:rPr/>
      </w:pPr>
      <w:r>
        <w:rPr/>
        <w:t>Document history</w:t>
      </w:r>
    </w:p>
    <w:tbl>
      <w:tblPr>
        <w:tblStyle w:val="Table1"/>
        <w:tblW w:w="963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2018-06-14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version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1" w:name="_2s8eyo1"/>
            <w:bookmarkStart w:id="12" w:name="_2s8eyo1"/>
            <w:bookmarkEnd w:id="12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widowControl w:val="false"/>
        <w:spacing w:lineRule="auto" w:line="240" w:before="480" w:after="180"/>
        <w:rPr/>
      </w:pPr>
      <w:bookmarkStart w:id="13" w:name="_ktt3lgighckp"/>
      <w:bookmarkEnd w:id="13"/>
      <w:r>
        <w:rPr/>
        <w:t>Table of Contents</w:t>
      </w:r>
    </w:p>
    <w:p>
      <w:pPr>
        <w:pStyle w:val="Normal"/>
        <w:spacing w:lineRule="auto" w:line="240" w:before="200" w:after="0"/>
        <w:ind w:left="0" w:right="0" w:hanging="0"/>
        <w:rPr/>
      </w:pPr>
      <w:r>
        <w:fldChar w:fldCharType="begin"/>
      </w:r>
      <w:r>
        <w:instrText> TOC \z \o "1-9" \u \h</w:instrText>
      </w:r>
      <w:r>
        <w:fldChar w:fldCharType="separate"/>
      </w:r>
      <w:hyperlink w:anchor="_ktt3lgighckp">
        <w:r>
          <w:rPr>
            <w:webHidden/>
            <w:rStyle w:val="Verzeichnissprung"/>
            <w:color w:val="1155CC"/>
            <w:u w:val="single"/>
          </w:rPr>
          <w:t>Table of Contents</w:t>
        </w:r>
      </w:hyperlink>
    </w:p>
    <w:p>
      <w:pPr>
        <w:pStyle w:val="Normal"/>
        <w:spacing w:lineRule="auto" w:line="240" w:before="200" w:after="0"/>
        <w:ind w:left="0" w:right="0" w:hanging="0"/>
        <w:rPr>
          <w:color w:val="1155CC"/>
          <w:u w:val="single"/>
        </w:rPr>
      </w:pPr>
      <w:hyperlink w:anchor="_zakt536q9xt3">
        <w:r>
          <w:rPr>
            <w:webHidden/>
            <w:rStyle w:val="Verzeichnissprung"/>
            <w:color w:val="1155CC"/>
            <w:u w:val="single"/>
          </w:rPr>
          <w:t>Introduction</w:t>
        </w:r>
      </w:hyperlink>
    </w:p>
    <w:p>
      <w:pPr>
        <w:pStyle w:val="Normal"/>
        <w:spacing w:lineRule="auto" w:line="240" w:before="60" w:after="0"/>
        <w:ind w:left="360" w:right="0" w:hanging="0"/>
        <w:rPr>
          <w:color w:val="1155CC"/>
          <w:u w:val="single"/>
        </w:rPr>
      </w:pPr>
      <w:hyperlink w:anchor="_52ybytyytfvs">
        <w:r>
          <w:rPr>
            <w:webHidden/>
            <w:rStyle w:val="Verzeichnissprung"/>
            <w:color w:val="1155CC"/>
            <w:u w:val="single"/>
          </w:rPr>
          <w:t>Purpose of the Safety Plan</w:t>
        </w:r>
      </w:hyperlink>
    </w:p>
    <w:p>
      <w:pPr>
        <w:pStyle w:val="Normal"/>
        <w:spacing w:lineRule="auto" w:line="240" w:before="60" w:after="0"/>
        <w:ind w:left="360" w:right="0" w:hanging="0"/>
        <w:rPr>
          <w:color w:val="1155CC"/>
          <w:u w:val="single"/>
        </w:rPr>
      </w:pPr>
      <w:hyperlink w:anchor="_sh22j99mm02k">
        <w:r>
          <w:rPr>
            <w:webHidden/>
            <w:rStyle w:val="Verzeichnissprung"/>
            <w:color w:val="1155CC"/>
            <w:u w:val="single"/>
          </w:rPr>
          <w:t>Scope of the Project</w:t>
        </w:r>
      </w:hyperlink>
    </w:p>
    <w:p>
      <w:pPr>
        <w:pStyle w:val="Normal"/>
        <w:spacing w:lineRule="auto" w:line="240" w:before="60" w:after="0"/>
        <w:ind w:left="360" w:right="0" w:hanging="0"/>
        <w:rPr>
          <w:color w:val="1155CC"/>
          <w:u w:val="single"/>
        </w:rPr>
      </w:pPr>
      <w:hyperlink w:anchor="_fzzlhwsfq6ys">
        <w:r>
          <w:rPr>
            <w:webHidden/>
            <w:rStyle w:val="Verzeichnissprung"/>
            <w:color w:val="1155CC"/>
            <w:u w:val="single"/>
          </w:rPr>
          <w:t>Deliverables of the Project</w:t>
        </w:r>
      </w:hyperlink>
    </w:p>
    <w:p>
      <w:pPr>
        <w:pStyle w:val="Normal"/>
        <w:spacing w:lineRule="auto" w:line="240" w:before="200" w:after="0"/>
        <w:ind w:left="0" w:right="0" w:hanging="0"/>
        <w:rPr>
          <w:color w:val="1155CC"/>
          <w:u w:val="single"/>
        </w:rPr>
      </w:pPr>
      <w:hyperlink w:anchor="_t6m96u2v69wo">
        <w:r>
          <w:rPr>
            <w:webHidden/>
            <w:rStyle w:val="Verzeichnissprung"/>
            <w:color w:val="1155CC"/>
            <w:u w:val="single"/>
          </w:rPr>
          <w:t>Item Definition</w:t>
        </w:r>
      </w:hyperlink>
    </w:p>
    <w:p>
      <w:pPr>
        <w:pStyle w:val="Normal"/>
        <w:spacing w:lineRule="auto" w:line="240" w:before="200" w:after="0"/>
        <w:ind w:left="0" w:right="0" w:hanging="0"/>
        <w:rPr>
          <w:color w:val="1155CC"/>
          <w:u w:val="single"/>
        </w:rPr>
      </w:pPr>
      <w:hyperlink w:anchor="_km1cu1hyl182">
        <w:r>
          <w:rPr>
            <w:webHidden/>
            <w:rStyle w:val="Verzeichnissprung"/>
            <w:color w:val="1155CC"/>
            <w:u w:val="single"/>
          </w:rPr>
          <w:t>Goals and Measures</w:t>
        </w:r>
      </w:hyperlink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/>
          </w:pPr>
          <w:hyperlink w:anchor="_1t3h5sf">
            <w:r>
              <w:rPr>
                <w:webHidden/>
                <w:rStyle w:val="Verzeichnissprung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v2rbrzjrkt9b">
            <w:r>
              <w:rPr>
                <w:webHidden/>
                <w:rStyle w:val="Verzeichnissprung"/>
                <w:color w:val="1155CC"/>
                <w:u w:val="single"/>
              </w:rPr>
              <w:t>Measures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b23s6orj91gm">
            <w:r>
              <w:rPr>
                <w:webHidden/>
                <w:rStyle w:val="Verzeichnissprung"/>
                <w:color w:val="1155CC"/>
                <w:u w:val="single"/>
              </w:rPr>
              <w:t>Safety Culture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pqn9poe0nvtc">
            <w:r>
              <w:rPr>
                <w:webHidden/>
                <w:rStyle w:val="Verzeichnissprung"/>
                <w:color w:val="1155CC"/>
                <w:u w:val="single"/>
              </w:rPr>
              <w:t>Safety Lifecycle Tailoring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xlicd1ijavb7">
            <w:r>
              <w:rPr>
                <w:webHidden/>
                <w:rStyle w:val="Verzeichnissprung"/>
                <w:color w:val="1155CC"/>
                <w:u w:val="single"/>
              </w:rPr>
              <w:t>Roles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swj0emygbhrm">
            <w:r>
              <w:rPr>
                <w:webHidden/>
                <w:rStyle w:val="Verzeichnissprung"/>
                <w:color w:val="1155CC"/>
                <w:u w:val="single"/>
              </w:rPr>
              <w:t>Development Interface Agreement</w:t>
            </w:r>
          </w:hyperlink>
        </w:p>
        <w:p>
          <w:pPr>
            <w:pStyle w:val="Normal"/>
            <w:spacing w:lineRule="auto" w:line="240" w:before="200" w:after="80"/>
            <w:ind w:left="0" w:right="0" w:hanging="0"/>
            <w:rPr/>
          </w:pPr>
          <w:hyperlink w:anchor="_lllavvxrxrdy">
            <w:r>
              <w:rPr>
                <w:webHidden/>
                <w:rStyle w:val="Verzeichnissprung"/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  <w:p>
          <w:pPr>
            <w:pStyle w:val="Berschrift1"/>
            <w:keepNext/>
            <w:keepLines/>
            <w:widowControl w:val="false"/>
            <w:spacing w:lineRule="auto" w:line="240" w:before="480" w:after="180"/>
            <w:rPr/>
          </w:pPr>
          <w:r>
            <w:rPr/>
          </w:r>
          <w:r>
            <w:br w:type="page"/>
          </w:r>
        </w:p>
        <w:p>
          <w:pPr>
            <w:pStyle w:val="Berschrift1"/>
            <w:widowControl w:val="false"/>
            <w:spacing w:lineRule="auto" w:line="240" w:before="480" w:after="180"/>
            <w:rPr/>
          </w:pPr>
          <w:bookmarkStart w:id="14" w:name="_zakt536q9xt3"/>
          <w:bookmarkEnd w:id="14"/>
          <w:r>
            <w:rPr/>
            <w:t>Introduction</w:t>
          </w:r>
        </w:p>
        <w:p>
          <w:pPr>
            <w:pStyle w:val="Berschrift2"/>
            <w:spacing w:before="0" w:after="0"/>
            <w:rPr/>
          </w:pPr>
          <w:bookmarkStart w:id="15" w:name="_52ybytyytfvs"/>
          <w:bookmarkEnd w:id="15"/>
          <w:r>
            <w:rPr/>
            <w:t>Purpose of the Safety Plan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>The purpose of the safety plan is to provide an overall framework for the Lane Assistance item, and to assign roles and responsibilities for functional safety for this item.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Berschrift2"/>
            <w:spacing w:before="0" w:after="0"/>
            <w:rPr/>
          </w:pPr>
          <w:bookmarkStart w:id="16" w:name="_sh22j99mm02k"/>
          <w:bookmarkEnd w:id="16"/>
          <w:r>
            <w:rPr/>
            <w:t>Scope of the Project</w:t>
          </w:r>
        </w:p>
        <w:p>
          <w:pPr>
            <w:pStyle w:val="Normal"/>
            <w:spacing w:before="0" w:after="0"/>
            <w:rPr>
              <w:b/>
              <w:b/>
              <w:color w:val="B7B7B7"/>
            </w:rPr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>For the lane assistance project, the following safety lifecycle phases are in scope:</w:t>
          </w:r>
        </w:p>
        <w:p>
          <w:pPr>
            <w:pStyle w:val="Normal"/>
            <w:spacing w:before="0" w:after="0"/>
            <w:ind w:left="0" w:right="0" w:firstLine="720"/>
            <w:rPr/>
          </w:pPr>
          <w:r>
            <w:rPr/>
          </w:r>
        </w:p>
        <w:p>
          <w:pPr>
            <w:pStyle w:val="Normal"/>
            <w:spacing w:before="0" w:after="0"/>
            <w:ind w:left="0" w:right="0" w:firstLine="720"/>
            <w:rPr/>
          </w:pPr>
          <w:r>
            <w:rPr/>
            <w:t>Concept phase</w:t>
          </w:r>
        </w:p>
        <w:p>
          <w:pPr>
            <w:pStyle w:val="Normal"/>
            <w:spacing w:before="0" w:after="0"/>
            <w:ind w:left="0" w:right="0" w:firstLine="720"/>
            <w:rPr/>
          </w:pPr>
          <w:r>
            <w:rPr/>
            <w:t>Product Development at the System Level</w:t>
          </w:r>
        </w:p>
        <w:p>
          <w:pPr>
            <w:pStyle w:val="Normal"/>
            <w:spacing w:before="0" w:after="0"/>
            <w:ind w:left="0" w:right="0" w:firstLine="720"/>
            <w:rPr/>
          </w:pPr>
          <w:r>
            <w:rPr/>
            <w:t>Product Development at the Software Level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>The following phases are out of scope: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ind w:left="0" w:right="0" w:firstLine="720"/>
            <w:rPr/>
          </w:pPr>
          <w:r>
            <w:rPr/>
            <w:t>Product Development at the Hardware Level</w:t>
          </w:r>
        </w:p>
        <w:p>
          <w:pPr>
            <w:pStyle w:val="Normal"/>
            <w:spacing w:before="0" w:after="0"/>
            <w:ind w:left="0" w:right="0" w:firstLine="720"/>
            <w:rPr/>
          </w:pPr>
          <w:r>
            <w:rPr/>
            <w:t>Production and Operation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Berschrift2"/>
            <w:spacing w:before="0" w:after="0"/>
            <w:rPr/>
          </w:pPr>
          <w:bookmarkStart w:id="17" w:name="_fzzlhwsfq6ys"/>
          <w:bookmarkEnd w:id="17"/>
          <w:r>
            <w:rPr/>
            <w:t>Deliverables of the Project</w:t>
          </w:r>
        </w:p>
        <w:p>
          <w:pPr>
            <w:pStyle w:val="Normal"/>
            <w:spacing w:before="0" w:after="0"/>
            <w:rPr>
              <w:b/>
              <w:b/>
              <w:color w:val="B7B7B7"/>
            </w:rPr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>The deliverables of the project are: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ab/>
            <w:t>Safety Plan</w:t>
          </w:r>
        </w:p>
        <w:p>
          <w:pPr>
            <w:pStyle w:val="Normal"/>
            <w:spacing w:before="0" w:after="0"/>
            <w:rPr/>
          </w:pPr>
          <w:r>
            <w:rPr/>
            <w:tab/>
            <w:t>Hazard Analysis and Risk Assessment</w:t>
          </w:r>
        </w:p>
        <w:p>
          <w:pPr>
            <w:pStyle w:val="Normal"/>
            <w:spacing w:before="0" w:after="0"/>
            <w:rPr/>
          </w:pPr>
          <w:r>
            <w:rPr/>
            <w:tab/>
            <w:t>Functional Safety Concept</w:t>
          </w:r>
        </w:p>
        <w:p>
          <w:pPr>
            <w:pStyle w:val="Normal"/>
            <w:spacing w:before="0" w:after="0"/>
            <w:rPr/>
          </w:pPr>
          <w:r>
            <w:rPr/>
            <w:tab/>
            <w:t>Technical Safety Concept</w:t>
          </w:r>
        </w:p>
        <w:p>
          <w:pPr>
            <w:pStyle w:val="Normal"/>
            <w:spacing w:before="0" w:after="0"/>
            <w:rPr/>
          </w:pPr>
          <w:r>
            <w:rPr/>
            <w:tab/>
            <w:t>Software Safety Requirements and Architecture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Berschrift1"/>
            <w:spacing w:before="0" w:after="0"/>
            <w:rPr/>
          </w:pPr>
          <w:bookmarkStart w:id="18" w:name="_t6m96u2v69wo"/>
          <w:bookmarkEnd w:id="18"/>
          <w:r>
            <w:rPr/>
            <w:t>Item Definition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 xml:space="preserve">The item in question is the Lane Assistance </w:t>
          </w:r>
          <w:r>
            <w:rPr/>
            <w:t>item</w:t>
          </w:r>
          <w:r>
            <w:rPr/>
            <w:t xml:space="preserve"> which will </w:t>
          </w:r>
          <w:r>
            <w:rPr/>
            <w:t>alert</w:t>
          </w:r>
          <w:r>
            <w:rPr/>
            <w:t xml:space="preserve"> the drive</w:t>
          </w:r>
          <w:r>
            <w:rPr/>
            <w:t>r</w:t>
          </w:r>
          <w:r>
            <w:rPr/>
            <w:t xml:space="preserve"> in case that the car </w:t>
          </w:r>
          <w:r>
            <w:rPr/>
            <w:t xml:space="preserve">accidentally </w:t>
          </w:r>
          <w:r>
            <w:rPr/>
            <w:t xml:space="preserve">departs </w:t>
          </w:r>
          <w:r>
            <w:rPr/>
            <w:t>its</w:t>
          </w:r>
          <w:r>
            <w:rPr/>
            <w:t xml:space="preserve"> lane, </w:t>
          </w:r>
          <w:r>
            <w:rPr/>
            <w:t xml:space="preserve">and attempts to </w:t>
          </w:r>
          <w:r>
            <w:rPr/>
            <w:t xml:space="preserve">steer the car back toward the center of </w:t>
          </w:r>
          <w:r>
            <w:rPr/>
            <w:t>its</w:t>
          </w:r>
          <w:r>
            <w:rPr/>
            <w:t xml:space="preserve"> lane.</w:t>
          </w:r>
        </w:p>
        <w:p>
          <w:pPr>
            <w:pStyle w:val="Normal"/>
            <w:spacing w:before="0" w:after="0"/>
            <w:rPr/>
          </w:pPr>
          <w:r>
            <w:rPr/>
            <w:t>So, the Lane Assistance System has two functions:</w:t>
          </w:r>
        </w:p>
        <w:p>
          <w:pPr>
            <w:pStyle w:val="Normal"/>
            <w:numPr>
              <w:ilvl w:val="0"/>
              <w:numId w:val="2"/>
            </w:numPr>
            <w:spacing w:before="0" w:after="0"/>
            <w:rPr/>
          </w:pPr>
          <w:r>
            <w:rPr/>
            <w:t>Lane departure waring</w:t>
          </w:r>
        </w:p>
        <w:p>
          <w:pPr>
            <w:pStyle w:val="Normal"/>
            <w:numPr>
              <w:ilvl w:val="0"/>
              <w:numId w:val="2"/>
            </w:numPr>
            <w:spacing w:before="0" w:after="0"/>
            <w:rPr/>
          </w:pPr>
          <w:r>
            <w:rPr/>
            <w:t>Lane keeping assistant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 xml:space="preserve">The lane departure warning </w:t>
          </w:r>
          <w:r>
            <w:rPr/>
            <w:t>shall</w:t>
          </w:r>
          <w:r>
            <w:rPr/>
            <w:t xml:space="preserve"> apply a</w:t>
          </w:r>
          <w:r>
            <w:rPr/>
            <w:t>n oscillating torque</w:t>
          </w:r>
          <w:r>
            <w:rPr/>
            <w:t xml:space="preserve"> to the steering wheel to alert the driver.</w:t>
          </w:r>
        </w:p>
        <w:p>
          <w:pPr>
            <w:pStyle w:val="Normal"/>
            <w:spacing w:before="0" w:after="0"/>
            <w:rPr/>
          </w:pPr>
          <w:r>
            <w:rPr/>
            <w:tab/>
            <w:tab/>
          </w:r>
        </w:p>
        <w:p>
          <w:pPr>
            <w:pStyle w:val="Normal"/>
            <w:spacing w:before="0" w:after="0"/>
            <w:rPr/>
          </w:pPr>
          <w:r>
            <w:rPr/>
            <w:t xml:space="preserve">The lane keeping assistant </w:t>
          </w:r>
          <w:r>
            <w:rPr/>
            <w:t>shall</w:t>
          </w:r>
          <w:r>
            <w:rPr/>
            <w:t xml:space="preserve"> apply a torque to the steering wheel to steer the ego car back toward the center of the current lane.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 xml:space="preserve">The Lane Assistance </w:t>
          </w:r>
          <w:r>
            <w:rPr/>
            <w:t>item</w:t>
          </w:r>
          <w:r>
            <w:rPr/>
            <w:t xml:space="preserve"> will use the following subsystems to fulfill its task:</w:t>
          </w:r>
        </w:p>
        <w:p>
          <w:pPr>
            <w:pStyle w:val="Normal"/>
            <w:numPr>
              <w:ilvl w:val="0"/>
              <w:numId w:val="3"/>
            </w:numPr>
            <w:spacing w:before="0" w:after="0"/>
            <w:rPr/>
          </w:pPr>
          <w:r>
            <w:rPr/>
            <w:t xml:space="preserve">the </w:t>
          </w:r>
          <w:r>
            <w:rPr/>
            <w:t>C</w:t>
          </w:r>
          <w:r>
            <w:rPr/>
            <w:t xml:space="preserve">amera </w:t>
          </w:r>
          <w:r>
            <w:rPr/>
            <w:t>S</w:t>
          </w:r>
          <w:r>
            <w:rPr/>
            <w:t>ensor ECU is responsible for detecting the departure of the current lane</w:t>
          </w:r>
        </w:p>
        <w:p>
          <w:pPr>
            <w:pStyle w:val="Normal"/>
            <w:numPr>
              <w:ilvl w:val="0"/>
              <w:numId w:val="3"/>
            </w:numPr>
            <w:spacing w:before="0" w:after="0"/>
            <w:rPr/>
          </w:pPr>
          <w:r>
            <w:rPr/>
            <w:t xml:space="preserve">the </w:t>
          </w:r>
          <w:r>
            <w:rPr/>
            <w:t>E</w:t>
          </w:r>
          <w:r>
            <w:rPr/>
            <w:t xml:space="preserve">lectronic </w:t>
          </w:r>
          <w:r>
            <w:rPr/>
            <w:t>P</w:t>
          </w:r>
          <w:r>
            <w:rPr/>
            <w:t xml:space="preserve">ower </w:t>
          </w:r>
          <w:r>
            <w:rPr/>
            <w:t>S</w:t>
          </w:r>
          <w:r>
            <w:rPr/>
            <w:t>teering ECU is responsible for shaking the steering wheel to alert the driver and for applying a torque to the steering wheel to steer the car back toward the center of the current  lane</w:t>
          </w:r>
        </w:p>
        <w:p>
          <w:pPr>
            <w:pStyle w:val="Normal"/>
            <w:numPr>
              <w:ilvl w:val="0"/>
              <w:numId w:val="3"/>
            </w:numPr>
            <w:spacing w:before="0" w:after="0"/>
            <w:rPr/>
          </w:pPr>
          <w:r>
            <w:rPr/>
            <w:t xml:space="preserve">the </w:t>
          </w:r>
          <w:r>
            <w:rPr/>
            <w:t>C</w:t>
          </w:r>
          <w:r>
            <w:rPr/>
            <w:t xml:space="preserve">ar </w:t>
          </w:r>
          <w:r>
            <w:rPr/>
            <w:t>D</w:t>
          </w:r>
          <w:r>
            <w:rPr/>
            <w:t>isplay ECU is responsible for providing visual feedback to the driver</w:t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/>
            <w:t xml:space="preserve">The picture below gives an overview about the subsystems of the Lane Assistance </w:t>
          </w:r>
          <w:r>
            <w:rPr/>
            <w:t>item</w:t>
          </w:r>
          <w:r>
            <w:rPr/>
            <w:t>:</w:t>
          </w:r>
        </w:p>
        <w:p>
          <w:pPr>
            <w:pStyle w:val="Normal"/>
            <w:spacing w:before="0" w:after="0"/>
            <w:rPr/>
          </w:pPr>
          <w:r>
            <w:rPr/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3343275"/>
                <wp:effectExtent l="0" t="0" r="0" b="0"/>
                <wp:wrapSquare wrapText="largest"/>
                <wp:docPr id="4" name="Bild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ild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before="0" w:after="0"/>
            <w:rPr>
              <w:b/>
              <w:b/>
              <w:color w:val="B7B7B7"/>
            </w:rPr>
          </w:pPr>
          <w:r>
            <w:rPr/>
          </w:r>
          <w:r>
            <w:br w:type="page"/>
          </w:r>
        </w:p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Berschrift1"/>
            <w:spacing w:before="0" w:after="0"/>
            <w:rPr/>
          </w:pPr>
          <w:bookmarkStart w:id="19" w:name="_km1cu1hyl182"/>
          <w:bookmarkEnd w:id="19"/>
          <w:r>
            <w:rPr/>
            <w:t>Goals and Measures</w:t>
          </w:r>
        </w:p>
        <w:p>
          <w:pPr>
            <w:pStyle w:val="Berschrift2"/>
            <w:spacing w:before="0" w:after="0"/>
            <w:rPr/>
          </w:pPr>
          <w:bookmarkStart w:id="20" w:name="_ww7fqc274i9y"/>
          <w:bookmarkEnd w:id="20"/>
          <w:r>
            <w:rPr/>
            <w:t>Goals</w:t>
          </w:r>
        </w:p>
        <w:p>
          <w:pPr>
            <w:pStyle w:val="Normal"/>
            <w:spacing w:before="0" w:after="0"/>
            <w:rPr>
              <w:b/>
              <w:b/>
              <w:bCs w:val="false"/>
              <w:color w:val="B7B7B7"/>
            </w:rPr>
          </w:pPr>
          <w:r>
            <w:rPr/>
          </w:r>
        </w:p>
        <w:p>
          <w:pPr>
            <w:pStyle w:val="Normal"/>
            <w:spacing w:before="0" w:after="0"/>
            <w:rPr/>
          </w:pPr>
          <w:r>
            <w:rPr>
              <w:b w:val="false"/>
              <w:bCs w:val="false"/>
              <w:color w:val="auto"/>
            </w:rPr>
            <w:t>The goal of this project is to assure the safe and reliable operation of the Lane Assistance item according to ISO 26262 by:</w:t>
          </w:r>
        </w:p>
        <w:p>
          <w:pPr>
            <w:pStyle w:val="Normal"/>
            <w:numPr>
              <w:ilvl w:val="0"/>
              <w:numId w:val="1"/>
            </w:numPr>
            <w:spacing w:before="0" w:after="0"/>
            <w:rPr>
              <w:b w:val="false"/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 xml:space="preserve">identifying potential hazards in the Lane Assistance </w:t>
          </w:r>
          <w:r>
            <w:rPr>
              <w:b w:val="false"/>
              <w:bCs w:val="false"/>
              <w:color w:val="auto"/>
            </w:rPr>
            <w:t>System</w:t>
          </w:r>
        </w:p>
        <w:p>
          <w:pPr>
            <w:pStyle w:val="Normal"/>
            <w:numPr>
              <w:ilvl w:val="0"/>
              <w:numId w:val="1"/>
            </w:numPr>
            <w:spacing w:before="0" w:after="0"/>
            <w:rPr>
              <w:b w:val="false"/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evaluate the risk of the hazards</w:t>
          </w:r>
        </w:p>
        <w:p>
          <w:pPr>
            <w:pStyle w:val="Normal"/>
            <w:numPr>
              <w:ilvl w:val="0"/>
              <w:numId w:val="1"/>
            </w:numPr>
            <w:spacing w:before="0" w:after="0"/>
            <w:rPr>
              <w:b w:val="false"/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 xml:space="preserve">lower the risk </w:t>
          </w:r>
          <w:r>
            <w:rPr>
              <w:b w:val="false"/>
              <w:bCs w:val="false"/>
              <w:color w:val="auto"/>
            </w:rPr>
            <w:t>to an acceptable level</w:t>
          </w:r>
        </w:p>
        <w:p>
          <w:pPr>
            <w:pStyle w:val="Normal"/>
            <w:spacing w:before="0" w:after="0"/>
            <w:rPr/>
          </w:pPr>
          <w:r>
            <w:rPr>
              <w:b w:val="false"/>
              <w:bCs w:val="false"/>
              <w:color w:val="auto"/>
            </w:rPr>
          </w:r>
        </w:p>
        <w:p>
          <w:pPr>
            <w:pStyle w:val="Berschrift2"/>
            <w:spacing w:before="0" w:after="0"/>
            <w:rPr/>
          </w:pPr>
          <w:bookmarkStart w:id="21" w:name="_v2rbrzjrkt9b"/>
          <w:bookmarkEnd w:id="21"/>
          <w:r>
            <w:rPr/>
            <w:t>Measures</w:t>
          </w:r>
        </w:p>
        <w:p>
          <w:pPr>
            <w:pStyle w:val="Normal"/>
            <w:spacing w:before="0" w:after="0"/>
            <w:rPr/>
          </w:pPr>
          <w:r>
            <w:rPr/>
          </w:r>
        </w:p>
      </w:sdtContent>
    </w:sdt>
    <w:tbl>
      <w:tblPr>
        <w:tblStyle w:val="Table2"/>
        <w:tblW w:w="886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49"/>
        <w:gridCol w:w="1710"/>
        <w:gridCol w:w="3406"/>
      </w:tblGrid>
      <w:tr>
        <w:trPr/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Measures and Activities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Responsibility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Timeline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Follow safety processes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All Team Members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Constantly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Create and sustain a safety culture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All Team Members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Constantly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Coordinate and document the planned safety activities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Manager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Constantly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Allocate resources with adequate functional safety competency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Project Manager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Within 2 weeks of start of project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Tailor the safety lifecycle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Manager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Within 4 weeks of start of project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Plan the safety activities of the safety lifecycle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Manager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Within 4 weeks of start of project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Perform regular functional safety audits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Auditor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Once every 2 months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Manager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 months prior to main assessment</w:t>
            </w:r>
          </w:p>
        </w:tc>
      </w:tr>
      <w:tr>
        <w:trPr>
          <w:trHeight w:val="420" w:hRule="atLeast"/>
        </w:trPr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Perform functional safety assessment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Assessor</w:t>
            </w:r>
          </w:p>
        </w:tc>
        <w:tc>
          <w:tcPr>
            <w:tcW w:w="34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Conclusion of functional safety activities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Berschrift1"/>
        <w:keepNext/>
        <w:spacing w:before="0" w:after="0"/>
        <w:rPr/>
      </w:pPr>
      <w:bookmarkStart w:id="22" w:name="_b23s6orj91gm"/>
      <w:bookmarkEnd w:id="22"/>
      <w:r>
        <w:rPr/>
        <w:t>Safety Culture</w:t>
      </w:r>
    </w:p>
    <w:p>
      <w:pPr>
        <w:pStyle w:val="Normal"/>
        <w:keepNext/>
        <w:spacing w:before="0" w:after="0"/>
        <w:rPr>
          <w:b/>
          <w:b/>
          <w:bCs w:val="false"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  <w:t>The characteristics of the safety culture is described by:</w:t>
      </w:r>
    </w:p>
    <w:p>
      <w:pPr>
        <w:pStyle w:val="Normal"/>
        <w:numPr>
          <w:ilvl w:val="0"/>
          <w:numId w:val="4"/>
        </w:numPr>
        <w:spacing w:before="0" w:after="0"/>
        <w:jc w:val="both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High priority</w:t>
      </w:r>
      <w:r>
        <w:rPr>
          <w:b w:val="false"/>
          <w:bCs w:val="false"/>
          <w:color w:val="auto"/>
        </w:rPr>
        <w:t>: safety has the highest priority among competing constraints like cost and productivity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Accountability</w:t>
      </w:r>
      <w:r>
        <w:rPr>
          <w:b w:val="false"/>
          <w:bCs w:val="false"/>
          <w:color w:val="auto"/>
        </w:rPr>
        <w:t>: processes ensure accountability such that design decisions are traceable back to the people and teams who made the decisions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Rewards</w:t>
      </w:r>
      <w:r>
        <w:rPr>
          <w:b w:val="false"/>
          <w:bCs w:val="false"/>
          <w:color w:val="auto"/>
        </w:rPr>
        <w:t>: the organization motivates and supports the achievement of functional safety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Penalties</w:t>
      </w:r>
      <w:r>
        <w:rPr>
          <w:b w:val="false"/>
          <w:bCs w:val="false"/>
          <w:color w:val="auto"/>
        </w:rPr>
        <w:t>: the organization penalizes shortcuts that jeopardize safety or quality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Independence</w:t>
      </w:r>
      <w:r>
        <w:rPr>
          <w:b w:val="false"/>
          <w:bCs w:val="false"/>
          <w:color w:val="auto"/>
        </w:rPr>
        <w:t>: teams who design and develop a product should be independent from the teams who audit the work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Well defined processes</w:t>
      </w:r>
      <w:r>
        <w:rPr>
          <w:b w:val="false"/>
          <w:bCs w:val="false"/>
          <w:color w:val="auto"/>
        </w:rPr>
        <w:t>: company design and management processes should be clearly defined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Resources</w:t>
      </w:r>
      <w:r>
        <w:rPr>
          <w:b w:val="false"/>
          <w:bCs w:val="false"/>
          <w:color w:val="auto"/>
        </w:rPr>
        <w:t>: projects have necessary resources including people with appropriate skills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Diversity</w:t>
      </w:r>
      <w:r>
        <w:rPr>
          <w:b w:val="false"/>
          <w:bCs w:val="false"/>
          <w:color w:val="auto"/>
        </w:rPr>
        <w:t>: intellectual diversity is sought after, valued and integrated into processes</w:t>
      </w:r>
    </w:p>
    <w:p>
      <w:pPr>
        <w:pStyle w:val="Normal"/>
        <w:numPr>
          <w:ilvl w:val="0"/>
          <w:numId w:val="4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  <w:t>Communication</w:t>
      </w:r>
      <w:r>
        <w:rPr>
          <w:b w:val="false"/>
          <w:bCs w:val="false"/>
          <w:color w:val="auto"/>
        </w:rPr>
        <w:t>: communication channels encourage disclosure of problems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erschrift1"/>
        <w:spacing w:before="0" w:after="0"/>
        <w:rPr/>
      </w:pPr>
      <w:bookmarkStart w:id="23" w:name="_pqn9poe0nvtc"/>
      <w:bookmarkEnd w:id="23"/>
      <w:r>
        <w:rPr/>
        <w:t>Safety Lifecycle Tailoring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/>
        <w:t>For the lane assistance project, the following safety lifecycle phases are in scope: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Concept phase</w:t>
      </w:r>
    </w:p>
    <w:p>
      <w:pPr>
        <w:pStyle w:val="Normal"/>
        <w:spacing w:before="0" w:after="0"/>
        <w:ind w:left="0" w:right="0" w:firstLine="720"/>
        <w:rPr/>
      </w:pPr>
      <w:r>
        <w:rPr/>
        <w:t>Product Development at the System Level</w:t>
      </w:r>
    </w:p>
    <w:p>
      <w:pPr>
        <w:pStyle w:val="Normal"/>
        <w:spacing w:before="0" w:after="0"/>
        <w:ind w:left="0" w:right="0" w:firstLine="720"/>
        <w:rPr/>
      </w:pPr>
      <w:r>
        <w:rPr/>
        <w:t>Product Development at the Software Level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following phases are out of scope: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Product Development at the Hardware Level</w:t>
      </w:r>
    </w:p>
    <w:p>
      <w:pPr>
        <w:pStyle w:val="Normal"/>
        <w:spacing w:before="0" w:after="0"/>
        <w:ind w:left="0" w:right="0" w:firstLine="720"/>
        <w:rPr/>
      </w:pPr>
      <w:r>
        <w:rPr/>
        <w:t>Production and Operation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24" w:name="_xlicd1ijavb7"/>
      <w:bookmarkEnd w:id="24"/>
      <w:r>
        <w:rPr/>
        <w:t>Roles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3"/>
        <w:tblW w:w="7245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20"/>
        <w:gridCol w:w="2024"/>
      </w:tblGrid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0" w:after="60"/>
              <w:jc w:val="center"/>
              <w:rPr>
                <w:i/>
                <w:i/>
              </w:rPr>
            </w:pPr>
            <w:r>
              <w:rPr/>
              <w:t>Role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jc w:val="center"/>
              <w:rPr/>
            </w:pPr>
            <w:r>
              <w:rPr/>
              <w:t>Org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Functional Safety  Manager- Item Level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OEM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Functional Safety  Engineer- Item Level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OEM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Project Manager - Item Level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OEM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Functional Safety  Manager- Component Level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Tier-1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Functional Safety  Engineer- Component Level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Tier-1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Functional Safety Auditor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OEM or external</w:t>
            </w:r>
          </w:p>
        </w:tc>
      </w:tr>
      <w:tr>
        <w:trPr/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Functional Safety Assessor</w:t>
            </w:r>
          </w:p>
        </w:tc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/>
            </w:pPr>
            <w:r>
              <w:rPr/>
              <w:t>OEM or external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1"/>
        <w:spacing w:before="0" w:after="0"/>
        <w:rPr/>
      </w:pPr>
      <w:bookmarkStart w:id="25" w:name="_swj0emygbhrm"/>
      <w:bookmarkEnd w:id="25"/>
      <w:r>
        <w:rPr/>
        <w:t>Development Interface Agreement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The purpose of the development interface agreement is to define the roles and responsibilities between the OEM and the tier-1 </w:t>
      </w:r>
      <w:r>
        <w:rPr>
          <w:b w:val="false"/>
          <w:bCs w:val="false"/>
          <w:color w:val="auto"/>
        </w:rPr>
        <w:t xml:space="preserve">involved in developing this system. Both parties agree on the content of the development interface agreement before the project begins. 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development interface agreement also specifies what evidence and work products each party will provide to prove that work was done according to the agreement.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ultimate goal is to ensure that all parties are developing safe vehicles in compliance with ISO 26262.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tier-1 supplier is responsible for design and safety at the subsystem level. The OEM is responsible for design and safety at the system level.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following steps are part of the development interface agreement and will be attached to this safety plan:</w:t>
      </w:r>
    </w:p>
    <w:p>
      <w:pPr>
        <w:pStyle w:val="Normal"/>
        <w:numPr>
          <w:ilvl w:val="0"/>
          <w:numId w:val="5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Appointment of customer and supplier safety managers</w:t>
      </w:r>
    </w:p>
    <w:p>
      <w:pPr>
        <w:pStyle w:val="Normal"/>
        <w:numPr>
          <w:ilvl w:val="0"/>
          <w:numId w:val="6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Joint tailoring of the safety lifecycle</w:t>
      </w:r>
    </w:p>
    <w:p>
      <w:pPr>
        <w:pStyle w:val="Normal"/>
        <w:numPr>
          <w:ilvl w:val="0"/>
          <w:numId w:val="7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Activities and processes to be performed by the customer; activities and processes to be performed by the supplier</w:t>
      </w:r>
    </w:p>
    <w:p>
      <w:pPr>
        <w:pStyle w:val="Normal"/>
        <w:numPr>
          <w:ilvl w:val="0"/>
          <w:numId w:val="8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Information and work products to be exchanged</w:t>
      </w:r>
    </w:p>
    <w:p>
      <w:pPr>
        <w:pStyle w:val="Normal"/>
        <w:numPr>
          <w:ilvl w:val="0"/>
          <w:numId w:val="9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Parties or persons responsible for each activity in design and production</w:t>
      </w:r>
    </w:p>
    <w:p>
      <w:pPr>
        <w:pStyle w:val="Normal"/>
        <w:numPr>
          <w:ilvl w:val="0"/>
          <w:numId w:val="10"/>
        </w:numPr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Any supporting processes or tools to ensure compatibility between customer and supplier technologies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erschrift1"/>
        <w:spacing w:before="0" w:after="0"/>
        <w:rPr/>
      </w:pPr>
      <w:bookmarkStart w:id="26" w:name="_lllavvxrxrdy"/>
      <w:bookmarkEnd w:id="26"/>
      <w:r>
        <w:rPr/>
        <w:t>Confirmation Measures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Confirmation measures serve two purposes: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that a functional safety project conforms to ISO 26262, and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/>
        <w:t>that the project really does make the vehicle safer.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confirmation review ensures that the project complies with the ISO 26262.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functional safety audit makes sure that the actual implementation of the project conforms to the safety plan.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functional safety assessment confirms that plans, designs and developed products actually achieve functional safety.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Berschrift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Berschrift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Berschrift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tarkbetont">
    <w:name w:val="Stark betont"/>
    <w:qFormat/>
    <w:rPr>
      <w:b/>
      <w:bCs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el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tertitel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uzeile">
    <w:name w:val="Footer"/>
    <w:basedOn w:val="Normal"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7574</TotalTime>
  <Application>LibreOffice/5.2.3.3$MacOSX_X86_64 LibreOffice_project/d54a8868f08a7b39642414cf2c8ef2f228f780cf</Application>
  <Pages>8</Pages>
  <Words>1030</Words>
  <Characters>5756</Characters>
  <CharactersWithSpaces>6628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2018-06-20T21:24:52Z</dcterms:modified>
  <cp:revision>9</cp:revision>
  <dc:subject/>
  <dc:title/>
</cp:coreProperties>
</file>