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442" w:rsidRDefault="00347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47442" w:rsidRDefault="0034744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FF"/>
          <w:sz w:val="48"/>
          <w:szCs w:val="48"/>
        </w:rPr>
      </w:pPr>
    </w:p>
    <w:p w:rsidR="00347442" w:rsidRDefault="00EB6F5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FF"/>
          <w:sz w:val="48"/>
          <w:szCs w:val="48"/>
        </w:rPr>
      </w:pPr>
      <w:r>
        <w:rPr>
          <w:noProof/>
          <w:lang w:val="tr-TR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1299527</wp:posOffset>
            </wp:positionH>
            <wp:positionV relativeFrom="paragraph">
              <wp:posOffset>3810</wp:posOffset>
            </wp:positionV>
            <wp:extent cx="3162300" cy="2818763"/>
            <wp:effectExtent l="0" t="0" r="0" b="0"/>
            <wp:wrapNone/>
            <wp:docPr id="219" name="image5.png" descr="C:\Users\huseyinkurt1\Desktop\2021-2022\02_Aydin_EEE\IAU_E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huseyinkurt1\Desktop\2021-2022\02_Aydin_EEE\IAU_EE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18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7442" w:rsidRDefault="0034744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FF"/>
          <w:sz w:val="48"/>
          <w:szCs w:val="48"/>
        </w:rPr>
      </w:pPr>
    </w:p>
    <w:p w:rsidR="00347442" w:rsidRDefault="0034744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FF"/>
          <w:sz w:val="48"/>
          <w:szCs w:val="48"/>
        </w:rPr>
      </w:pPr>
    </w:p>
    <w:p w:rsidR="00347442" w:rsidRDefault="0034744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FF"/>
          <w:sz w:val="48"/>
          <w:szCs w:val="48"/>
        </w:rPr>
      </w:pPr>
    </w:p>
    <w:p w:rsidR="00347442" w:rsidRDefault="0034744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FF"/>
          <w:sz w:val="48"/>
          <w:szCs w:val="48"/>
        </w:rPr>
      </w:pPr>
    </w:p>
    <w:p w:rsidR="00347442" w:rsidRDefault="0034744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FF"/>
          <w:sz w:val="48"/>
          <w:szCs w:val="48"/>
        </w:rPr>
      </w:pPr>
    </w:p>
    <w:p w:rsidR="00347442" w:rsidRDefault="0034744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FF"/>
          <w:sz w:val="48"/>
          <w:szCs w:val="48"/>
        </w:rPr>
      </w:pPr>
    </w:p>
    <w:p w:rsidR="00347442" w:rsidRDefault="00EB6F5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EED604E OPTIMIZATION </w:t>
      </w:r>
    </w:p>
    <w:p w:rsidR="00347442" w:rsidRDefault="00EB6F5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HOMEWORK 3</w:t>
      </w:r>
    </w:p>
    <w:p w:rsidR="00347442" w:rsidRDefault="0034744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FF"/>
          <w:sz w:val="48"/>
          <w:szCs w:val="48"/>
        </w:rPr>
      </w:pPr>
    </w:p>
    <w:p w:rsidR="00347442" w:rsidRDefault="00EB6F5A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Dr. </w:t>
      </w:r>
      <w:proofErr w:type="spellStart"/>
      <w:r>
        <w:rPr>
          <w:b/>
          <w:color w:val="0000FF"/>
          <w:sz w:val="32"/>
          <w:szCs w:val="32"/>
        </w:rPr>
        <w:t>Öğr</w:t>
      </w:r>
      <w:proofErr w:type="spellEnd"/>
      <w:r>
        <w:rPr>
          <w:b/>
          <w:color w:val="0000FF"/>
          <w:sz w:val="32"/>
          <w:szCs w:val="32"/>
        </w:rPr>
        <w:t xml:space="preserve">. </w:t>
      </w:r>
      <w:proofErr w:type="spellStart"/>
      <w:r>
        <w:rPr>
          <w:b/>
          <w:color w:val="0000FF"/>
          <w:sz w:val="32"/>
          <w:szCs w:val="32"/>
        </w:rPr>
        <w:t>Üyesi</w:t>
      </w:r>
      <w:proofErr w:type="spellEnd"/>
      <w:r>
        <w:rPr>
          <w:b/>
          <w:color w:val="0000FF"/>
          <w:sz w:val="32"/>
          <w:szCs w:val="32"/>
        </w:rPr>
        <w:t xml:space="preserve"> Mohammed ALKRUNZ</w:t>
      </w:r>
    </w:p>
    <w:p w:rsidR="00347442" w:rsidRDefault="00347442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center"/>
        <w:rPr>
          <w:b/>
          <w:color w:val="0000FF"/>
          <w:sz w:val="32"/>
          <w:szCs w:val="32"/>
        </w:rPr>
      </w:pPr>
    </w:p>
    <w:p w:rsidR="00347442" w:rsidRDefault="00EB6F5A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Istanbul Aydin University</w:t>
      </w:r>
    </w:p>
    <w:p w:rsidR="00347442" w:rsidRDefault="00EB6F5A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32"/>
          <w:szCs w:val="32"/>
        </w:rPr>
        <w:t>Engineering Faculty, Electrical and Electronics Department</w:t>
      </w:r>
    </w:p>
    <w:p w:rsidR="00347442" w:rsidRDefault="00EB6F5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FF"/>
        </w:rPr>
      </w:pPr>
      <w:r>
        <w:rPr>
          <w:b/>
          <w:color w:val="0000FF"/>
        </w:rPr>
        <w:t>2024-2025 Fall Semester</w:t>
      </w:r>
    </w:p>
    <w:p w:rsidR="00347442" w:rsidRDefault="0034744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FF"/>
        </w:rPr>
      </w:pPr>
    </w:p>
    <w:p w:rsidR="00347442" w:rsidRDefault="00EB6F5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Hüseyin KURT</w:t>
      </w:r>
    </w:p>
    <w:p w:rsidR="00347442" w:rsidRDefault="0034744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FF"/>
        </w:rPr>
      </w:pPr>
    </w:p>
    <w:p w:rsidR="00347442" w:rsidRDefault="0034744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FF"/>
        </w:rPr>
      </w:pPr>
    </w:p>
    <w:p w:rsidR="00347442" w:rsidRDefault="0042512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MRAC </w:t>
      </w:r>
      <w:r w:rsidR="00CF32C0">
        <w:rPr>
          <w:b/>
          <w:sz w:val="28"/>
          <w:szCs w:val="28"/>
        </w:rPr>
        <w:t xml:space="preserve">CONTROL WITH </w:t>
      </w:r>
      <w:r w:rsidR="00EB6F5A">
        <w:rPr>
          <w:b/>
          <w:sz w:val="28"/>
          <w:szCs w:val="28"/>
        </w:rPr>
        <w:t xml:space="preserve">LYAPUNOV </w:t>
      </w:r>
      <w:r w:rsidR="00CF32C0">
        <w:rPr>
          <w:b/>
          <w:sz w:val="28"/>
          <w:szCs w:val="28"/>
        </w:rPr>
        <w:t>RULE</w:t>
      </w:r>
    </w:p>
    <w:p w:rsidR="00347442" w:rsidRDefault="00EB6F5A">
      <w:pPr>
        <w:pStyle w:val="Balk1"/>
        <w:numPr>
          <w:ilvl w:val="0"/>
          <w:numId w:val="1"/>
        </w:numPr>
        <w:spacing w:line="360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Introduction</w:t>
      </w:r>
    </w:p>
    <w:p w:rsidR="00347442" w:rsidRDefault="00EB6F5A">
      <w:pPr>
        <w:spacing w:line="360" w:lineRule="auto"/>
        <w:jc w:val="both"/>
      </w:pPr>
      <w:r>
        <w:t>Adaptive control is a powerful control methodology used for systems with uncertain or time-varying parameters. Unlike fixed-gain controllers, adaptive controllers continuously adjust their parameters to ensure the desired performance and stability of the s</w:t>
      </w:r>
      <w:r>
        <w:t>ystem. A specific class of adaptive control, known as Model Reference Adaptive Control (MRAC), aims to make the system output track a predefined reference model that represents the desired closed-loop behavior.</w:t>
      </w:r>
    </w:p>
    <w:p w:rsidR="00347442" w:rsidRDefault="00EB6F5A">
      <w:pPr>
        <w:pStyle w:val="Balk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Methodology</w:t>
      </w:r>
    </w:p>
    <w:p w:rsidR="00347442" w:rsidRDefault="00EB6F5A">
      <w:pPr>
        <w:spacing w:line="360" w:lineRule="auto"/>
        <w:jc w:val="both"/>
      </w:pPr>
      <w:r>
        <w:t>In this study, we consider a sing</w:t>
      </w:r>
      <w:r>
        <w:t>le-input single-output (SISO) system described by the transfer function:</w:t>
      </w:r>
    </w:p>
    <w:p w:rsidR="00347442" w:rsidRDefault="00EB6F5A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b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(</m:t>
              </m:r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</m:oMath>
      </m:oMathPara>
    </w:p>
    <w:p w:rsidR="00347442" w:rsidRDefault="00EB6F5A">
      <w:pPr>
        <w:spacing w:line="360" w:lineRule="auto"/>
        <w:jc w:val="both"/>
      </w:pPr>
      <w:proofErr w:type="gramStart"/>
      <w:r>
        <w:t>where</w:t>
      </w:r>
      <w:proofErr w:type="gramEnd"/>
      <w:r>
        <w:t xml:space="preserve"> a&gt;0 and b&gt;0 are unknown system parameters. The objective is to design a control system that ensures the plant output </w:t>
      </w:r>
      <w:proofErr w:type="gramStart"/>
      <w:r>
        <w:t>y(</w:t>
      </w:r>
      <w:proofErr w:type="gramEnd"/>
      <w:r>
        <w:t xml:space="preserve">t) follows the output of a reference model </w:t>
      </w:r>
      <w:r>
        <w:t>defined by the transfer function:</w:t>
      </w:r>
    </w:p>
    <w:p w:rsidR="00347442" w:rsidRDefault="00EB6F5A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(</m:t>
              </m:r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</w:rPr>
                <m:t>+2)</m:t>
              </m:r>
            </m:den>
          </m:f>
        </m:oMath>
      </m:oMathPara>
    </w:p>
    <w:p w:rsidR="00347442" w:rsidRDefault="00EB6F5A">
      <w:pPr>
        <w:spacing w:line="360" w:lineRule="auto"/>
        <w:jc w:val="both"/>
      </w:pPr>
      <w:r>
        <w:t xml:space="preserve">The controller </w:t>
      </w:r>
      <w:proofErr w:type="gramStart"/>
      <w:r>
        <w:t>is designed</w:t>
      </w:r>
      <w:proofErr w:type="gramEnd"/>
      <w:r>
        <w:t xml:space="preserve"> as:</w:t>
      </w:r>
    </w:p>
    <w:p w:rsidR="00347442" w:rsidRDefault="00EB6F5A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r>
            <w:rPr>
              <w:rFonts w:ascii="Cambria Math" w:eastAsia="Cambria Math" w:hAnsi="Cambria Math" w:cs="Cambria Math"/>
            </w:rPr>
            <m:t>y</m:t>
          </m:r>
          <m:r>
            <w:rPr>
              <w:rFonts w:ascii="Cambria Math" w:eastAsia="Cambria Math" w:hAnsi="Cambria Math" w:cs="Cambria Math"/>
            </w:rPr>
            <m:t>(</m:t>
          </m:r>
          <m:r>
            <w:rPr>
              <w:rFonts w:ascii="Cambria Math" w:eastAsia="Cambria Math" w:hAnsi="Cambria Math" w:cs="Cambria Math"/>
            </w:rPr>
            <m:t>t</m:t>
          </m:r>
          <m:r>
            <w:rPr>
              <w:rFonts w:ascii="Cambria Math" w:eastAsia="Cambria Math" w:hAnsi="Cambria Math" w:cs="Cambria Math"/>
            </w:rPr>
            <m:t>)</m:t>
          </m:r>
        </m:oMath>
      </m:oMathPara>
    </w:p>
    <w:p w:rsidR="00347442" w:rsidRPr="00CF32C0" w:rsidRDefault="00EB6F5A">
      <w:pPr>
        <w:spacing w:line="360" w:lineRule="auto"/>
        <w:jc w:val="both"/>
      </w:pPr>
      <w:proofErr w:type="gramStart"/>
      <w:r w:rsidRPr="00CF32C0">
        <w:t>where</w:t>
      </w:r>
      <w:proofErr w:type="gramEnd"/>
      <w:r w:rsidRPr="00CF32C0">
        <w:t xml:space="preserve">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u</m:t>
            </m:r>
          </m:e>
          <m:sub>
            <m:r>
              <w:rPr>
                <w:rFonts w:ascii="Cambria Math" w:eastAsia="Cambria Math" w:hAnsi="Cambria Math"/>
              </w:rPr>
              <m:t>c</m:t>
            </m:r>
          </m:sub>
        </m:sSub>
      </m:oMath>
      <w:r w:rsidRPr="00CF32C0">
        <w:t xml:space="preserve"> is the reference input, </w:t>
      </w:r>
      <m:oMath>
        <m:r>
          <w:rPr>
            <w:rFonts w:ascii="Cambria Math" w:eastAsia="Cambria Math" w:hAnsi="Cambria Math"/>
          </w:rPr>
          <m:t>y</m:t>
        </m:r>
        <m:r>
          <w:rPr>
            <w:rFonts w:ascii="Cambria Math" w:eastAsia="Cambria Math" w:hAnsi="Cambria Math"/>
          </w:rPr>
          <m:t>(</m:t>
        </m:r>
        <m:r>
          <w:rPr>
            <w:rFonts w:ascii="Cambria Math" w:eastAsia="Cambria Math" w:hAnsi="Cambria Math"/>
          </w:rPr>
          <m:t>t</m:t>
        </m:r>
        <m:r>
          <w:rPr>
            <w:rFonts w:ascii="Cambria Math" w:eastAsia="Cambria Math" w:hAnsi="Cambria Math"/>
          </w:rPr>
          <m:t>)</m:t>
        </m:r>
      </m:oMath>
      <w:r w:rsidRPr="00CF32C0">
        <w:t xml:space="preserve"> is the plant output, and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</m:oMath>
      <w:r w:rsidRPr="00CF32C0">
        <w:t xml:space="preserve">and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eastAsia="Cambria Math" w:hAnsi="Cambria Math"/>
              </w:rPr>
              <m:t>2</m:t>
            </m:r>
          </m:sub>
        </m:sSub>
      </m:oMath>
      <w:r w:rsidRPr="00CF32C0">
        <w:t xml:space="preserve"> are adaptive parameters. These parameters are updated online using adap</w:t>
      </w:r>
      <w:proofErr w:type="spellStart"/>
      <w:r w:rsidRPr="00CF32C0">
        <w:t>tive</w:t>
      </w:r>
      <w:proofErr w:type="spellEnd"/>
      <w:r w:rsidRPr="00CF32C0">
        <w:t xml:space="preserve"> laws to minimize the tracking error between the plant output and the reference model output.</w:t>
      </w:r>
    </w:p>
    <w:p w:rsidR="00347442" w:rsidRPr="00CF32C0" w:rsidRDefault="00EB6F5A">
      <w:pPr>
        <w:spacing w:line="360" w:lineRule="auto"/>
        <w:jc w:val="both"/>
      </w:pPr>
      <w:r w:rsidRPr="00CF32C0">
        <w:t xml:space="preserve">To ensure the stability of the closed-loop system and the convergence of the tracking error, we employ </w:t>
      </w:r>
      <w:proofErr w:type="spellStart"/>
      <w:r w:rsidRPr="00CF32C0">
        <w:t>Lyapunov's</w:t>
      </w:r>
      <w:proofErr w:type="spellEnd"/>
      <w:r w:rsidRPr="00CF32C0">
        <w:t xml:space="preserve"> stability theory. </w:t>
      </w:r>
      <w:proofErr w:type="spellStart"/>
      <w:r w:rsidRPr="00CF32C0">
        <w:t>Lyapunov</w:t>
      </w:r>
      <w:proofErr w:type="spellEnd"/>
      <w:r w:rsidRPr="00CF32C0">
        <w:t xml:space="preserve"> theory provides a</w:t>
      </w:r>
      <w:r w:rsidRPr="00CF32C0">
        <w:t xml:space="preserve"> systematic way to analyze the stability of dynamic systems by constructing a scalar energy-like function called the </w:t>
      </w:r>
      <w:proofErr w:type="spellStart"/>
      <w:r w:rsidRPr="00CF32C0">
        <w:t>Lyapunov</w:t>
      </w:r>
      <w:proofErr w:type="spellEnd"/>
      <w:r w:rsidRPr="00CF32C0">
        <w:t xml:space="preserve"> function. A well-chosen </w:t>
      </w:r>
      <w:proofErr w:type="spellStart"/>
      <w:r w:rsidRPr="00CF32C0">
        <w:t>Lyapunov</w:t>
      </w:r>
      <w:proofErr w:type="spellEnd"/>
      <w:r w:rsidRPr="00CF32C0">
        <w:t xml:space="preserve"> function guarantees that the system states remain bounded and that the tracking error converges t</w:t>
      </w:r>
      <w:r w:rsidRPr="00CF32C0">
        <w:t>o zero.</w:t>
      </w:r>
    </w:p>
    <w:p w:rsidR="00347442" w:rsidRPr="00CF32C0" w:rsidRDefault="00EB6F5A">
      <w:pPr>
        <w:spacing w:line="360" w:lineRule="auto"/>
        <w:jc w:val="both"/>
      </w:pPr>
      <w:r w:rsidRPr="00CF32C0">
        <w:t xml:space="preserve">For the MRAC system, we define a </w:t>
      </w:r>
      <w:proofErr w:type="spellStart"/>
      <w:r w:rsidRPr="00CF32C0">
        <w:t>Lyapunov</w:t>
      </w:r>
      <w:proofErr w:type="spellEnd"/>
      <w:r w:rsidRPr="00CF32C0">
        <w:t xml:space="preserve"> function candidate as:</w:t>
      </w:r>
    </w:p>
    <w:p w:rsidR="00347442" w:rsidRDefault="00EB6F5A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V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e</m:t>
              </m:r>
              <m:r>
                <w:rPr>
                  <w:rFonts w:ascii="Cambria Math" w:eastAsia="Cambria Math" w:hAnsi="Cambria Math" w:cs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γ</m:t>
              </m:r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γ</m:t>
              </m:r>
            </m:den>
          </m:f>
        </m:oMath>
      </m:oMathPara>
    </w:p>
    <w:p w:rsidR="00347442" w:rsidRPr="00CF32C0" w:rsidRDefault="00EB6F5A">
      <w:pPr>
        <w:spacing w:line="360" w:lineRule="auto"/>
        <w:jc w:val="both"/>
      </w:pPr>
      <w:proofErr w:type="gramStart"/>
      <w:r w:rsidRPr="00CF32C0">
        <w:lastRenderedPageBreak/>
        <w:t>where</w:t>
      </w:r>
      <w:proofErr w:type="gramEnd"/>
      <w:r w:rsidRPr="00CF32C0"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eastAsia="Cambria Math" w:hAnsi="Cambria Math"/>
                  </w:rPr>
                  <m:t>1</m:t>
                </m:r>
              </m:sub>
            </m:sSub>
          </m:e>
        </m:acc>
      </m:oMath>
      <w:r w:rsidR="009D6156">
        <w:t xml:space="preserve"> </w:t>
      </w:r>
      <w:r w:rsidRPr="00CF32C0">
        <w:t xml:space="preserve">and </w:t>
      </w:r>
      <m:oMath>
        <m:acc>
          <m:accPr>
            <m:chr m:val="̅"/>
            <m:ctrlPr>
              <w:rPr>
                <w:rFonts w:ascii="Cambria Math" w:eastAsia="Cambria Math" w:hAnsi="Cambria Math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eastAsia="Cambria Math" w:hAnsi="Cambria Math"/>
                  </w:rPr>
                  <m:t>2</m:t>
                </m:r>
              </m:sub>
            </m:sSub>
          </m:e>
        </m:acc>
      </m:oMath>
      <w:r w:rsidRPr="00CF32C0">
        <w:t xml:space="preserve"> are </w:t>
      </w:r>
      <w:r w:rsidRPr="00CF32C0">
        <w:t xml:space="preserve">difference actual value and true value, </w:t>
      </w:r>
      <m:oMath>
        <m:r>
          <w:rPr>
            <w:rFonts w:ascii="Cambria Math" w:hAnsi="Cambria Math"/>
          </w:rPr>
          <m:t>γ</m:t>
        </m:r>
      </m:oMath>
      <w:sdt>
        <w:sdtPr>
          <w:tag w:val="goog_rdk_0"/>
          <w:id w:val="241688810"/>
        </w:sdtPr>
        <w:sdtEndPr/>
        <w:sdtContent>
          <w:r w:rsidRPr="00CF32C0">
            <w:rPr>
              <w:rFonts w:eastAsia="Cardo"/>
            </w:rPr>
            <w:t xml:space="preserve"> is adaptation gain. The time derivative of the Lyapunov function </w:t>
          </w:r>
          <w:proofErr w:type="gramStart"/>
          <w:r w:rsidRPr="00CF32C0">
            <w:rPr>
              <w:rFonts w:eastAsia="Cardo"/>
            </w:rPr>
            <w:t>is shown</w:t>
          </w:r>
          <w:proofErr w:type="gramEnd"/>
          <w:r w:rsidRPr="00CF32C0">
            <w:rPr>
              <w:rFonts w:eastAsia="Cardo"/>
            </w:rPr>
            <w:t xml:space="preserve"> to be negative semi-definite, which ensures that the error e converges to zero as t→∞ and the adaptive parameters </w:t>
          </w:r>
        </w:sdtContent>
      </w:sdt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</m:oMath>
      <w:r w:rsidRPr="00CF32C0">
        <w:t xml:space="preserve">and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eastAsia="Cambria Math" w:hAnsi="Cambria Math"/>
              </w:rPr>
              <m:t>2</m:t>
            </m:r>
          </m:sub>
        </m:sSub>
      </m:oMath>
      <w:r w:rsidRPr="00CF32C0">
        <w:t xml:space="preserve"> stabilize. The </w:t>
      </w:r>
      <w:r w:rsidR="00CF32C0" w:rsidRPr="00CF32C0">
        <w:t>mathematical analysis</w:t>
      </w:r>
      <w:r w:rsidRPr="00CF32C0">
        <w:t xml:space="preserve"> of this example is in the appe</w:t>
      </w:r>
      <w:proofErr w:type="spellStart"/>
      <w:r w:rsidRPr="00CF32C0">
        <w:t>ndix</w:t>
      </w:r>
      <w:proofErr w:type="spellEnd"/>
      <w:r w:rsidRPr="00CF32C0">
        <w:t xml:space="preserve"> part.</w:t>
      </w:r>
    </w:p>
    <w:p w:rsidR="00347442" w:rsidRPr="00CF32C0" w:rsidRDefault="00EB6F5A">
      <w:pPr>
        <w:spacing w:line="360" w:lineRule="auto"/>
        <w:jc w:val="both"/>
      </w:pPr>
      <w:r w:rsidRPr="00CF32C0">
        <w:t xml:space="preserve">This study follows like; first, the system dynamics, controller design, and adaptation laws </w:t>
      </w:r>
      <w:proofErr w:type="gramStart"/>
      <w:r w:rsidRPr="00CF32C0">
        <w:t>are presented</w:t>
      </w:r>
      <w:proofErr w:type="gramEnd"/>
      <w:r w:rsidRPr="00CF32C0">
        <w:t xml:space="preserve">. Next, </w:t>
      </w:r>
      <w:proofErr w:type="spellStart"/>
      <w:r w:rsidRPr="00CF32C0">
        <w:t>Lyapunov</w:t>
      </w:r>
      <w:proofErr w:type="spellEnd"/>
      <w:r w:rsidRPr="00CF32C0">
        <w:t xml:space="preserve"> theory </w:t>
      </w:r>
      <w:proofErr w:type="gramStart"/>
      <w:r w:rsidRPr="00CF32C0">
        <w:t>is applied</w:t>
      </w:r>
      <w:proofErr w:type="gramEnd"/>
      <w:r w:rsidRPr="00CF32C0">
        <w:t xml:space="preserve"> to prove the stability and convergence of the closed-loop system. Finally, the designed MRAC system </w:t>
      </w:r>
      <w:proofErr w:type="gramStart"/>
      <w:r w:rsidRPr="00CF32C0">
        <w:t>is im</w:t>
      </w:r>
      <w:r w:rsidRPr="00CF32C0">
        <w:t>plemented</w:t>
      </w:r>
      <w:proofErr w:type="gramEnd"/>
      <w:r w:rsidRPr="00CF32C0">
        <w:t xml:space="preserve"> in simulations to validate its performance. </w:t>
      </w:r>
    </w:p>
    <w:p w:rsidR="00347442" w:rsidRDefault="00EB6F5A">
      <w:pPr>
        <w:pStyle w:val="Balk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Simulation and Results</w:t>
      </w:r>
    </w:p>
    <w:p w:rsidR="00347442" w:rsidRDefault="00EB6F5A" w:rsidP="00CF32C0">
      <w:pPr>
        <w:spacing w:line="360" w:lineRule="auto"/>
        <w:jc w:val="both"/>
      </w:pPr>
      <w:r>
        <w:t xml:space="preserve">The system consisting of MRAC controller simulated with </w:t>
      </w:r>
      <w:proofErr w:type="spellStart"/>
      <w:r>
        <w:t>Lyapunov</w:t>
      </w:r>
      <w:proofErr w:type="spellEnd"/>
      <w:r>
        <w:t xml:space="preserve"> rule. In the steady state, the desired value for error is to minimize or zero. Unknown parameters are used for a </w:t>
      </w:r>
      <w:r>
        <w:t xml:space="preserve">= </w:t>
      </w:r>
      <w:proofErr w:type="gramStart"/>
      <w:r>
        <w:t>1</w:t>
      </w:r>
      <w:proofErr w:type="gramEnd"/>
      <w:r>
        <w:t xml:space="preserve"> and b = 0.5.</w:t>
      </w:r>
    </w:p>
    <w:p w:rsidR="00347442" w:rsidRDefault="00EB6F5A">
      <w:pPr>
        <w:keepNext/>
        <w:spacing w:line="276" w:lineRule="auto"/>
        <w:jc w:val="center"/>
      </w:pPr>
      <w:r>
        <w:rPr>
          <w:noProof/>
          <w:lang w:val="tr-TR"/>
        </w:rPr>
        <w:drawing>
          <wp:inline distT="114300" distB="114300" distL="114300" distR="114300">
            <wp:extent cx="5761045" cy="2895600"/>
            <wp:effectExtent l="0" t="0" r="0" b="0"/>
            <wp:docPr id="2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04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7442" w:rsidRDefault="00EB6F5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i/>
          <w:color w:val="000000"/>
          <w:sz w:val="22"/>
          <w:szCs w:val="22"/>
        </w:rPr>
      </w:pPr>
      <w:r>
        <w:rPr>
          <w:i/>
          <w:color w:val="000000"/>
        </w:rPr>
        <w:t>Figure 1</w:t>
      </w:r>
      <w:proofErr w:type="gramStart"/>
      <w:r>
        <w:rPr>
          <w:i/>
          <w:color w:val="000000"/>
        </w:rPr>
        <w:t>:Block</w:t>
      </w:r>
      <w:proofErr w:type="gramEnd"/>
      <w:r>
        <w:rPr>
          <w:i/>
          <w:color w:val="000000"/>
        </w:rPr>
        <w:t xml:space="preserve"> diagram for </w:t>
      </w:r>
      <w:proofErr w:type="spellStart"/>
      <w:r w:rsidR="007D627E">
        <w:rPr>
          <w:i/>
          <w:color w:val="000000"/>
        </w:rPr>
        <w:t>Lyapunov</w:t>
      </w:r>
      <w:proofErr w:type="spellEnd"/>
      <w:r w:rsidR="007D627E">
        <w:rPr>
          <w:i/>
          <w:color w:val="000000"/>
        </w:rPr>
        <w:t xml:space="preserve"> rule</w:t>
      </w:r>
      <w:r>
        <w:rPr>
          <w:i/>
          <w:color w:val="000000"/>
        </w:rPr>
        <w:t>.</w:t>
      </w:r>
    </w:p>
    <w:p w:rsidR="00347442" w:rsidRDefault="00EB6F5A" w:rsidP="00CF32C0">
      <w:pPr>
        <w:spacing w:line="360" w:lineRule="auto"/>
        <w:jc w:val="both"/>
      </w:pPr>
      <w:r>
        <w:t xml:space="preserve">The </w:t>
      </w:r>
      <w:proofErr w:type="spellStart"/>
      <w:r>
        <w:t>Lyapunov</w:t>
      </w:r>
      <w:proofErr w:type="spellEnd"/>
      <w:r>
        <w:t xml:space="preserve"> block diagram for MRAC system </w:t>
      </w:r>
      <w:proofErr w:type="gramStart"/>
      <w:r>
        <w:t>is demonstrated</w:t>
      </w:r>
      <w:proofErr w:type="gramEnd"/>
      <w:r>
        <w:t xml:space="preserve"> on Figure 1. There is step function as input signal with </w:t>
      </w:r>
      <w:proofErr w:type="gramStart"/>
      <w:r>
        <w:t>1</w:t>
      </w:r>
      <w:proofErr w:type="gramEnd"/>
      <w:r>
        <w:t xml:space="preserve"> amplitude. It consists of reference model and plant system.</w:t>
      </w:r>
    </w:p>
    <w:p w:rsidR="00347442" w:rsidRDefault="00347442" w:rsidP="00CF32C0">
      <w:pPr>
        <w:spacing w:line="360" w:lineRule="auto"/>
        <w:jc w:val="center"/>
        <w:rPr>
          <w:sz w:val="22"/>
          <w:szCs w:val="22"/>
        </w:rPr>
      </w:pPr>
    </w:p>
    <w:p w:rsidR="00347442" w:rsidRDefault="00FA1C8D">
      <w:pPr>
        <w:spacing w:line="276" w:lineRule="auto"/>
        <w:jc w:val="both"/>
      </w:pPr>
      <w:r>
        <w:rPr>
          <w:noProof/>
          <w:lang w:val="tr-TR"/>
        </w:rPr>
        <w:lastRenderedPageBreak/>
        <w:drawing>
          <wp:inline distT="0" distB="0" distL="0" distR="0">
            <wp:extent cx="5486400" cy="3419552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_3_Picture_2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943" cy="34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42" w:rsidRDefault="00EB6F5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i/>
          <w:color w:val="000000"/>
          <w:sz w:val="22"/>
          <w:szCs w:val="22"/>
        </w:rPr>
      </w:pPr>
      <w:r>
        <w:rPr>
          <w:i/>
          <w:color w:val="000000"/>
        </w:rPr>
        <w:t xml:space="preserve">Figure </w:t>
      </w:r>
      <w:r>
        <w:rPr>
          <w:i/>
        </w:rPr>
        <w:t>2</w:t>
      </w:r>
      <w:r>
        <w:rPr>
          <w:i/>
          <w:color w:val="000000"/>
        </w:rPr>
        <w:t>: Control outputs.</w:t>
      </w:r>
    </w:p>
    <w:p w:rsidR="00347442" w:rsidRPr="00CF32C0" w:rsidRDefault="00EB6F5A" w:rsidP="00CF32C0">
      <w:pPr>
        <w:spacing w:line="360" w:lineRule="auto"/>
        <w:jc w:val="both"/>
        <w:rPr>
          <w:szCs w:val="22"/>
        </w:rPr>
      </w:pPr>
      <w:r w:rsidRPr="00CF32C0">
        <w:rPr>
          <w:szCs w:val="22"/>
        </w:rPr>
        <w:t xml:space="preserve">Figure 5 shows the changing on the output of reference model and the plant system. The control able to follow reference model successfully by adjusting the parameter in squared error criteria. </w:t>
      </w:r>
    </w:p>
    <w:p w:rsidR="00347442" w:rsidRDefault="00347442">
      <w:pPr>
        <w:spacing w:line="276" w:lineRule="auto"/>
        <w:jc w:val="both"/>
        <w:rPr>
          <w:sz w:val="22"/>
          <w:szCs w:val="22"/>
        </w:rPr>
      </w:pPr>
      <w:bookmarkStart w:id="0" w:name="_heading=h.whd4w5w8yd5g" w:colFirst="0" w:colLast="0"/>
      <w:bookmarkEnd w:id="0"/>
    </w:p>
    <w:p w:rsidR="00347442" w:rsidRDefault="00FA1C8D">
      <w:pPr>
        <w:spacing w:line="276" w:lineRule="auto"/>
        <w:jc w:val="both"/>
        <w:rPr>
          <w:sz w:val="22"/>
          <w:szCs w:val="22"/>
        </w:rPr>
      </w:pPr>
      <w:bookmarkStart w:id="1" w:name="_heading=h.iz7shno90cdu" w:colFirst="0" w:colLast="0"/>
      <w:bookmarkEnd w:id="1"/>
      <w:r>
        <w:rPr>
          <w:noProof/>
          <w:sz w:val="22"/>
          <w:szCs w:val="22"/>
          <w:lang w:val="tr-TR"/>
        </w:rPr>
        <w:drawing>
          <wp:inline distT="0" distB="0" distL="0" distR="0">
            <wp:extent cx="5549463" cy="347292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_3_Picture_3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386" cy="347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42" w:rsidRDefault="00EB6F5A">
      <w:pPr>
        <w:spacing w:before="120" w:after="120"/>
        <w:jc w:val="center"/>
        <w:rPr>
          <w:sz w:val="22"/>
          <w:szCs w:val="22"/>
        </w:rPr>
      </w:pPr>
      <w:r>
        <w:rPr>
          <w:i/>
        </w:rPr>
        <w:t xml:space="preserve">Figure 3: The error according to </w:t>
      </w:r>
      <w:r w:rsidR="00701436">
        <w:rPr>
          <w:i/>
        </w:rPr>
        <w:t>c</w:t>
      </w:r>
      <w:r>
        <w:rPr>
          <w:i/>
        </w:rPr>
        <w:t>ontrol input.</w:t>
      </w:r>
    </w:p>
    <w:p w:rsidR="00347442" w:rsidRPr="0033771F" w:rsidRDefault="00CF32C0" w:rsidP="0033771F">
      <w:pPr>
        <w:spacing w:after="240" w:line="360" w:lineRule="auto"/>
        <w:jc w:val="both"/>
      </w:pPr>
      <w:bookmarkStart w:id="2" w:name="_heading=h.md3cr1ypiv2r" w:colFirst="0" w:colLast="0"/>
      <w:bookmarkEnd w:id="2"/>
      <w:r w:rsidRPr="0033771F">
        <w:t>Figure 3 shows the error between plant system output and reference system output.</w:t>
      </w:r>
    </w:p>
    <w:p w:rsidR="00347442" w:rsidRDefault="00FA1C8D" w:rsidP="0042512F">
      <w:pPr>
        <w:spacing w:line="276" w:lineRule="auto"/>
        <w:jc w:val="center"/>
        <w:rPr>
          <w:sz w:val="22"/>
          <w:szCs w:val="22"/>
        </w:rPr>
      </w:pPr>
      <w:bookmarkStart w:id="3" w:name="_heading=h.8ylz078cjmbr" w:colFirst="0" w:colLast="0"/>
      <w:bookmarkEnd w:id="3"/>
      <w:r>
        <w:rPr>
          <w:noProof/>
          <w:sz w:val="22"/>
          <w:szCs w:val="22"/>
          <w:lang w:val="tr-TR"/>
        </w:rPr>
        <w:lastRenderedPageBreak/>
        <w:drawing>
          <wp:inline distT="0" distB="0" distL="0" distR="0">
            <wp:extent cx="4729655" cy="2935899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_3_Picture_4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613" cy="296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42" w:rsidRDefault="00EB6F5A" w:rsidP="002448A9">
      <w:pPr>
        <w:spacing w:before="120" w:after="120"/>
        <w:jc w:val="center"/>
        <w:rPr>
          <w:sz w:val="22"/>
          <w:szCs w:val="22"/>
        </w:rPr>
      </w:pPr>
      <w:r>
        <w:rPr>
          <w:i/>
        </w:rPr>
        <w:t>Figure 4: The parameters changing.</w:t>
      </w:r>
      <w:bookmarkStart w:id="4" w:name="_heading=h.l2lsaw4jnv8i" w:colFirst="0" w:colLast="0"/>
      <w:bookmarkEnd w:id="4"/>
    </w:p>
    <w:p w:rsidR="00347442" w:rsidRDefault="002448A9" w:rsidP="00CF32C0">
      <w:pPr>
        <w:spacing w:line="360" w:lineRule="auto"/>
        <w:jc w:val="both"/>
      </w:pPr>
      <w:bookmarkStart w:id="5" w:name="_heading=h.gjdgxs" w:colFirst="0" w:colLast="0"/>
      <w:bookmarkEnd w:id="5"/>
      <w:r w:rsidRPr="00CF32C0">
        <w:t xml:space="preserve">The parameter values </w:t>
      </w:r>
      <w:proofErr w:type="gramStart"/>
      <w:r w:rsidRPr="00CF32C0">
        <w:t>are shown</w:t>
      </w:r>
      <w:proofErr w:type="gramEnd"/>
      <w:r w:rsidRPr="00CF32C0">
        <w:t xml:space="preserve"> in figure </w:t>
      </w:r>
      <w:r w:rsidR="000B50B8">
        <w:t>4</w:t>
      </w:r>
      <w:r w:rsidRPr="00CF32C0">
        <w:t xml:space="preserve">. </w:t>
      </w:r>
      <w:proofErr w:type="gramStart"/>
      <w:r w:rsidRPr="00CF32C0">
        <w:t>This</w:t>
      </w:r>
      <w:proofErr w:type="gramEnd"/>
      <w:r w:rsidRPr="00CF32C0">
        <w:t xml:space="preserve"> parameters was reached to steady state values</w:t>
      </w:r>
      <w:r w:rsidR="00C72AB1" w:rsidRPr="00CF32C0">
        <w:t xml:space="preserve"> after transient state</w:t>
      </w:r>
      <w:r w:rsidRPr="00CF32C0">
        <w:t>.</w:t>
      </w:r>
    </w:p>
    <w:p w:rsidR="00C45570" w:rsidRPr="00C45570" w:rsidRDefault="00C45570" w:rsidP="00CF32C0">
      <w:pPr>
        <w:spacing w:line="360" w:lineRule="auto"/>
        <w:jc w:val="both"/>
      </w:pPr>
      <w:r w:rsidRPr="00C45570">
        <w:rPr>
          <w:color w:val="000000"/>
          <w:shd w:val="clear" w:color="auto" w:fill="FFFFFF"/>
        </w:rPr>
        <w:t>To analyze the performance of the </w:t>
      </w:r>
      <w:r w:rsidRPr="00C45570">
        <w:rPr>
          <w:rStyle w:val="Gl"/>
          <w:b w:val="0"/>
          <w:color w:val="000000"/>
          <w:shd w:val="clear" w:color="auto" w:fill="FFFFFF"/>
        </w:rPr>
        <w:t>Model Reference Adaptive Control (MRAC)</w:t>
      </w:r>
      <w:r w:rsidRPr="00C45570">
        <w:rPr>
          <w:color w:val="000000"/>
          <w:shd w:val="clear" w:color="auto" w:fill="FFFFFF"/>
        </w:rPr>
        <w:t> system</w:t>
      </w:r>
      <w:r w:rsidRPr="00C45570">
        <w:rPr>
          <w:color w:val="000000"/>
          <w:shd w:val="clear" w:color="auto" w:fill="FFFFFF"/>
        </w:rPr>
        <w:t xml:space="preserve"> using </w:t>
      </w:r>
      <w:proofErr w:type="spellStart"/>
      <w:r w:rsidRPr="00C45570">
        <w:rPr>
          <w:color w:val="000000"/>
          <w:shd w:val="clear" w:color="auto" w:fill="FFFFFF"/>
        </w:rPr>
        <w:t>Lyapunov</w:t>
      </w:r>
      <w:proofErr w:type="spellEnd"/>
      <w:r w:rsidRPr="00C45570">
        <w:rPr>
          <w:color w:val="000000"/>
          <w:shd w:val="clear" w:color="auto" w:fill="FFFFFF"/>
        </w:rPr>
        <w:t xml:space="preserve"> rule</w:t>
      </w:r>
      <w:r w:rsidRPr="00C45570">
        <w:rPr>
          <w:color w:val="000000"/>
          <w:shd w:val="clear" w:color="auto" w:fill="FFFFFF"/>
        </w:rPr>
        <w:t xml:space="preserve">, </w:t>
      </w:r>
      <w:r w:rsidR="009D6156">
        <w:rPr>
          <w:color w:val="000000"/>
          <w:shd w:val="clear" w:color="auto" w:fill="FFFFFF"/>
        </w:rPr>
        <w:t>it is needed</w:t>
      </w:r>
      <w:r w:rsidRPr="00C45570">
        <w:rPr>
          <w:color w:val="000000"/>
          <w:shd w:val="clear" w:color="auto" w:fill="FFFFFF"/>
        </w:rPr>
        <w:t xml:space="preserve"> to evaluate how the plant output </w:t>
      </w:r>
      <w:r w:rsidR="009D6156">
        <w:rPr>
          <w:rStyle w:val="katex-mathml"/>
          <w:color w:val="000000"/>
          <w:shd w:val="clear" w:color="auto" w:fill="FFFFFF"/>
        </w:rPr>
        <w:t>(</w:t>
      </w:r>
      <w:proofErr w:type="gramStart"/>
      <w:r w:rsidRPr="00C45570">
        <w:rPr>
          <w:rStyle w:val="mord"/>
          <w:color w:val="000000"/>
          <w:shd w:val="clear" w:color="auto" w:fill="FFFFFF"/>
        </w:rPr>
        <w:t>y</w:t>
      </w:r>
      <w:r w:rsidRPr="00C45570">
        <w:rPr>
          <w:rStyle w:val="mopen"/>
          <w:color w:val="000000"/>
          <w:shd w:val="clear" w:color="auto" w:fill="FFFFFF"/>
        </w:rPr>
        <w:t>(</w:t>
      </w:r>
      <w:proofErr w:type="gramEnd"/>
      <w:r w:rsidRPr="00C45570">
        <w:rPr>
          <w:rStyle w:val="mord"/>
          <w:color w:val="000000"/>
          <w:shd w:val="clear" w:color="auto" w:fill="FFFFFF"/>
        </w:rPr>
        <w:t>t</w:t>
      </w:r>
      <w:r w:rsidRPr="00C45570">
        <w:rPr>
          <w:rStyle w:val="mclose"/>
          <w:color w:val="000000"/>
          <w:shd w:val="clear" w:color="auto" w:fill="FFFFFF"/>
        </w:rPr>
        <w:t>)</w:t>
      </w:r>
      <w:r w:rsidR="009D6156">
        <w:rPr>
          <w:rStyle w:val="mclose"/>
          <w:color w:val="000000"/>
          <w:shd w:val="clear" w:color="auto" w:fill="FFFFFF"/>
        </w:rPr>
        <w:t>)</w:t>
      </w:r>
      <w:r w:rsidRPr="00C45570">
        <w:rPr>
          <w:color w:val="000000"/>
          <w:shd w:val="clear" w:color="auto" w:fill="FFFFFF"/>
        </w:rPr>
        <w:t> tracks the reference model output </w:t>
      </w:r>
      <w:r w:rsidR="009D6156">
        <w:rPr>
          <w:rStyle w:val="katex-mathml"/>
          <w:color w:val="000000"/>
          <w:shd w:val="clear" w:color="auto" w:fill="FFFFFF"/>
        </w:rPr>
        <w:t>(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eastAsia="Cambria Math" w:hAnsi="Cambria Math"/>
              </w:rPr>
              <m:t>m</m:t>
            </m:r>
          </m:sub>
        </m:sSub>
        <m:r>
          <w:rPr>
            <w:rFonts w:ascii="Cambria Math" w:eastAsia="Cambria Math" w:hAnsi="Cambria Math"/>
          </w:rPr>
          <m:t>(t)</m:t>
        </m:r>
      </m:oMath>
      <w:r w:rsidR="009D6156">
        <w:rPr>
          <w:rStyle w:val="katex-mathml"/>
          <w:color w:val="000000"/>
          <w:shd w:val="clear" w:color="auto" w:fill="FFFFFF"/>
        </w:rPr>
        <w:t>)</w:t>
      </w:r>
      <w:r w:rsidRPr="00C45570">
        <w:rPr>
          <w:color w:val="000000"/>
          <w:shd w:val="clear" w:color="auto" w:fill="FFFFFF"/>
        </w:rPr>
        <w:t xml:space="preserve">, along with the behavior of the adaptive parameters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</m:oMath>
      <w:r w:rsidR="00B125A5">
        <w:t xml:space="preserve"> and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eastAsia="Cambria Math" w:hAnsi="Cambria Math"/>
              </w:rPr>
              <m:t>2</m:t>
            </m:r>
          </m:sub>
        </m:sSub>
      </m:oMath>
      <w:r w:rsidR="00B125A5" w:rsidRPr="00C45570">
        <w:rPr>
          <w:color w:val="000000"/>
          <w:shd w:val="clear" w:color="auto" w:fill="FFFFFF"/>
        </w:rPr>
        <w:t xml:space="preserve"> </w:t>
      </w:r>
      <w:r w:rsidRPr="00C45570">
        <w:rPr>
          <w:color w:val="000000"/>
          <w:shd w:val="clear" w:color="auto" w:fill="FFFFFF"/>
        </w:rPr>
        <w:t xml:space="preserve"> and the tracking error </w:t>
      </w:r>
      <w:r w:rsidR="00B125A5">
        <w:rPr>
          <w:rStyle w:val="katex-mathml"/>
          <w:color w:val="000000"/>
          <w:shd w:val="clear" w:color="auto" w:fill="FFFFFF"/>
        </w:rPr>
        <w:t>(e(t))</w:t>
      </w:r>
      <w:r w:rsidRPr="00C45570">
        <w:rPr>
          <w:color w:val="000000"/>
          <w:shd w:val="clear" w:color="auto" w:fill="FFFFFF"/>
        </w:rPr>
        <w:t>.</w:t>
      </w:r>
      <w:r w:rsidRPr="00C45570">
        <w:rPr>
          <w:color w:val="000000"/>
          <w:shd w:val="clear" w:color="auto" w:fill="FFFFFF"/>
        </w:rPr>
        <w:t xml:space="preserve"> </w:t>
      </w:r>
      <w:r w:rsidRPr="00C45570">
        <w:rPr>
          <w:color w:val="000000"/>
          <w:shd w:val="clear" w:color="auto" w:fill="FFFFFF"/>
        </w:rPr>
        <w:t>By analyzing the simulation results, you can validate the effectiveness of the MRAC system. If the system output</w:t>
      </w:r>
      <w:r w:rsidR="00B125A5" w:rsidRPr="00C45570">
        <w:rPr>
          <w:color w:val="000000"/>
          <w:shd w:val="clear" w:color="auto" w:fill="FFFFFF"/>
        </w:rPr>
        <w:t xml:space="preserve"> </w:t>
      </w:r>
      <w:r w:rsidRPr="00C45570">
        <w:rPr>
          <w:color w:val="000000"/>
          <w:shd w:val="clear" w:color="auto" w:fill="FFFFFF"/>
        </w:rPr>
        <w:t>tracks the reference output</w:t>
      </w:r>
      <w:proofErr w:type="gramStart"/>
      <w:r w:rsidRPr="00C45570">
        <w:rPr>
          <w:color w:val="000000"/>
          <w:shd w:val="clear" w:color="auto" w:fill="FFFFFF"/>
        </w:rPr>
        <w:t> </w:t>
      </w:r>
      <w:r w:rsidR="00B125A5" w:rsidRPr="00C45570">
        <w:rPr>
          <w:color w:val="000000"/>
          <w:shd w:val="clear" w:color="auto" w:fill="FFFFFF"/>
        </w:rPr>
        <w:t xml:space="preserve"> </w:t>
      </w:r>
      <w:r w:rsidRPr="00C45570">
        <w:rPr>
          <w:color w:val="000000"/>
          <w:shd w:val="clear" w:color="auto" w:fill="FFFFFF"/>
        </w:rPr>
        <w:t>and</w:t>
      </w:r>
      <w:proofErr w:type="gramEnd"/>
      <w:r w:rsidRPr="00C45570">
        <w:rPr>
          <w:color w:val="000000"/>
          <w:shd w:val="clear" w:color="auto" w:fill="FFFFFF"/>
        </w:rPr>
        <w:t xml:space="preserve"> the tracking error converges to zero, the adaptive control design is successful.</w:t>
      </w:r>
      <w:r w:rsidR="00B125A5">
        <w:rPr>
          <w:color w:val="000000"/>
          <w:shd w:val="clear" w:color="auto" w:fill="FFFFFF"/>
        </w:rPr>
        <w:t xml:space="preserve"> The error simulated in this study converges to zero. Therefore, the control design achieves to control plant system.</w:t>
      </w:r>
    </w:p>
    <w:p w:rsidR="00347442" w:rsidRPr="00CF32C0" w:rsidRDefault="00EB6F5A" w:rsidP="00CF32C0">
      <w:pPr>
        <w:pStyle w:val="Balk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F32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</w:t>
      </w:r>
    </w:p>
    <w:p w:rsidR="00347442" w:rsidRDefault="00EB6F5A" w:rsidP="002535E3">
      <w:pPr>
        <w:spacing w:line="360" w:lineRule="auto"/>
        <w:jc w:val="both"/>
      </w:pPr>
      <w:r w:rsidRPr="00CF32C0">
        <w:t>In this study, a Model Referenc</w:t>
      </w:r>
      <w:r w:rsidRPr="00CF32C0">
        <w:t xml:space="preserve">e Adaptive Control (MRAC) system </w:t>
      </w:r>
      <w:proofErr w:type="gramStart"/>
      <w:r w:rsidRPr="00CF32C0">
        <w:t>was designed</w:t>
      </w:r>
      <w:proofErr w:type="gramEnd"/>
      <w:r w:rsidRPr="00CF32C0">
        <w:t xml:space="preserve"> to ensure the output of an uncertain plant tracks the output of a predefined reference model. The plant, characterized by a transfer function.</w:t>
      </w:r>
      <w:r w:rsidR="00683756">
        <w:t xml:space="preserve"> </w:t>
      </w:r>
      <w:r w:rsidRPr="00CF32C0">
        <w:t xml:space="preserve">The stability and convergence of the system </w:t>
      </w:r>
      <w:proofErr w:type="gramStart"/>
      <w:r w:rsidRPr="00CF32C0">
        <w:t>were analyzed</w:t>
      </w:r>
      <w:proofErr w:type="gramEnd"/>
      <w:r w:rsidRPr="00CF32C0">
        <w:t xml:space="preserve"> using </w:t>
      </w:r>
      <w:proofErr w:type="spellStart"/>
      <w:r w:rsidRPr="00CF32C0">
        <w:t>Lya</w:t>
      </w:r>
      <w:r w:rsidRPr="00CF32C0">
        <w:t>punov’s</w:t>
      </w:r>
      <w:proofErr w:type="spellEnd"/>
      <w:r w:rsidRPr="00CF32C0">
        <w:t xml:space="preserve"> stability theory. It </w:t>
      </w:r>
      <w:proofErr w:type="gramStart"/>
      <w:r w:rsidRPr="00CF32C0">
        <w:t>was shown</w:t>
      </w:r>
      <w:proofErr w:type="gramEnd"/>
      <w:r w:rsidRPr="00CF32C0">
        <w:t xml:space="preserve"> that the time derivative of the </w:t>
      </w:r>
      <w:proofErr w:type="spellStart"/>
      <w:r w:rsidRPr="00CF32C0">
        <w:t>Lyapunov</w:t>
      </w:r>
      <w:proofErr w:type="spellEnd"/>
      <w:r w:rsidRPr="00CF32C0">
        <w:t xml:space="preserve"> function is negative semi-definite, leading to the convergence of the tracking error.</w:t>
      </w:r>
      <w:r w:rsidR="00683756">
        <w:t xml:space="preserve"> </w:t>
      </w:r>
      <w:r w:rsidRPr="00CF32C0">
        <w:t xml:space="preserve">Simulation results validated the </w:t>
      </w:r>
      <w:r w:rsidR="00042D1C" w:rsidRPr="00CF32C0">
        <w:t>mathematical</w:t>
      </w:r>
      <w:r w:rsidRPr="00CF32C0">
        <w:t xml:space="preserve"> analysis, demonstrating the effectiveness of </w:t>
      </w:r>
      <w:r w:rsidRPr="00CF32C0">
        <w:t xml:space="preserve">the adaptive control </w:t>
      </w:r>
      <w:r w:rsidR="00042D1C" w:rsidRPr="00CF32C0">
        <w:t>system</w:t>
      </w:r>
      <w:r w:rsidRPr="00CF32C0">
        <w:t xml:space="preserve">. The plant output closely tracked the reference model output, and the tracking error diminished over time. The designed MRAC with </w:t>
      </w:r>
      <w:proofErr w:type="spellStart"/>
      <w:r w:rsidRPr="00CF32C0">
        <w:t>Lyapunov</w:t>
      </w:r>
      <w:proofErr w:type="spellEnd"/>
      <w:r w:rsidRPr="00CF32C0">
        <w:t xml:space="preserve"> </w:t>
      </w:r>
      <w:r w:rsidR="007D627E" w:rsidRPr="00CF32C0">
        <w:t>rule</w:t>
      </w:r>
      <w:r w:rsidRPr="00CF32C0">
        <w:t xml:space="preserve"> system successfully addressed the challenges of plant parameter uncertainty w</w:t>
      </w:r>
      <w:r w:rsidRPr="00CF32C0">
        <w:t>hile ensu</w:t>
      </w:r>
      <w:r w:rsidR="00042D1C" w:rsidRPr="00CF32C0">
        <w:t>ring stability and performance.</w:t>
      </w: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</w:p>
    <w:p w:rsidR="004E76D7" w:rsidRDefault="004E76D7" w:rsidP="002535E3">
      <w:pPr>
        <w:spacing w:line="360" w:lineRule="auto"/>
        <w:jc w:val="both"/>
      </w:pPr>
      <w:bookmarkStart w:id="6" w:name="_GoBack"/>
      <w:bookmarkEnd w:id="6"/>
    </w:p>
    <w:sectPr w:rsidR="004E76D7">
      <w:footerReference w:type="default" r:id="rId13"/>
      <w:pgSz w:w="11906" w:h="16838"/>
      <w:pgMar w:top="1418" w:right="1416" w:bottom="1843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F5A" w:rsidRDefault="00EB6F5A">
      <w:r>
        <w:separator/>
      </w:r>
    </w:p>
  </w:endnote>
  <w:endnote w:type="continuationSeparator" w:id="0">
    <w:p w:rsidR="00EB6F5A" w:rsidRDefault="00EB6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rd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/>
        <w:sz w:val="20"/>
        <w:szCs w:val="20"/>
      </w:rPr>
      <w:id w:val="-1846930105"/>
      <w:docPartObj>
        <w:docPartGallery w:val="Page Numbers (Bottom of Page)"/>
        <w:docPartUnique/>
      </w:docPartObj>
    </w:sdtPr>
    <w:sdtContent>
      <w:p w:rsidR="00347442" w:rsidRDefault="004E76D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36"/>
            <w:tab w:val="right" w:pos="9072"/>
          </w:tabs>
          <w:ind w:right="-709"/>
          <w:rPr>
            <w:color w:val="000000"/>
            <w:sz w:val="20"/>
            <w:szCs w:val="20"/>
          </w:rPr>
        </w:pPr>
        <w:r w:rsidRPr="004E76D7">
          <w:rPr>
            <w:noProof/>
            <w:color w:val="000000"/>
            <w:sz w:val="20"/>
            <w:szCs w:val="20"/>
            <w:lang w:val="tr-T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Gr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76D7" w:rsidRDefault="004E76D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4E76D7">
                                  <w:rPr>
                                    <w:noProof/>
                                    <w:color w:val="8C8C8C" w:themeColor="background1" w:themeShade="8C"/>
                                    <w:lang w:val="tr-TR"/>
                                  </w:rPr>
                                  <w:t>7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10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DTWj/aOwQAAA0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4E76D7" w:rsidRDefault="004E76D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4E76D7">
                            <w:rPr>
                              <w:noProof/>
                              <w:color w:val="8C8C8C" w:themeColor="background1" w:themeShade="8C"/>
                              <w:lang w:val="tr-TR"/>
                            </w:rPr>
                            <w:t>7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0BYwgAAANsAAAAPAAAAZHJzL2Rvd25yZXYueG1sRE9Li8Iw&#10;EL4L+x/CLOxFNFVE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Az00BY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F5A" w:rsidRDefault="00EB6F5A">
      <w:r>
        <w:separator/>
      </w:r>
    </w:p>
  </w:footnote>
  <w:footnote w:type="continuationSeparator" w:id="0">
    <w:p w:rsidR="00EB6F5A" w:rsidRDefault="00EB6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7414F"/>
    <w:multiLevelType w:val="multilevel"/>
    <w:tmpl w:val="649C4B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42"/>
    <w:rsid w:val="00042D1C"/>
    <w:rsid w:val="000B50B8"/>
    <w:rsid w:val="002448A9"/>
    <w:rsid w:val="002535E3"/>
    <w:rsid w:val="0033771F"/>
    <w:rsid w:val="00347442"/>
    <w:rsid w:val="0042512F"/>
    <w:rsid w:val="004E76D7"/>
    <w:rsid w:val="00674663"/>
    <w:rsid w:val="00683756"/>
    <w:rsid w:val="00701436"/>
    <w:rsid w:val="007D3927"/>
    <w:rsid w:val="007D627E"/>
    <w:rsid w:val="007D69A3"/>
    <w:rsid w:val="009C32DA"/>
    <w:rsid w:val="009D6156"/>
    <w:rsid w:val="00B125A5"/>
    <w:rsid w:val="00C45570"/>
    <w:rsid w:val="00C72AB1"/>
    <w:rsid w:val="00CF32C0"/>
    <w:rsid w:val="00EB6F5A"/>
    <w:rsid w:val="00F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B12E6"/>
  <w15:docId w15:val="{3D27DD24-413A-486D-A190-A13CA624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1BE"/>
  </w:style>
  <w:style w:type="paragraph" w:styleId="Balk1">
    <w:name w:val="heading 1"/>
    <w:basedOn w:val="Normal"/>
    <w:next w:val="Normal"/>
    <w:link w:val="Balk1Char"/>
    <w:uiPriority w:val="9"/>
    <w:qFormat/>
    <w:rsid w:val="00F37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2774F1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stBilgiChar">
    <w:name w:val="Üst Bilgi Char"/>
    <w:basedOn w:val="VarsaylanParagrafYazTipi"/>
    <w:link w:val="stBilgi"/>
    <w:uiPriority w:val="99"/>
    <w:qFormat/>
    <w:rsid w:val="00B16132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B16132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ayfaNumaras">
    <w:name w:val="page number"/>
    <w:qFormat/>
    <w:rsid w:val="00B16132"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Noto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2774F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link w:val="stBilgiChar"/>
    <w:uiPriority w:val="99"/>
    <w:unhideWhenUsed/>
    <w:rsid w:val="00B16132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B16132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59"/>
    <w:rsid w:val="00903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37847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F3784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6E5FE0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318F1"/>
    <w:rPr>
      <w:color w:val="467886" w:themeColor="hyperlink"/>
      <w:u w:val="single"/>
    </w:rPr>
  </w:style>
  <w:style w:type="paragraph" w:styleId="DzMetin">
    <w:name w:val="Plain Text"/>
    <w:basedOn w:val="Normal"/>
    <w:link w:val="DzMetinChar"/>
    <w:uiPriority w:val="99"/>
    <w:unhideWhenUsed/>
    <w:rsid w:val="005F3E86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DzMetinChar">
    <w:name w:val="Düz Metin Char"/>
    <w:basedOn w:val="VarsaylanParagrafYazTipi"/>
    <w:link w:val="DzMetin"/>
    <w:uiPriority w:val="99"/>
    <w:rsid w:val="005F3E86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36FE7"/>
    <w:pPr>
      <w:spacing w:before="100" w:beforeAutospacing="1" w:after="100" w:afterAutospacing="1"/>
    </w:pPr>
    <w:rPr>
      <w:rFonts w:eastAsiaTheme="minorEastAsia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Gl">
    <w:name w:val="Strong"/>
    <w:basedOn w:val="VarsaylanParagrafYazTipi"/>
    <w:uiPriority w:val="22"/>
    <w:qFormat/>
    <w:rsid w:val="00C45570"/>
    <w:rPr>
      <w:b/>
      <w:bCs/>
    </w:rPr>
  </w:style>
  <w:style w:type="character" w:customStyle="1" w:styleId="katex-mathml">
    <w:name w:val="katex-mathml"/>
    <w:basedOn w:val="VarsaylanParagrafYazTipi"/>
    <w:rsid w:val="00C45570"/>
  </w:style>
  <w:style w:type="character" w:customStyle="1" w:styleId="mord">
    <w:name w:val="mord"/>
    <w:basedOn w:val="VarsaylanParagrafYazTipi"/>
    <w:rsid w:val="00C45570"/>
  </w:style>
  <w:style w:type="character" w:customStyle="1" w:styleId="mopen">
    <w:name w:val="mopen"/>
    <w:basedOn w:val="VarsaylanParagrafYazTipi"/>
    <w:rsid w:val="00C45570"/>
  </w:style>
  <w:style w:type="character" w:customStyle="1" w:styleId="mclose">
    <w:name w:val="mclose"/>
    <w:basedOn w:val="VarsaylanParagrafYazTipi"/>
    <w:rsid w:val="00C45570"/>
  </w:style>
  <w:style w:type="character" w:customStyle="1" w:styleId="mpunct">
    <w:name w:val="mpunct"/>
    <w:basedOn w:val="VarsaylanParagrafYazTipi"/>
    <w:rsid w:val="00C4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OfMohmoF6URSGM/EZhHWddGu/g==">CgMxLjAaEgoBMBINCgsIB0IHEgVDYXJkbzIOaC53aGQ0dzV3OHlkNWcyDmguaXo3c2hubzkwY2R1Mg5oLm1kM2NyMXlwaXYycjIOaC44eWx6MDc4Y2ptYnIyDmgubDJsc2F3NGpudjhpMghoLmdqZGd4czgAciExSzgxc25jQkNWa1ZKMFZNMVhyTURxOGlYRVRjeHNheWw=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Hüseyin KURT</dc:creator>
  <cp:lastModifiedBy>Hüseyin KURT</cp:lastModifiedBy>
  <cp:revision>24</cp:revision>
  <dcterms:created xsi:type="dcterms:W3CDTF">2016-11-29T13:11:00Z</dcterms:created>
  <dcterms:modified xsi:type="dcterms:W3CDTF">2024-12-17T17:18:00Z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0x0101000F0C06987B245E4BA81CF94E9A6B5125</vt:lpwstr>
  </property>
</Properties>
</file>