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832C55" w14:textId="77777777" w:rsidR="00C327B7" w:rsidRDefault="00C327B7" w:rsidP="00C327B7">
      <w:pPr>
        <w:spacing w:after="0"/>
        <w:jc w:val="center"/>
        <w:rPr>
          <w:rFonts w:ascii="Times New Roman" w:hAnsi="Times New Roman" w:cs="Times New Roman"/>
          <w:b/>
          <w:sz w:val="32"/>
          <w:lang w:val="en-US"/>
        </w:rPr>
      </w:pPr>
    </w:p>
    <w:p w14:paraId="6548798A" w14:textId="2E40472A" w:rsidR="00B80B2C" w:rsidRPr="00B80B2C" w:rsidRDefault="004A470F" w:rsidP="00B80B2C">
      <w:pPr>
        <w:jc w:val="center"/>
        <w:rPr>
          <w:rFonts w:ascii="Times New Roman" w:hAnsi="Times New Roman" w:cs="Times New Roman"/>
          <w:b/>
          <w:color w:val="FF0000"/>
          <w:sz w:val="32"/>
          <w:lang w:val="en-US"/>
        </w:rPr>
      </w:pPr>
      <w:r w:rsidRPr="004A470F">
        <w:rPr>
          <w:rFonts w:ascii="Times New Roman" w:hAnsi="Times New Roman" w:cs="Times New Roman"/>
          <w:b/>
          <w:sz w:val="32"/>
          <w:lang w:val="en-US"/>
        </w:rPr>
        <w:t>Regenerative Braking Control with Bidirectional Converter for EV Applications</w:t>
      </w:r>
    </w:p>
    <w:p w14:paraId="286B99F9" w14:textId="64735C7C" w:rsidR="00B80B2C" w:rsidRPr="00DF7074" w:rsidRDefault="00646583" w:rsidP="00B80B2C">
      <w:pPr>
        <w:jc w:val="center"/>
        <w:rPr>
          <w:rFonts w:ascii="Times New Roman" w:hAnsi="Times New Roman" w:cs="Times New Roman"/>
          <w:sz w:val="24"/>
          <w:vertAlign w:val="superscript"/>
          <w:lang w:val="en-US"/>
        </w:rPr>
      </w:pPr>
      <w:r w:rsidRPr="00646583">
        <w:rPr>
          <w:rFonts w:ascii="Times New Roman" w:hAnsi="Times New Roman" w:cs="Times New Roman"/>
          <w:sz w:val="24"/>
          <w:lang w:val="en-US"/>
        </w:rPr>
        <w:t>Hüseyin K</w:t>
      </w:r>
      <w:r>
        <w:rPr>
          <w:rFonts w:ascii="Times New Roman" w:hAnsi="Times New Roman" w:cs="Times New Roman"/>
          <w:sz w:val="24"/>
          <w:lang w:val="en-US"/>
        </w:rPr>
        <w:t>urt</w:t>
      </w:r>
      <w:r w:rsidRPr="00646583">
        <w:rPr>
          <w:rFonts w:ascii="Times New Roman" w:hAnsi="Times New Roman" w:cs="Times New Roman"/>
          <w:sz w:val="24"/>
          <w:lang w:val="en-US"/>
        </w:rPr>
        <w:t xml:space="preserve"> </w:t>
      </w:r>
      <w:r w:rsidR="00B80B2C" w:rsidRPr="00DF7074">
        <w:rPr>
          <w:rFonts w:ascii="Times New Roman" w:hAnsi="Times New Roman" w:cs="Times New Roman"/>
          <w:sz w:val="24"/>
          <w:vertAlign w:val="superscript"/>
          <w:lang w:val="en-US"/>
        </w:rPr>
        <w:t>*</w:t>
      </w:r>
    </w:p>
    <w:p w14:paraId="438172EF" w14:textId="7A35D263" w:rsidR="00B80B2C" w:rsidRPr="00DF7074" w:rsidRDefault="00B80B2C" w:rsidP="00646583">
      <w:pPr>
        <w:spacing w:after="0" w:line="240" w:lineRule="auto"/>
        <w:jc w:val="center"/>
        <w:rPr>
          <w:rFonts w:ascii="Times New Roman" w:hAnsi="Times New Roman" w:cs="Times New Roman"/>
          <w:i/>
          <w:sz w:val="20"/>
          <w:lang w:val="en-US"/>
        </w:rPr>
      </w:pPr>
      <w:r w:rsidRPr="00DF7074">
        <w:rPr>
          <w:rFonts w:ascii="Times New Roman" w:hAnsi="Times New Roman" w:cs="Times New Roman"/>
          <w:i/>
          <w:sz w:val="20"/>
          <w:vertAlign w:val="superscript"/>
          <w:lang w:val="en-US"/>
        </w:rPr>
        <w:t>1</w:t>
      </w:r>
      <w:r w:rsidRPr="00DF7074">
        <w:rPr>
          <w:rFonts w:ascii="Times New Roman" w:hAnsi="Times New Roman" w:cs="Times New Roman"/>
          <w:i/>
          <w:sz w:val="20"/>
          <w:lang w:val="en-US"/>
        </w:rPr>
        <w:t>Department</w:t>
      </w:r>
      <w:r w:rsidR="00646583">
        <w:rPr>
          <w:rFonts w:ascii="Times New Roman" w:hAnsi="Times New Roman" w:cs="Times New Roman"/>
          <w:i/>
          <w:sz w:val="20"/>
          <w:lang w:val="en-US"/>
        </w:rPr>
        <w:t xml:space="preserve"> </w:t>
      </w:r>
      <w:r w:rsidR="00646583" w:rsidRPr="00646583">
        <w:rPr>
          <w:rFonts w:ascii="Times New Roman" w:hAnsi="Times New Roman" w:cs="Times New Roman"/>
          <w:i/>
          <w:sz w:val="20"/>
          <w:lang w:val="en-US"/>
        </w:rPr>
        <w:t>of Electrical Electronics Engineering, Istanbul Aydin University, Istanbul, Turkey</w:t>
      </w:r>
      <w:r w:rsidR="004E4629" w:rsidRPr="00DF7074">
        <w:rPr>
          <w:rFonts w:ascii="Times New Roman" w:hAnsi="Times New Roman" w:cs="Times New Roman"/>
          <w:i/>
          <w:sz w:val="20"/>
          <w:lang w:val="en-US"/>
        </w:rPr>
        <w:t xml:space="preserve"> </w:t>
      </w:r>
    </w:p>
    <w:p w14:paraId="582318C8" w14:textId="77777777" w:rsidR="00231378" w:rsidRPr="00DF7074" w:rsidRDefault="00231378" w:rsidP="00B80B2C">
      <w:pPr>
        <w:spacing w:after="0" w:line="240" w:lineRule="auto"/>
        <w:jc w:val="center"/>
        <w:rPr>
          <w:rFonts w:ascii="Times New Roman" w:hAnsi="Times New Roman" w:cs="Times New Roman"/>
          <w:i/>
          <w:sz w:val="20"/>
          <w:vertAlign w:val="superscript"/>
          <w:lang w:val="en-US"/>
        </w:rPr>
      </w:pPr>
    </w:p>
    <w:p w14:paraId="557AA851" w14:textId="7DF13D49" w:rsidR="00B80B2C" w:rsidRPr="00DF7074" w:rsidRDefault="00B80B2C" w:rsidP="00B80B2C">
      <w:pPr>
        <w:spacing w:after="0" w:line="240" w:lineRule="auto"/>
        <w:jc w:val="center"/>
        <w:rPr>
          <w:rFonts w:ascii="Times New Roman" w:hAnsi="Times New Roman" w:cs="Times New Roman"/>
          <w:i/>
          <w:sz w:val="20"/>
          <w:lang w:val="en-US"/>
        </w:rPr>
      </w:pPr>
      <w:r w:rsidRPr="00DF7074">
        <w:rPr>
          <w:rFonts w:ascii="Times New Roman" w:hAnsi="Times New Roman" w:cs="Times New Roman"/>
          <w:i/>
          <w:sz w:val="20"/>
          <w:vertAlign w:val="superscript"/>
          <w:lang w:val="en-US"/>
        </w:rPr>
        <w:t>*</w:t>
      </w:r>
      <w:r w:rsidR="00646583" w:rsidRPr="00646583">
        <w:rPr>
          <w:rFonts w:ascii="Times New Roman" w:hAnsi="Times New Roman" w:cs="Times New Roman"/>
          <w:i/>
          <w:sz w:val="20"/>
          <w:lang w:val="en-US"/>
        </w:rPr>
        <w:t>huseyinkurt1@aydin.edu.tr</w:t>
      </w:r>
    </w:p>
    <w:p w14:paraId="5D980856" w14:textId="77777777" w:rsidR="00B80B2C" w:rsidRPr="00C66488" w:rsidRDefault="00B80B2C" w:rsidP="00B80B2C">
      <w:pPr>
        <w:spacing w:after="0" w:line="240" w:lineRule="auto"/>
        <w:jc w:val="both"/>
        <w:rPr>
          <w:rFonts w:ascii="Times New Roman" w:hAnsi="Times New Roman" w:cs="Times New Roman"/>
          <w:b/>
          <w:i/>
          <w:lang w:val="en-US"/>
        </w:rPr>
      </w:pPr>
    </w:p>
    <w:p w14:paraId="2C84AE13" w14:textId="77777777" w:rsidR="00B80B2C" w:rsidRPr="00C66488" w:rsidRDefault="00B80B2C" w:rsidP="00B80B2C">
      <w:pPr>
        <w:spacing w:after="0" w:line="240" w:lineRule="auto"/>
        <w:jc w:val="both"/>
        <w:rPr>
          <w:rFonts w:ascii="Times New Roman" w:hAnsi="Times New Roman" w:cs="Times New Roman"/>
          <w:b/>
          <w:i/>
          <w:lang w:val="en-US"/>
        </w:rPr>
      </w:pPr>
    </w:p>
    <w:p w14:paraId="7916D8C7" w14:textId="36989089" w:rsidR="00B80B2C" w:rsidRPr="00DF7074" w:rsidRDefault="00B80B2C" w:rsidP="007F7949">
      <w:pPr>
        <w:spacing w:after="0" w:line="240" w:lineRule="auto"/>
        <w:jc w:val="both"/>
        <w:rPr>
          <w:rFonts w:ascii="Times New Roman" w:hAnsi="Times New Roman" w:cs="Times New Roman"/>
          <w:sz w:val="28"/>
          <w:szCs w:val="28"/>
          <w:lang w:val="en-US"/>
        </w:rPr>
      </w:pPr>
      <w:r w:rsidRPr="00DF7074">
        <w:rPr>
          <w:rFonts w:ascii="Times New Roman" w:hAnsi="Times New Roman" w:cs="Times New Roman"/>
          <w:b/>
          <w:i/>
          <w:sz w:val="24"/>
          <w:lang w:val="en-US"/>
        </w:rPr>
        <w:t>Abstract –</w:t>
      </w:r>
      <w:r w:rsidRPr="00DF7074">
        <w:rPr>
          <w:rFonts w:ascii="Times New Roman" w:hAnsi="Times New Roman" w:cs="Times New Roman"/>
          <w:lang w:val="en-US"/>
        </w:rPr>
        <w:t xml:space="preserve"> </w:t>
      </w:r>
      <w:r w:rsidR="00BF2399" w:rsidRPr="00BF2399">
        <w:rPr>
          <w:rFonts w:ascii="Times New Roman" w:hAnsi="Times New Roman" w:cs="Times New Roman"/>
          <w:sz w:val="24"/>
          <w:lang w:val="en-US"/>
        </w:rPr>
        <w:t xml:space="preserve">Regenerative braking is a key technology in electric vehicles (EVs) for improving energy efficiency and extending driving range by converting kinetic energy into stored electrical energy during deceleration. This study proposes a dual-mode regenerative braking control strategy for a permanent magnet synchronous motor (PMSM) drivetrain, integrating a bidirectional buck–boost DC–DC converter with a full-bridge inverter. Unlike conventional unidirectional converter systems, the proposed architecture enables bidirectional power flow between the motor and the battery, allowing efficient energy recovery and controlled deceleration under a wide range of operating conditions. A field-oriented control (FOC) scheme is employed for precise torque and flux regulation, while an intelligent supervisory logic dynamically selects the converter mode based on real-time motor torque feedback. The complete system, including realistic battery dynamics, is modeled and simulated in MATLAB/Simulink under flat-road, low-speed driving scenarios, where conventional regenerative methods often exhibit reduced performance. Simulation results demonstrate that the proposed approach increases recovered energy by more than 22% compared to a baseline unidirectional converter, while maintaining DC bus voltage stability, suppressing torque ripple, and ensuring smooth mode transitions between acceleration and regenerative braking. These findings validate the practicality of the proposed strategy, indicating its potential for real-world implementation to enhance battery state-of-charge (SOC) management, extend EV range, and improve overall drivetrain energy efficiency without adding </w:t>
      </w:r>
      <w:r w:rsidR="00BF2399">
        <w:rPr>
          <w:rFonts w:ascii="Times New Roman" w:hAnsi="Times New Roman" w:cs="Times New Roman"/>
          <w:sz w:val="24"/>
          <w:lang w:val="en-US"/>
        </w:rPr>
        <w:t>significant system complexity</w:t>
      </w:r>
      <w:r w:rsidR="007F7949" w:rsidRPr="00DF7074">
        <w:rPr>
          <w:rFonts w:ascii="Times New Roman" w:hAnsi="Times New Roman" w:cs="Times New Roman"/>
          <w:sz w:val="24"/>
          <w:lang w:val="en-US"/>
        </w:rPr>
        <w:t xml:space="preserve">. </w:t>
      </w:r>
      <w:r w:rsidR="007F7949" w:rsidRPr="00DF7074">
        <w:rPr>
          <w:rFonts w:ascii="Times New Roman" w:hAnsi="Times New Roman" w:cs="Times New Roman"/>
          <w:sz w:val="32"/>
          <w:szCs w:val="28"/>
          <w:lang w:val="en-US"/>
        </w:rPr>
        <w:t xml:space="preserve"> </w:t>
      </w:r>
    </w:p>
    <w:p w14:paraId="7C874E3D" w14:textId="77777777" w:rsidR="00B80B2C" w:rsidRPr="00B80B2C" w:rsidRDefault="00B80B2C" w:rsidP="00B80B2C">
      <w:pPr>
        <w:spacing w:after="0"/>
        <w:jc w:val="both"/>
        <w:rPr>
          <w:rFonts w:ascii="Times New Roman" w:hAnsi="Times New Roman" w:cs="Times New Roman"/>
          <w:lang w:val="en-US"/>
        </w:rPr>
      </w:pPr>
    </w:p>
    <w:p w14:paraId="6DD1756A" w14:textId="7302B75B" w:rsidR="00212D0B" w:rsidRPr="00DF7074" w:rsidRDefault="00B80B2C" w:rsidP="00E547B8">
      <w:pPr>
        <w:pBdr>
          <w:bottom w:val="single" w:sz="4" w:space="1" w:color="auto"/>
        </w:pBdr>
        <w:spacing w:after="0"/>
        <w:rPr>
          <w:rFonts w:ascii="Times New Roman" w:hAnsi="Times New Roman" w:cs="Times New Roman"/>
          <w:sz w:val="20"/>
          <w:lang w:val="en-US"/>
        </w:rPr>
      </w:pPr>
      <w:r w:rsidRPr="00DF7074">
        <w:rPr>
          <w:rFonts w:ascii="Times New Roman" w:hAnsi="Times New Roman" w:cs="Times New Roman"/>
          <w:i/>
          <w:sz w:val="20"/>
          <w:lang w:val="en-US"/>
        </w:rPr>
        <w:t>Keywords –</w:t>
      </w:r>
      <w:r w:rsidRPr="00DF7074">
        <w:rPr>
          <w:rFonts w:ascii="Times New Roman" w:hAnsi="Times New Roman" w:cs="Times New Roman"/>
          <w:sz w:val="20"/>
          <w:lang w:val="en-US"/>
        </w:rPr>
        <w:t xml:space="preserve"> </w:t>
      </w:r>
      <w:r w:rsidR="005E4AA9" w:rsidRPr="005E4AA9">
        <w:rPr>
          <w:rFonts w:ascii="Times New Roman" w:hAnsi="Times New Roman" w:cs="Times New Roman"/>
          <w:i/>
          <w:sz w:val="20"/>
          <w:lang w:val="en-US"/>
        </w:rPr>
        <w:t>Regenerative braking control, bidirectional buck-boost converter, field-oriented control, SVPWM, PMSM, electrical vehicle</w:t>
      </w:r>
    </w:p>
    <w:p w14:paraId="17925C12" w14:textId="77777777" w:rsidR="00B80B2C" w:rsidRPr="00B80B2C" w:rsidRDefault="00B80B2C" w:rsidP="00B80B2C">
      <w:pPr>
        <w:spacing w:after="0"/>
        <w:rPr>
          <w:rFonts w:ascii="Times New Roman" w:hAnsi="Times New Roman" w:cs="Times New Roman"/>
          <w:sz w:val="20"/>
          <w:lang w:val="en-US"/>
        </w:rPr>
      </w:pPr>
    </w:p>
    <w:p w14:paraId="64E2DC0E" w14:textId="77777777" w:rsidR="007F7949" w:rsidRDefault="007F7949" w:rsidP="00B80B2C">
      <w:pPr>
        <w:rPr>
          <w:rFonts w:ascii="Times New Roman" w:hAnsi="Times New Roman" w:cs="Times New Roman"/>
          <w:lang w:val="en-US"/>
        </w:rPr>
        <w:sectPr w:rsidR="007F7949" w:rsidSect="008B5AB8">
          <w:headerReference w:type="even" r:id="rId7"/>
          <w:headerReference w:type="default" r:id="rId8"/>
          <w:footerReference w:type="even" r:id="rId9"/>
          <w:footerReference w:type="default" r:id="rId10"/>
          <w:headerReference w:type="first" r:id="rId11"/>
          <w:footerReference w:type="first" r:id="rId12"/>
          <w:pgSz w:w="11907" w:h="16840" w:code="9"/>
          <w:pgMar w:top="1373" w:right="851" w:bottom="851" w:left="851" w:header="709" w:footer="709" w:gutter="0"/>
          <w:cols w:space="708"/>
          <w:titlePg/>
          <w:docGrid w:linePitch="360"/>
        </w:sectPr>
      </w:pPr>
    </w:p>
    <w:p w14:paraId="6E20E3CB" w14:textId="77777777" w:rsidR="007F7949" w:rsidRPr="00DF7074" w:rsidRDefault="007F7949" w:rsidP="00C66488">
      <w:pPr>
        <w:pStyle w:val="IEEEHeading1"/>
        <w:jc w:val="left"/>
        <w:rPr>
          <w:sz w:val="24"/>
          <w:lang w:val="en-US"/>
        </w:rPr>
      </w:pPr>
      <w:r w:rsidRPr="00DF7074">
        <w:rPr>
          <w:sz w:val="24"/>
          <w:lang w:val="en-US"/>
        </w:rPr>
        <w:t>Introduction</w:t>
      </w:r>
    </w:p>
    <w:p w14:paraId="7ECFD35C" w14:textId="0CE2834B" w:rsidR="007F7949" w:rsidRPr="00DF7074" w:rsidRDefault="00DE6E90" w:rsidP="000C3D46">
      <w:pPr>
        <w:pStyle w:val="IEEEParagraph"/>
        <w:ind w:firstLine="170"/>
        <w:rPr>
          <w:sz w:val="24"/>
          <w:lang w:val="en-US"/>
        </w:rPr>
      </w:pPr>
      <w:r w:rsidRPr="00DE6E90">
        <w:rPr>
          <w:sz w:val="24"/>
          <w:lang w:val="en-US"/>
        </w:rPr>
        <w:t xml:space="preserve">The rising adoption of electric vehicles (EVs) has placed increasing importance on energy efficiency and </w:t>
      </w:r>
      <w:r w:rsidR="007D3DB1">
        <w:rPr>
          <w:sz w:val="24"/>
          <w:lang w:val="en-US"/>
        </w:rPr>
        <w:t>battery longevity [</w:t>
      </w:r>
      <w:r w:rsidR="005456BB">
        <w:rPr>
          <w:sz w:val="24"/>
          <w:lang w:val="en-US"/>
        </w:rPr>
        <w:t>1</w:t>
      </w:r>
      <w:r w:rsidR="007D3DB1">
        <w:rPr>
          <w:sz w:val="24"/>
          <w:lang w:val="en-US"/>
        </w:rPr>
        <w:t>,</w:t>
      </w:r>
      <w:r w:rsidR="0076105E">
        <w:rPr>
          <w:sz w:val="24"/>
          <w:lang w:val="en-US"/>
        </w:rPr>
        <w:t xml:space="preserve"> </w:t>
      </w:r>
      <w:r w:rsidR="005456BB">
        <w:rPr>
          <w:sz w:val="24"/>
          <w:lang w:val="en-US"/>
        </w:rPr>
        <w:t>2</w:t>
      </w:r>
      <w:r w:rsidR="007D3DB1">
        <w:rPr>
          <w:sz w:val="24"/>
          <w:lang w:val="en-US"/>
        </w:rPr>
        <w:t>]</w:t>
      </w:r>
      <w:r w:rsidRPr="00DE6E90">
        <w:rPr>
          <w:sz w:val="24"/>
          <w:lang w:val="en-US"/>
        </w:rPr>
        <w:t xml:space="preserve">. Regenerative braking (RB) has emerged as a key technique for improving energy utilization by recovering kinetic energy during deceleration and storing it back into the battery system </w:t>
      </w:r>
      <w:r w:rsidR="007D3DB1">
        <w:rPr>
          <w:sz w:val="24"/>
          <w:lang w:val="en-US"/>
        </w:rPr>
        <w:t>[</w:t>
      </w:r>
      <w:r w:rsidR="005456BB">
        <w:rPr>
          <w:sz w:val="24"/>
          <w:lang w:val="en-US"/>
        </w:rPr>
        <w:t>3</w:t>
      </w:r>
      <w:r w:rsidR="007D3DB1">
        <w:rPr>
          <w:sz w:val="24"/>
          <w:lang w:val="en-US"/>
        </w:rPr>
        <w:t>,</w:t>
      </w:r>
      <w:r w:rsidR="005456BB">
        <w:rPr>
          <w:sz w:val="24"/>
          <w:lang w:val="en-US"/>
        </w:rPr>
        <w:t>4</w:t>
      </w:r>
      <w:r w:rsidR="007D3DB1">
        <w:rPr>
          <w:sz w:val="24"/>
          <w:lang w:val="en-US"/>
        </w:rPr>
        <w:t>]</w:t>
      </w:r>
      <w:r w:rsidRPr="00DE6E90">
        <w:rPr>
          <w:sz w:val="24"/>
          <w:lang w:val="en-US"/>
        </w:rPr>
        <w:t xml:space="preserve">. However, conventional RB methods are often limited in low-speed scenarios due to inadequate back-EMF generation </w:t>
      </w:r>
      <w:r w:rsidR="00E22343">
        <w:rPr>
          <w:sz w:val="24"/>
          <w:lang w:val="en-US"/>
        </w:rPr>
        <w:t>[</w:t>
      </w:r>
      <w:r w:rsidR="005456BB">
        <w:rPr>
          <w:sz w:val="24"/>
          <w:lang w:val="en-US"/>
        </w:rPr>
        <w:t>5</w:t>
      </w:r>
      <w:r w:rsidR="00E22343">
        <w:rPr>
          <w:sz w:val="24"/>
          <w:lang w:val="en-US"/>
        </w:rPr>
        <w:t xml:space="preserve">, </w:t>
      </w:r>
      <w:r w:rsidR="005456BB">
        <w:rPr>
          <w:sz w:val="24"/>
          <w:lang w:val="en-US"/>
        </w:rPr>
        <w:t>6</w:t>
      </w:r>
      <w:r w:rsidR="00E22343">
        <w:rPr>
          <w:sz w:val="24"/>
          <w:lang w:val="en-US"/>
        </w:rPr>
        <w:t>]</w:t>
      </w:r>
      <w:r w:rsidRPr="00DE6E90">
        <w:rPr>
          <w:sz w:val="24"/>
          <w:lang w:val="en-US"/>
        </w:rPr>
        <w:t>. Permanent Magnet Synchronous Motors (PMSMs) are adopted in EV applications due to their power density, high efficiency, and superior torque characteristics</w:t>
      </w:r>
      <w:r w:rsidR="007C3E78">
        <w:rPr>
          <w:sz w:val="24"/>
          <w:lang w:val="en-US"/>
        </w:rPr>
        <w:t xml:space="preserve"> [</w:t>
      </w:r>
      <w:r w:rsidR="005456BB">
        <w:rPr>
          <w:sz w:val="24"/>
          <w:lang w:val="en-US"/>
        </w:rPr>
        <w:t>7</w:t>
      </w:r>
      <w:r w:rsidR="007C3E78">
        <w:rPr>
          <w:sz w:val="24"/>
          <w:lang w:val="en-US"/>
        </w:rPr>
        <w:t>,</w:t>
      </w:r>
      <w:r w:rsidR="005456BB">
        <w:rPr>
          <w:sz w:val="24"/>
          <w:lang w:val="en-US"/>
        </w:rPr>
        <w:t xml:space="preserve"> 8</w:t>
      </w:r>
      <w:r w:rsidR="007C3E78">
        <w:rPr>
          <w:sz w:val="24"/>
          <w:lang w:val="en-US"/>
        </w:rPr>
        <w:t>]</w:t>
      </w:r>
      <w:r w:rsidRPr="00DE6E90">
        <w:rPr>
          <w:sz w:val="24"/>
          <w:lang w:val="en-US"/>
        </w:rPr>
        <w:t>. However, the control of PMSMs during regenerative braking introduces several technical challenges, particularly when considering bidirectional energy flow between the battery and motor under dynamic driving conditions</w:t>
      </w:r>
      <w:r w:rsidR="00F96D4B">
        <w:rPr>
          <w:sz w:val="24"/>
          <w:lang w:val="en-US"/>
        </w:rPr>
        <w:t xml:space="preserve"> [</w:t>
      </w:r>
      <w:r w:rsidR="005456BB">
        <w:rPr>
          <w:sz w:val="24"/>
          <w:lang w:val="en-US"/>
        </w:rPr>
        <w:t>9</w:t>
      </w:r>
      <w:r w:rsidR="00F96D4B">
        <w:rPr>
          <w:sz w:val="24"/>
          <w:lang w:val="en-US"/>
        </w:rPr>
        <w:t xml:space="preserve">, </w:t>
      </w:r>
      <w:r w:rsidR="005456BB">
        <w:rPr>
          <w:sz w:val="24"/>
          <w:lang w:val="en-US"/>
        </w:rPr>
        <w:t>10</w:t>
      </w:r>
      <w:r w:rsidR="00F96D4B">
        <w:rPr>
          <w:sz w:val="24"/>
          <w:lang w:val="en-US"/>
        </w:rPr>
        <w:t>]</w:t>
      </w:r>
      <w:r w:rsidRPr="00DE6E90">
        <w:rPr>
          <w:sz w:val="24"/>
          <w:lang w:val="en-US"/>
        </w:rPr>
        <w:t xml:space="preserve">. These challenges become more pronounced when the system is expected to switch seamlessly between motoring and regenerative modes without compromising performance or stability </w:t>
      </w:r>
      <w:r w:rsidR="00115C0B">
        <w:rPr>
          <w:sz w:val="24"/>
          <w:lang w:val="en-US"/>
        </w:rPr>
        <w:t>[</w:t>
      </w:r>
      <w:r w:rsidR="005456BB">
        <w:rPr>
          <w:sz w:val="24"/>
          <w:lang w:val="en-US"/>
        </w:rPr>
        <w:t>11</w:t>
      </w:r>
      <w:r w:rsidR="00115C0B">
        <w:rPr>
          <w:sz w:val="24"/>
          <w:lang w:val="en-US"/>
        </w:rPr>
        <w:t>]</w:t>
      </w:r>
      <w:r w:rsidRPr="00DE6E90">
        <w:rPr>
          <w:sz w:val="24"/>
          <w:lang w:val="en-US"/>
        </w:rPr>
        <w:t>. In conventional regenerative systems, a unidirectional control strategy is often employed, which limits the energy recovery potential and fails to optimize the charging dynamics of the battery across road scenarios</w:t>
      </w:r>
      <w:r w:rsidR="00115C0B">
        <w:rPr>
          <w:sz w:val="24"/>
          <w:lang w:val="en-US"/>
        </w:rPr>
        <w:t xml:space="preserve"> [</w:t>
      </w:r>
      <w:r w:rsidR="005456BB">
        <w:rPr>
          <w:sz w:val="24"/>
          <w:lang w:val="en-US"/>
        </w:rPr>
        <w:t>12</w:t>
      </w:r>
      <w:r w:rsidR="00115C0B">
        <w:rPr>
          <w:sz w:val="24"/>
          <w:lang w:val="en-US"/>
        </w:rPr>
        <w:t xml:space="preserve">, </w:t>
      </w:r>
      <w:r w:rsidR="005456BB">
        <w:rPr>
          <w:sz w:val="24"/>
          <w:lang w:val="en-US"/>
        </w:rPr>
        <w:t>13</w:t>
      </w:r>
      <w:r w:rsidR="00115C0B">
        <w:rPr>
          <w:sz w:val="24"/>
          <w:lang w:val="en-US"/>
        </w:rPr>
        <w:t>]</w:t>
      </w:r>
      <w:r w:rsidRPr="00DE6E90">
        <w:rPr>
          <w:sz w:val="24"/>
          <w:lang w:val="en-US"/>
        </w:rPr>
        <w:t xml:space="preserve">. To address these limitations, this study proposes a regenerative braking system based on a bidirectional cascaded DC-DC converter included with a full-bridge inverter </w:t>
      </w:r>
      <w:r w:rsidR="007C45AC">
        <w:rPr>
          <w:sz w:val="24"/>
          <w:lang w:val="en-US"/>
        </w:rPr>
        <w:t>[</w:t>
      </w:r>
      <w:r w:rsidR="005456BB">
        <w:rPr>
          <w:sz w:val="24"/>
          <w:lang w:val="en-US"/>
        </w:rPr>
        <w:t>14</w:t>
      </w:r>
      <w:r w:rsidR="007C45AC">
        <w:rPr>
          <w:sz w:val="24"/>
          <w:lang w:val="en-US"/>
        </w:rPr>
        <w:t>]</w:t>
      </w:r>
      <w:r w:rsidRPr="00DE6E90">
        <w:rPr>
          <w:sz w:val="24"/>
          <w:lang w:val="en-US"/>
        </w:rPr>
        <w:t xml:space="preserve">. The </w:t>
      </w:r>
      <w:r w:rsidRPr="00DE6E90">
        <w:rPr>
          <w:sz w:val="24"/>
          <w:lang w:val="en-US"/>
        </w:rPr>
        <w:lastRenderedPageBreak/>
        <w:t xml:space="preserve">dual-mode architecture enables two distinct operating strategies: (1) Boost mode during braking, allowing energy recovery by elevating the DC-link voltage for effective battery charging </w:t>
      </w:r>
      <w:r w:rsidR="007C45AC">
        <w:rPr>
          <w:sz w:val="24"/>
          <w:lang w:val="en-US"/>
        </w:rPr>
        <w:t>[</w:t>
      </w:r>
      <w:r w:rsidR="005456BB">
        <w:rPr>
          <w:sz w:val="24"/>
          <w:lang w:val="en-US"/>
        </w:rPr>
        <w:t>15</w:t>
      </w:r>
      <w:r w:rsidR="007C45AC">
        <w:rPr>
          <w:sz w:val="24"/>
          <w:lang w:val="en-US"/>
        </w:rPr>
        <w:t xml:space="preserve">] </w:t>
      </w:r>
      <w:r w:rsidRPr="00DE6E90">
        <w:rPr>
          <w:sz w:val="24"/>
          <w:lang w:val="en-US"/>
        </w:rPr>
        <w:t xml:space="preserve">and (2) Buck mode during acceleration, facilitating controlled battery discharge for propulsion </w:t>
      </w:r>
      <w:r w:rsidR="007C45AC">
        <w:rPr>
          <w:sz w:val="24"/>
          <w:lang w:val="en-US"/>
        </w:rPr>
        <w:t>[1</w:t>
      </w:r>
      <w:r w:rsidR="005456BB">
        <w:rPr>
          <w:sz w:val="24"/>
          <w:lang w:val="en-US"/>
        </w:rPr>
        <w:t>6</w:t>
      </w:r>
      <w:r w:rsidR="007C45AC">
        <w:rPr>
          <w:sz w:val="24"/>
          <w:lang w:val="en-US"/>
        </w:rPr>
        <w:t>]</w:t>
      </w:r>
      <w:r w:rsidRPr="00DE6E90">
        <w:rPr>
          <w:sz w:val="24"/>
          <w:lang w:val="en-US"/>
        </w:rPr>
        <w:t xml:space="preserve">. A Field-Oriented Control (FOC) strategy is integrated to ensure precise torque and flux regulation of the PMSM </w:t>
      </w:r>
      <w:r w:rsidR="007C45AC">
        <w:rPr>
          <w:sz w:val="24"/>
          <w:lang w:val="en-US"/>
        </w:rPr>
        <w:t>[</w:t>
      </w:r>
      <w:r w:rsidR="005456BB">
        <w:rPr>
          <w:sz w:val="24"/>
          <w:lang w:val="en-US"/>
        </w:rPr>
        <w:t>17</w:t>
      </w:r>
      <w:r w:rsidR="007C45AC">
        <w:rPr>
          <w:sz w:val="24"/>
          <w:lang w:val="en-US"/>
        </w:rPr>
        <w:t>]</w:t>
      </w:r>
      <w:r w:rsidRPr="00DE6E90">
        <w:rPr>
          <w:sz w:val="24"/>
          <w:lang w:val="en-US"/>
        </w:rPr>
        <w:t>.</w:t>
      </w:r>
    </w:p>
    <w:p w14:paraId="05EC70EE" w14:textId="77777777" w:rsidR="007F7949" w:rsidRPr="00DF7074" w:rsidRDefault="00E547B8" w:rsidP="00C66488">
      <w:pPr>
        <w:pStyle w:val="IEEEHeading1"/>
        <w:jc w:val="left"/>
        <w:rPr>
          <w:sz w:val="24"/>
        </w:rPr>
      </w:pPr>
      <w:r w:rsidRPr="00DF7074">
        <w:rPr>
          <w:sz w:val="24"/>
        </w:rPr>
        <w:t>Materials and Method</w:t>
      </w:r>
    </w:p>
    <w:p w14:paraId="3CCD07A6" w14:textId="77777777" w:rsidR="00786803" w:rsidRDefault="00786803" w:rsidP="00CC2C38">
      <w:pPr>
        <w:pStyle w:val="IEEEParagraph"/>
        <w:rPr>
          <w:sz w:val="24"/>
          <w:lang w:val="en-US"/>
        </w:rPr>
      </w:pPr>
      <w:r w:rsidRPr="00786803">
        <w:rPr>
          <w:sz w:val="24"/>
          <w:lang w:val="en-US"/>
        </w:rPr>
        <w:t>This section presents the modeling, design, and control approach for the regenerative braking system for a PMSM-based electric vehicle at low speed. The MATLAB Simulink simulation model consists of a bidirectional DC-DC converter, an SVPWM inverter for PMSM drive, and FOC algorithm.</w:t>
      </w:r>
    </w:p>
    <w:p w14:paraId="7EE4BF53" w14:textId="2A7C7079" w:rsidR="00786803" w:rsidRDefault="00E971C4" w:rsidP="002E6679">
      <w:pPr>
        <w:pStyle w:val="IEEEParagraph"/>
        <w:rPr>
          <w:sz w:val="24"/>
          <w:lang w:val="en-US"/>
        </w:rPr>
      </w:pPr>
      <w:r>
        <w:rPr>
          <w:noProof/>
        </w:rPr>
        <w:drawing>
          <wp:inline distT="114300" distB="114300" distL="114300" distR="114300" wp14:anchorId="02F3A2BC" wp14:editId="57B6B26E">
            <wp:extent cx="5943600" cy="25019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943600" cy="2501900"/>
                    </a:xfrm>
                    <a:prstGeom prst="rect">
                      <a:avLst/>
                    </a:prstGeom>
                    <a:ln/>
                  </pic:spPr>
                </pic:pic>
              </a:graphicData>
            </a:graphic>
          </wp:inline>
        </w:drawing>
      </w:r>
    </w:p>
    <w:p w14:paraId="5AB4FB5A" w14:textId="40C0F2AC" w:rsidR="007F7949" w:rsidRDefault="00E971C4" w:rsidP="002E6679">
      <w:pPr>
        <w:pStyle w:val="IEEEParagraph"/>
        <w:spacing w:before="240" w:after="240"/>
        <w:jc w:val="center"/>
        <w:rPr>
          <w:sz w:val="24"/>
        </w:rPr>
      </w:pPr>
      <w:r w:rsidRPr="00E971C4">
        <w:t>Fig. 1 Re</w:t>
      </w:r>
      <w:r>
        <w:t>generative braking model blocks</w:t>
      </w:r>
    </w:p>
    <w:p w14:paraId="6943D0FD" w14:textId="53F12452" w:rsidR="007A4BD6" w:rsidRDefault="002E6679" w:rsidP="00CC2C38">
      <w:pPr>
        <w:pStyle w:val="IEEEParagraph"/>
        <w:rPr>
          <w:sz w:val="24"/>
        </w:rPr>
      </w:pPr>
      <w:r w:rsidRPr="002E6679">
        <w:rPr>
          <w:sz w:val="24"/>
        </w:rPr>
        <w:t>The components of simulation are; a lithium-ion battery pack serving as the DC energy source and sink, a bidirectional DC-DC converter capable of operating in both buck (regenerating) mode and boost (motoring) mode, a full-bridge inverter for AC excitation of the PMSM, a PMSM as the traction motor.</w:t>
      </w:r>
    </w:p>
    <w:p w14:paraId="52E8C0C9" w14:textId="140B3290" w:rsidR="007A4BD6" w:rsidRDefault="004B73BD" w:rsidP="00CC2C38">
      <w:pPr>
        <w:pStyle w:val="IEEEParagraph"/>
        <w:rPr>
          <w:sz w:val="24"/>
        </w:rPr>
      </w:pPr>
      <w:r>
        <w:rPr>
          <w:noProof/>
        </w:rPr>
        <w:drawing>
          <wp:inline distT="114300" distB="114300" distL="114300" distR="114300" wp14:anchorId="0C9F8353" wp14:editId="5E7DC5CA">
            <wp:extent cx="5943600" cy="35941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943600" cy="3594100"/>
                    </a:xfrm>
                    <a:prstGeom prst="rect">
                      <a:avLst/>
                    </a:prstGeom>
                    <a:ln/>
                  </pic:spPr>
                </pic:pic>
              </a:graphicData>
            </a:graphic>
          </wp:inline>
        </w:drawing>
      </w:r>
    </w:p>
    <w:p w14:paraId="761664BE" w14:textId="69909F7C" w:rsidR="00786803" w:rsidRPr="004B73BD" w:rsidRDefault="004B73BD" w:rsidP="004B73BD">
      <w:pPr>
        <w:pStyle w:val="IEEEParagraph"/>
        <w:spacing w:before="240" w:after="240"/>
        <w:jc w:val="center"/>
      </w:pPr>
      <w:r w:rsidRPr="004B73BD">
        <w:t>Fig. 2 Road torque and reference speed loaded to the PMSM motor</w:t>
      </w:r>
    </w:p>
    <w:p w14:paraId="363DB6F8" w14:textId="181E852D" w:rsidR="00786803" w:rsidRDefault="00BD5851" w:rsidP="003D7C03">
      <w:pPr>
        <w:pStyle w:val="IEEEParagraph"/>
        <w:spacing w:after="240"/>
        <w:rPr>
          <w:sz w:val="24"/>
        </w:rPr>
      </w:pPr>
      <w:r w:rsidRPr="00BD5851">
        <w:rPr>
          <w:sz w:val="24"/>
        </w:rPr>
        <w:lastRenderedPageBreak/>
        <w:t>The reference speed values presented in figure 1 are specified for low-speed operation (≤ 20 km/h), while the torque value is determined under a flat road profile condition.</w:t>
      </w:r>
    </w:p>
    <w:p w14:paraId="69E13703" w14:textId="0B8CA9DD" w:rsidR="00BD5851" w:rsidRDefault="003D7C03" w:rsidP="00CC2C38">
      <w:pPr>
        <w:pStyle w:val="IEEEParagraph"/>
        <w:rPr>
          <w:sz w:val="24"/>
        </w:rPr>
      </w:pPr>
      <m:oMathPara>
        <m:oMath>
          <m:eqArr>
            <m:eqArrPr>
              <m:maxDist m:val="1"/>
              <m:ctrlPr>
                <w:rPr>
                  <w:rFonts w:ascii="Cambria Math" w:hAnsi="Cambria Math"/>
                </w:rPr>
              </m:ctrlPr>
            </m:eqArrPr>
            <m:e>
              <m:r>
                <w:rPr>
                  <w:rFonts w:ascii="Cambria Math" w:hAnsi="Cambria Math"/>
                </w:rPr>
                <m:t xml:space="preserve">Speed </m:t>
              </m:r>
              <m:d>
                <m:dPr>
                  <m:ctrlPr>
                    <w:rPr>
                      <w:rFonts w:ascii="Cambria Math" w:hAnsi="Cambria Math"/>
                    </w:rPr>
                  </m:ctrlPr>
                </m:dPr>
                <m:e>
                  <m:f>
                    <m:fPr>
                      <m:ctrlPr>
                        <w:rPr>
                          <w:rFonts w:ascii="Cambria Math" w:hAnsi="Cambria Math"/>
                        </w:rPr>
                      </m:ctrlPr>
                    </m:fPr>
                    <m:num>
                      <m:r>
                        <w:rPr>
                          <w:rFonts w:ascii="Cambria Math" w:hAnsi="Cambria Math"/>
                        </w:rPr>
                        <m:t>km</m:t>
                      </m:r>
                    </m:num>
                    <m:den>
                      <m:r>
                        <w:rPr>
                          <w:rFonts w:ascii="Cambria Math" w:hAnsi="Cambria Math"/>
                        </w:rPr>
                        <m:t>h</m:t>
                      </m:r>
                    </m:den>
                  </m:f>
                </m:e>
              </m:d>
              <m:r>
                <w:rPr>
                  <w:rFonts w:ascii="Cambria Math" w:hAnsi="Cambria Math"/>
                </w:rPr>
                <m:t>=</m:t>
              </m:r>
              <m:f>
                <m:fPr>
                  <m:ctrlPr>
                    <w:rPr>
                      <w:rFonts w:ascii="Cambria Math" w:hAnsi="Cambria Math"/>
                    </w:rPr>
                  </m:ctrlPr>
                </m:fPr>
                <m:num>
                  <m:r>
                    <w:rPr>
                      <w:rFonts w:ascii="Cambria Math" w:hAnsi="Cambria Math"/>
                    </w:rPr>
                    <m:t>Motor RPM</m:t>
                  </m:r>
                </m:num>
                <m:den>
                  <m:r>
                    <w:rPr>
                      <w:rFonts w:ascii="Cambria Math" w:hAnsi="Cambria Math"/>
                    </w:rPr>
                    <m:t>Gear Ratio</m:t>
                  </m:r>
                </m:den>
              </m:f>
              <m:r>
                <w:rPr>
                  <w:rFonts w:ascii="Cambria Math" w:hAnsi="Cambria Math"/>
                </w:rPr>
                <m:t>×π×</m:t>
              </m:r>
              <m:sSub>
                <m:sSubPr>
                  <m:ctrlPr>
                    <w:rPr>
                      <w:rFonts w:ascii="Cambria Math" w:hAnsi="Cambria Math"/>
                    </w:rPr>
                  </m:ctrlPr>
                </m:sSubPr>
                <m:e>
                  <m:r>
                    <w:rPr>
                      <w:rFonts w:ascii="Cambria Math" w:hAnsi="Cambria Math"/>
                    </w:rPr>
                    <m:t>D</m:t>
                  </m:r>
                </m:e>
                <m:sub>
                  <m:r>
                    <w:rPr>
                      <w:rFonts w:ascii="Cambria Math" w:hAnsi="Cambria Math"/>
                    </w:rPr>
                    <m:t>wheel</m:t>
                  </m:r>
                </m:sub>
              </m:sSub>
              <m:r>
                <w:rPr>
                  <w:rFonts w:ascii="Cambria Math" w:hAnsi="Cambria Math"/>
                </w:rPr>
                <m:t>×</m:t>
              </m:r>
              <m:f>
                <m:fPr>
                  <m:ctrlPr>
                    <w:rPr>
                      <w:rFonts w:ascii="Cambria Math" w:hAnsi="Cambria Math"/>
                    </w:rPr>
                  </m:ctrlPr>
                </m:fPr>
                <m:num>
                  <m:r>
                    <w:rPr>
                      <w:rFonts w:ascii="Cambria Math" w:hAnsi="Cambria Math"/>
                    </w:rPr>
                    <m:t>60</m:t>
                  </m:r>
                </m:num>
                <m:den>
                  <m:r>
                    <w:rPr>
                      <w:rFonts w:ascii="Cambria Math" w:hAnsi="Cambria Math"/>
                    </w:rPr>
                    <m:t>1000</m:t>
                  </m:r>
                </m:den>
              </m:f>
              <m:r>
                <w:rPr>
                  <w:rFonts w:ascii="Cambria Math" w:hAnsi="Cambria Math"/>
                </w:rPr>
                <m:t>#</m:t>
              </m:r>
              <m:d>
                <m:dPr>
                  <m:ctrlPr>
                    <w:rPr>
                      <w:rFonts w:ascii="Cambria Math" w:hAnsi="Cambria Math"/>
                    </w:rPr>
                  </m:ctrlPr>
                </m:dPr>
                <m:e>
                  <m:r>
                    <w:rPr>
                      <w:rFonts w:ascii="Cambria Math" w:hAnsi="Cambria Math"/>
                      <w:i/>
                    </w:rPr>
                    <w:fldChar w:fldCharType="begin"/>
                  </m:r>
                  <m:r>
                    <m:rPr>
                      <m:sty m:val="p"/>
                    </m:rPr>
                    <w:rPr>
                      <w:rFonts w:ascii="Cambria Math" w:hAnsi="Cambria Math"/>
                    </w:rPr>
                    <m:t xml:space="preserve"> SEQ Equation \* ARABIC </m:t>
                  </m:r>
                  <m:r>
                    <w:rPr>
                      <w:rFonts w:ascii="Cambria Math" w:hAnsi="Cambria Math"/>
                      <w:i/>
                    </w:rPr>
                    <w:fldChar w:fldCharType="separate"/>
                  </m:r>
                  <m:r>
                    <m:rPr>
                      <m:sty m:val="p"/>
                    </m:rPr>
                    <w:rPr>
                      <w:rFonts w:ascii="Cambria Math" w:hAnsi="Cambria Math"/>
                      <w:noProof/>
                    </w:rPr>
                    <m:t>1</m:t>
                  </m:r>
                  <m:r>
                    <w:rPr>
                      <w:rFonts w:ascii="Cambria Math" w:hAnsi="Cambria Math"/>
                      <w:i/>
                    </w:rPr>
                    <w:fldChar w:fldCharType="end"/>
                  </m:r>
                </m:e>
              </m:d>
            </m:e>
          </m:eqArr>
        </m:oMath>
      </m:oMathPara>
    </w:p>
    <w:p w14:paraId="1BA6C770" w14:textId="77777777" w:rsidR="00EF500F" w:rsidRPr="008C4D93" w:rsidRDefault="00EF500F" w:rsidP="00EF500F">
      <w:pPr>
        <w:jc w:val="both"/>
        <w:rPr>
          <w:rFonts w:ascii="Times New Roman" w:eastAsia="Times New Roman" w:hAnsi="Times New Roman" w:cs="Times New Roman"/>
          <w:bCs/>
          <w:color w:val="000000"/>
          <w:sz w:val="24"/>
          <w:szCs w:val="24"/>
          <w:bdr w:val="none" w:sz="0" w:space="0" w:color="auto" w:frame="1"/>
        </w:rPr>
      </w:pPr>
      <w:r w:rsidRPr="008C4D93">
        <w:rPr>
          <w:rFonts w:ascii="Times New Roman" w:eastAsia="Times New Roman" w:hAnsi="Times New Roman" w:cs="Times New Roman"/>
          <w:bCs/>
          <w:color w:val="000000"/>
          <w:sz w:val="24"/>
          <w:szCs w:val="24"/>
          <w:bdr w:val="none" w:sz="0" w:space="0" w:color="auto" w:frame="1"/>
        </w:rPr>
        <w:t>Where:</w:t>
      </w:r>
    </w:p>
    <w:p w14:paraId="683DD5FF" w14:textId="77777777" w:rsidR="00EF500F" w:rsidRPr="008C4D93" w:rsidRDefault="00EF500F" w:rsidP="00EF500F">
      <w:pPr>
        <w:numPr>
          <w:ilvl w:val="0"/>
          <w:numId w:val="11"/>
        </w:numPr>
        <w:spacing w:after="0" w:line="480" w:lineRule="auto"/>
        <w:jc w:val="both"/>
        <w:rPr>
          <w:rFonts w:ascii="Times New Roman" w:eastAsia="Times New Roman" w:hAnsi="Times New Roman" w:cs="Times New Roman"/>
          <w:bCs/>
          <w:color w:val="000000"/>
          <w:sz w:val="24"/>
          <w:szCs w:val="24"/>
          <w:bdr w:val="none" w:sz="0" w:space="0" w:color="auto" w:frame="1"/>
        </w:rPr>
      </w:pPr>
      <m:oMath>
        <m:r>
          <w:rPr>
            <w:rFonts w:ascii="Cambria Math" w:eastAsia="Times New Roman" w:hAnsi="Cambria Math" w:cs="Times New Roman"/>
            <w:color w:val="000000"/>
            <w:sz w:val="24"/>
            <w:szCs w:val="24"/>
            <w:bdr w:val="none" w:sz="0" w:space="0" w:color="auto" w:frame="1"/>
          </w:rPr>
          <m:t>Motor</m:t>
        </m:r>
        <m:r>
          <m:rPr>
            <m:sty m:val="p"/>
          </m:rPr>
          <w:rPr>
            <w:rFonts w:ascii="Cambria Math" w:eastAsia="Times New Roman" w:hAnsi="Cambria Math" w:cs="Times New Roman"/>
            <w:color w:val="000000"/>
            <w:sz w:val="24"/>
            <w:szCs w:val="24"/>
            <w:bdr w:val="none" w:sz="0" w:space="0" w:color="auto" w:frame="1"/>
          </w:rPr>
          <m:t xml:space="preserve"> </m:t>
        </m:r>
        <m:r>
          <w:rPr>
            <w:rFonts w:ascii="Cambria Math" w:eastAsia="Times New Roman" w:hAnsi="Cambria Math" w:cs="Times New Roman"/>
            <w:color w:val="000000"/>
            <w:sz w:val="24"/>
            <w:szCs w:val="24"/>
            <w:bdr w:val="none" w:sz="0" w:space="0" w:color="auto" w:frame="1"/>
          </w:rPr>
          <m:t>RPM</m:t>
        </m:r>
      </m:oMath>
      <w:r w:rsidRPr="008C4D93">
        <w:rPr>
          <w:rFonts w:ascii="Times New Roman" w:eastAsia="Times New Roman" w:hAnsi="Times New Roman" w:cs="Times New Roman"/>
          <w:bCs/>
          <w:color w:val="000000"/>
          <w:sz w:val="24"/>
          <w:szCs w:val="24"/>
          <w:bdr w:val="none" w:sz="0" w:space="0" w:color="auto" w:frame="1"/>
        </w:rPr>
        <w:t xml:space="preserve"> = Motor speed in revolutions per minute</w:t>
      </w:r>
    </w:p>
    <w:p w14:paraId="27478E53" w14:textId="77777777" w:rsidR="00EF500F" w:rsidRPr="008C4D93" w:rsidRDefault="00EF500F" w:rsidP="00EF500F">
      <w:pPr>
        <w:numPr>
          <w:ilvl w:val="0"/>
          <w:numId w:val="11"/>
        </w:numPr>
        <w:spacing w:after="0" w:line="480" w:lineRule="auto"/>
        <w:jc w:val="both"/>
        <w:rPr>
          <w:rFonts w:ascii="Times New Roman" w:eastAsia="Times New Roman" w:hAnsi="Times New Roman" w:cs="Times New Roman"/>
          <w:bCs/>
          <w:color w:val="000000"/>
          <w:sz w:val="24"/>
          <w:szCs w:val="24"/>
          <w:bdr w:val="none" w:sz="0" w:space="0" w:color="auto" w:frame="1"/>
        </w:rPr>
      </w:pPr>
      <m:oMath>
        <m:r>
          <w:rPr>
            <w:rFonts w:ascii="Cambria Math" w:eastAsia="Times New Roman" w:hAnsi="Cambria Math" w:cs="Times New Roman"/>
            <w:color w:val="000000"/>
            <w:sz w:val="24"/>
            <w:szCs w:val="24"/>
            <w:bdr w:val="none" w:sz="0" w:space="0" w:color="auto" w:frame="1"/>
          </w:rPr>
          <m:t>Gear</m:t>
        </m:r>
        <m:r>
          <m:rPr>
            <m:sty m:val="p"/>
          </m:rPr>
          <w:rPr>
            <w:rFonts w:ascii="Cambria Math" w:eastAsia="Times New Roman" w:hAnsi="Cambria Math" w:cs="Times New Roman"/>
            <w:color w:val="000000"/>
            <w:sz w:val="24"/>
            <w:szCs w:val="24"/>
            <w:bdr w:val="none" w:sz="0" w:space="0" w:color="auto" w:frame="1"/>
          </w:rPr>
          <m:t xml:space="preserve"> </m:t>
        </m:r>
        <m:r>
          <w:rPr>
            <w:rFonts w:ascii="Cambria Math" w:eastAsia="Times New Roman" w:hAnsi="Cambria Math" w:cs="Times New Roman"/>
            <w:color w:val="000000"/>
            <w:sz w:val="24"/>
            <w:szCs w:val="24"/>
            <w:bdr w:val="none" w:sz="0" w:space="0" w:color="auto" w:frame="1"/>
          </w:rPr>
          <m:t>Ratio</m:t>
        </m:r>
      </m:oMath>
      <w:r w:rsidRPr="008C4D93">
        <w:rPr>
          <w:rFonts w:ascii="Times New Roman" w:eastAsia="Times New Roman" w:hAnsi="Times New Roman" w:cs="Times New Roman"/>
          <w:bCs/>
          <w:color w:val="000000"/>
          <w:sz w:val="24"/>
          <w:szCs w:val="24"/>
          <w:bdr w:val="none" w:sz="0" w:space="0" w:color="auto" w:frame="1"/>
        </w:rPr>
        <w:t xml:space="preserve"> = Total reduction (motor turns / wheel turns)</w:t>
      </w:r>
    </w:p>
    <w:p w14:paraId="7F2BD533" w14:textId="77777777" w:rsidR="00EF500F" w:rsidRPr="008C4D93" w:rsidRDefault="00EF500F" w:rsidP="00EF500F">
      <w:pPr>
        <w:numPr>
          <w:ilvl w:val="0"/>
          <w:numId w:val="11"/>
        </w:numPr>
        <w:spacing w:after="0" w:line="480" w:lineRule="auto"/>
        <w:jc w:val="both"/>
        <w:rPr>
          <w:rFonts w:ascii="Times New Roman" w:eastAsia="Times New Roman" w:hAnsi="Times New Roman" w:cs="Times New Roman"/>
          <w:bCs/>
          <w:color w:val="000000"/>
          <w:sz w:val="24"/>
          <w:szCs w:val="24"/>
          <w:bdr w:val="none" w:sz="0" w:space="0" w:color="auto" w:frame="1"/>
        </w:rPr>
      </w:pPr>
      <m:oMath>
        <m:sSub>
          <m:sSubPr>
            <m:ctrlPr>
              <w:rPr>
                <w:rFonts w:ascii="Cambria Math" w:eastAsia="Times New Roman" w:hAnsi="Cambria Math" w:cs="Times New Roman"/>
                <w:bCs/>
                <w:color w:val="000000"/>
                <w:sz w:val="24"/>
                <w:szCs w:val="24"/>
                <w:bdr w:val="none" w:sz="0" w:space="0" w:color="auto" w:frame="1"/>
              </w:rPr>
            </m:ctrlPr>
          </m:sSubPr>
          <m:e>
            <m:r>
              <w:rPr>
                <w:rFonts w:ascii="Cambria Math" w:eastAsia="Times New Roman" w:hAnsi="Cambria Math" w:cs="Times New Roman"/>
                <w:color w:val="000000"/>
                <w:sz w:val="24"/>
                <w:szCs w:val="24"/>
                <w:bdr w:val="none" w:sz="0" w:space="0" w:color="auto" w:frame="1"/>
              </w:rPr>
              <m:t>D</m:t>
            </m:r>
          </m:e>
          <m:sub>
            <m:r>
              <w:rPr>
                <w:rFonts w:ascii="Cambria Math" w:eastAsia="Times New Roman" w:hAnsi="Cambria Math" w:cs="Times New Roman"/>
                <w:color w:val="000000"/>
                <w:sz w:val="24"/>
                <w:szCs w:val="24"/>
                <w:bdr w:val="none" w:sz="0" w:space="0" w:color="auto" w:frame="1"/>
              </w:rPr>
              <m:t>wheel</m:t>
            </m:r>
          </m:sub>
        </m:sSub>
      </m:oMath>
      <w:r w:rsidRPr="008C4D93">
        <w:rPr>
          <w:rFonts w:ascii="Times New Roman" w:eastAsia="Times New Roman" w:hAnsi="Times New Roman" w:cs="Times New Roman"/>
          <w:bCs/>
          <w:color w:val="000000"/>
          <w:sz w:val="24"/>
          <w:szCs w:val="24"/>
          <w:bdr w:val="none" w:sz="0" w:space="0" w:color="auto" w:frame="1"/>
        </w:rPr>
        <w:t xml:space="preserve">  = Wheel diameter in meters</w:t>
      </w:r>
    </w:p>
    <w:p w14:paraId="180356DE" w14:textId="4F9EF791" w:rsidR="00BD5851" w:rsidRDefault="00EF500F" w:rsidP="00EF500F">
      <w:pPr>
        <w:pStyle w:val="IEEEParagraph"/>
        <w:numPr>
          <w:ilvl w:val="0"/>
          <w:numId w:val="11"/>
        </w:numPr>
        <w:rPr>
          <w:sz w:val="24"/>
        </w:rPr>
      </w:pPr>
      <m:oMath>
        <m:f>
          <m:fPr>
            <m:ctrlPr>
              <w:rPr>
                <w:rFonts w:ascii="Cambria Math" w:eastAsia="Times New Roman" w:hAnsi="Cambria Math"/>
                <w:bCs/>
                <w:color w:val="000000"/>
                <w:sz w:val="24"/>
                <w:bdr w:val="none" w:sz="0" w:space="0" w:color="auto" w:frame="1"/>
              </w:rPr>
            </m:ctrlPr>
          </m:fPr>
          <m:num>
            <m:r>
              <m:rPr>
                <m:sty m:val="p"/>
              </m:rPr>
              <w:rPr>
                <w:rFonts w:ascii="Cambria Math" w:eastAsia="Times New Roman" w:hAnsi="Cambria Math"/>
                <w:color w:val="000000"/>
                <w:sz w:val="24"/>
                <w:bdr w:val="none" w:sz="0" w:space="0" w:color="auto" w:frame="1"/>
              </w:rPr>
              <m:t>60</m:t>
            </m:r>
          </m:num>
          <m:den>
            <m:r>
              <m:rPr>
                <m:sty m:val="p"/>
              </m:rPr>
              <w:rPr>
                <w:rFonts w:ascii="Cambria Math" w:eastAsia="Times New Roman" w:hAnsi="Cambria Math"/>
                <w:color w:val="000000"/>
                <w:sz w:val="24"/>
                <w:bdr w:val="none" w:sz="0" w:space="0" w:color="auto" w:frame="1"/>
              </w:rPr>
              <m:t>1000</m:t>
            </m:r>
          </m:den>
        </m:f>
      </m:oMath>
      <w:r w:rsidRPr="008C4D93">
        <w:rPr>
          <w:rFonts w:eastAsia="Times New Roman"/>
          <w:bCs/>
          <w:color w:val="000000"/>
          <w:sz w:val="24"/>
          <w:bdr w:val="none" w:sz="0" w:space="0" w:color="auto" w:frame="1"/>
        </w:rPr>
        <w:t xml:space="preserve"> = ​Converts meters/min to km/h</w:t>
      </w:r>
    </w:p>
    <w:p w14:paraId="7FAEC9D2" w14:textId="3BE7429E" w:rsidR="00BD5851" w:rsidRDefault="00BD5851" w:rsidP="00CC2C38">
      <w:pPr>
        <w:pStyle w:val="IEEEParagraph"/>
        <w:rPr>
          <w:sz w:val="24"/>
        </w:rPr>
      </w:pPr>
    </w:p>
    <w:p w14:paraId="27EE9315" w14:textId="77777777" w:rsidR="00CC7A7D" w:rsidRPr="00CC7A7D" w:rsidRDefault="00CC7A7D" w:rsidP="00CC7A7D">
      <w:pPr>
        <w:pStyle w:val="IEEEParagraph"/>
        <w:rPr>
          <w:sz w:val="24"/>
        </w:rPr>
      </w:pPr>
      <w:r w:rsidRPr="00CC7A7D">
        <w:rPr>
          <w:sz w:val="24"/>
        </w:rPr>
        <w:t>According to Equation 1, the simulation reference speed ranges from 0 km/h to 20.36 km/h (corresponding to 0 RPM to 1800 RPM).</w:t>
      </w:r>
    </w:p>
    <w:p w14:paraId="31F386DC" w14:textId="0D78D743" w:rsidR="00BD5851" w:rsidRDefault="00CC7A7D" w:rsidP="00CC7A7D">
      <w:pPr>
        <w:pStyle w:val="IEEEParagraph"/>
        <w:rPr>
          <w:sz w:val="24"/>
        </w:rPr>
      </w:pPr>
      <w:r w:rsidRPr="00CC7A7D">
        <w:rPr>
          <w:sz w:val="24"/>
        </w:rPr>
        <w:t xml:space="preserve">The PMSM is controlled using the Field-Oriented Control (FOC) technique for both motoring and regenerative modes. The FOC algorithm consists of; Clarke and Park transformations to convert stator currents from three-phase to d-q rotating reference  frame, PI controllers for torque and flux control </w:t>
      </w:r>
      <w:r w:rsidRPr="00CC7A7D">
        <w:rPr>
          <w:bCs/>
          <w:color w:val="000000"/>
          <w:sz w:val="24"/>
          <w:bdr w:val="none" w:sz="0" w:space="0" w:color="auto" w:frame="1"/>
        </w:rPr>
        <w:t xml:space="preserve">via </w:t>
      </w:r>
      <m:oMath>
        <m:sSub>
          <m:sSubPr>
            <m:ctrlPr>
              <w:rPr>
                <w:rFonts w:ascii="Cambria Math" w:hAnsi="Cambria Math"/>
                <w:bCs/>
                <w:color w:val="000000"/>
                <w:sz w:val="24"/>
                <w:bdr w:val="none" w:sz="0" w:space="0" w:color="auto" w:frame="1"/>
              </w:rPr>
            </m:ctrlPr>
          </m:sSubPr>
          <m:e>
            <m:r>
              <w:rPr>
                <w:rFonts w:ascii="Cambria Math" w:hAnsi="Cambria Math"/>
                <w:color w:val="000000"/>
                <w:sz w:val="24"/>
                <w:bdr w:val="none" w:sz="0" w:space="0" w:color="auto" w:frame="1"/>
              </w:rPr>
              <m:t>i</m:t>
            </m:r>
          </m:e>
          <m:sub>
            <m:r>
              <w:rPr>
                <w:rFonts w:ascii="Cambria Math" w:hAnsi="Cambria Math"/>
                <w:color w:val="000000"/>
                <w:sz w:val="24"/>
                <w:bdr w:val="none" w:sz="0" w:space="0" w:color="auto" w:frame="1"/>
              </w:rPr>
              <m:t>d</m:t>
            </m:r>
          </m:sub>
        </m:sSub>
      </m:oMath>
      <w:r w:rsidRPr="00CC7A7D">
        <w:rPr>
          <w:bCs/>
          <w:color w:val="000000"/>
          <w:sz w:val="24"/>
          <w:bdr w:val="none" w:sz="0" w:space="0" w:color="auto" w:frame="1"/>
        </w:rPr>
        <w:t xml:space="preserve"> and </w:t>
      </w:r>
      <m:oMath>
        <m:sSub>
          <m:sSubPr>
            <m:ctrlPr>
              <w:rPr>
                <w:rFonts w:ascii="Cambria Math" w:hAnsi="Cambria Math"/>
                <w:bCs/>
                <w:color w:val="000000"/>
                <w:sz w:val="24"/>
                <w:bdr w:val="none" w:sz="0" w:space="0" w:color="auto" w:frame="1"/>
              </w:rPr>
            </m:ctrlPr>
          </m:sSubPr>
          <m:e>
            <m:r>
              <w:rPr>
                <w:rFonts w:ascii="Cambria Math" w:hAnsi="Cambria Math"/>
                <w:color w:val="000000"/>
                <w:sz w:val="24"/>
                <w:bdr w:val="none" w:sz="0" w:space="0" w:color="auto" w:frame="1"/>
              </w:rPr>
              <m:t>i</m:t>
            </m:r>
          </m:e>
          <m:sub>
            <m:r>
              <w:rPr>
                <w:rFonts w:ascii="Cambria Math" w:hAnsi="Cambria Math"/>
                <w:color w:val="000000"/>
                <w:sz w:val="24"/>
                <w:bdr w:val="none" w:sz="0" w:space="0" w:color="auto" w:frame="1"/>
              </w:rPr>
              <m:t>q</m:t>
            </m:r>
          </m:sub>
        </m:sSub>
      </m:oMath>
      <w:r w:rsidRPr="00CC7A7D">
        <w:rPr>
          <w:bCs/>
          <w:color w:val="000000"/>
          <w:sz w:val="24"/>
          <w:bdr w:val="none" w:sz="0" w:space="0" w:color="auto" w:frame="1"/>
        </w:rPr>
        <w:t>​ currents</w:t>
      </w:r>
      <w:r w:rsidRPr="00CC7A7D">
        <w:rPr>
          <w:sz w:val="24"/>
        </w:rPr>
        <w:t>, Space Vector PWM (SVPWM) for inverter switching pattern generation.</w:t>
      </w:r>
    </w:p>
    <w:p w14:paraId="46CCB37C" w14:textId="1714259A" w:rsidR="002338E6" w:rsidRDefault="002338E6" w:rsidP="002338E6">
      <w:pPr>
        <w:pStyle w:val="font8"/>
        <w:spacing w:before="120" w:beforeAutospacing="0" w:after="120" w:afterAutospacing="0"/>
        <w:jc w:val="center"/>
        <w:textAlignment w:val="baseline"/>
        <w:rPr>
          <w:b/>
          <w:bCs/>
          <w:color w:val="000000"/>
          <w:bdr w:val="none" w:sz="0" w:space="0" w:color="auto" w:frame="1"/>
        </w:rPr>
      </w:pPr>
      <w:bookmarkStart w:id="1" w:name="_GoBack"/>
      <w:r w:rsidRPr="006C0D38">
        <w:rPr>
          <w:bCs/>
          <w:color w:val="000000"/>
          <w:sz w:val="20"/>
          <w:bdr w:val="none" w:sz="0" w:space="0" w:color="auto" w:frame="1"/>
        </w:rPr>
        <w:t>Table 1.</w:t>
      </w:r>
      <w:r w:rsidRPr="006C0D38">
        <w:rPr>
          <w:sz w:val="16"/>
          <w:szCs w:val="20"/>
        </w:rPr>
        <w:t xml:space="preserve"> </w:t>
      </w:r>
      <w:r w:rsidRPr="006C0D38">
        <w:rPr>
          <w:sz w:val="20"/>
          <w:szCs w:val="20"/>
        </w:rPr>
        <w:t>Parameters of the model</w:t>
      </w:r>
      <w:bookmarkEnd w:id="1"/>
    </w:p>
    <w:tbl>
      <w:tblPr>
        <w:tblStyle w:val="TabloKlavuzu"/>
        <w:tblW w:w="0" w:type="auto"/>
        <w:jc w:val="center"/>
        <w:tblLook w:val="04A0" w:firstRow="1" w:lastRow="0" w:firstColumn="1" w:lastColumn="0" w:noHBand="0" w:noVBand="1"/>
      </w:tblPr>
      <w:tblGrid>
        <w:gridCol w:w="3151"/>
        <w:gridCol w:w="3259"/>
      </w:tblGrid>
      <w:tr w:rsidR="002338E6" w:rsidRPr="00D96D49" w14:paraId="145D05B1" w14:textId="77777777" w:rsidTr="00A52694">
        <w:trPr>
          <w:jc w:val="center"/>
        </w:trPr>
        <w:tc>
          <w:tcPr>
            <w:tcW w:w="3151" w:type="dxa"/>
          </w:tcPr>
          <w:p w14:paraId="360E8074" w14:textId="77777777" w:rsidR="002338E6" w:rsidRPr="00691006" w:rsidRDefault="002338E6" w:rsidP="00746E40">
            <w:pPr>
              <w:rPr>
                <w:rFonts w:ascii="Times New Roman" w:hAnsi="Times New Roman" w:cs="Times New Roman"/>
                <w:b/>
                <w:sz w:val="20"/>
              </w:rPr>
            </w:pPr>
            <w:r w:rsidRPr="00691006">
              <w:rPr>
                <w:rFonts w:ascii="Times New Roman" w:hAnsi="Times New Roman" w:cs="Times New Roman"/>
                <w:b/>
                <w:sz w:val="20"/>
              </w:rPr>
              <w:t>Parameter</w:t>
            </w:r>
          </w:p>
        </w:tc>
        <w:tc>
          <w:tcPr>
            <w:tcW w:w="3259" w:type="dxa"/>
          </w:tcPr>
          <w:p w14:paraId="6562A4E6" w14:textId="77777777" w:rsidR="002338E6" w:rsidRPr="00691006" w:rsidRDefault="002338E6" w:rsidP="00746E40">
            <w:pPr>
              <w:rPr>
                <w:rFonts w:ascii="Times New Roman" w:hAnsi="Times New Roman" w:cs="Times New Roman"/>
                <w:b/>
                <w:sz w:val="20"/>
              </w:rPr>
            </w:pPr>
            <w:r w:rsidRPr="00691006">
              <w:rPr>
                <w:rFonts w:ascii="Times New Roman" w:hAnsi="Times New Roman" w:cs="Times New Roman"/>
                <w:b/>
                <w:sz w:val="20"/>
              </w:rPr>
              <w:t>Value</w:t>
            </w:r>
          </w:p>
        </w:tc>
      </w:tr>
      <w:tr w:rsidR="002338E6" w:rsidRPr="000137A1" w14:paraId="2AEEA5F7" w14:textId="77777777" w:rsidTr="00A52694">
        <w:trPr>
          <w:jc w:val="center"/>
        </w:trPr>
        <w:tc>
          <w:tcPr>
            <w:tcW w:w="3151" w:type="dxa"/>
          </w:tcPr>
          <w:p w14:paraId="4FB00DA0" w14:textId="77777777" w:rsidR="002338E6" w:rsidRPr="007C2663" w:rsidRDefault="002338E6" w:rsidP="00746E40">
            <w:pPr>
              <w:rPr>
                <w:rFonts w:ascii="Times New Roman" w:hAnsi="Times New Roman" w:cs="Times New Roman"/>
                <w:sz w:val="20"/>
                <w:szCs w:val="20"/>
              </w:rPr>
            </w:pPr>
            <w:r w:rsidRPr="007C2663">
              <w:rPr>
                <w:rFonts w:ascii="Times New Roman" w:hAnsi="Times New Roman" w:cs="Times New Roman"/>
                <w:sz w:val="20"/>
                <w:szCs w:val="20"/>
              </w:rPr>
              <w:t>Motor nominal voltage</w:t>
            </w:r>
          </w:p>
        </w:tc>
        <w:tc>
          <w:tcPr>
            <w:tcW w:w="3259" w:type="dxa"/>
          </w:tcPr>
          <w:p w14:paraId="3007810D" w14:textId="77777777" w:rsidR="002338E6" w:rsidRPr="007C2663" w:rsidRDefault="002338E6" w:rsidP="00746E40">
            <w:pPr>
              <w:rPr>
                <w:rFonts w:ascii="Times New Roman" w:hAnsi="Times New Roman" w:cs="Times New Roman"/>
                <w:sz w:val="20"/>
                <w:szCs w:val="20"/>
              </w:rPr>
            </w:pPr>
            <w:r w:rsidRPr="007C2663">
              <w:rPr>
                <w:rFonts w:ascii="Times New Roman" w:hAnsi="Times New Roman" w:cs="Times New Roman"/>
                <w:sz w:val="20"/>
                <w:szCs w:val="20"/>
              </w:rPr>
              <w:t>300 Vdc</w:t>
            </w:r>
          </w:p>
        </w:tc>
      </w:tr>
      <w:tr w:rsidR="002338E6" w:rsidRPr="000137A1" w14:paraId="04B001AF" w14:textId="77777777" w:rsidTr="00A52694">
        <w:trPr>
          <w:jc w:val="center"/>
        </w:trPr>
        <w:tc>
          <w:tcPr>
            <w:tcW w:w="3151" w:type="dxa"/>
          </w:tcPr>
          <w:p w14:paraId="2061D132" w14:textId="77777777" w:rsidR="002338E6" w:rsidRPr="007C2663" w:rsidRDefault="002338E6" w:rsidP="00746E40">
            <w:pPr>
              <w:rPr>
                <w:rFonts w:ascii="Times New Roman" w:hAnsi="Times New Roman" w:cs="Times New Roman"/>
                <w:sz w:val="20"/>
                <w:szCs w:val="20"/>
              </w:rPr>
            </w:pPr>
            <w:r w:rsidRPr="007C2663">
              <w:rPr>
                <w:rFonts w:ascii="Times New Roman" w:hAnsi="Times New Roman" w:cs="Times New Roman"/>
                <w:sz w:val="20"/>
                <w:szCs w:val="20"/>
              </w:rPr>
              <w:t>PMSM rated power</w:t>
            </w:r>
          </w:p>
        </w:tc>
        <w:tc>
          <w:tcPr>
            <w:tcW w:w="3259" w:type="dxa"/>
          </w:tcPr>
          <w:p w14:paraId="63A3242F" w14:textId="77777777" w:rsidR="002338E6" w:rsidRPr="007C2663" w:rsidRDefault="002338E6" w:rsidP="00746E40">
            <w:pPr>
              <w:rPr>
                <w:rFonts w:ascii="Times New Roman" w:hAnsi="Times New Roman" w:cs="Times New Roman"/>
                <w:sz w:val="20"/>
                <w:szCs w:val="20"/>
              </w:rPr>
            </w:pPr>
            <w:r w:rsidRPr="007C2663">
              <w:rPr>
                <w:rFonts w:ascii="Times New Roman" w:hAnsi="Times New Roman" w:cs="Times New Roman"/>
                <w:sz w:val="20"/>
                <w:szCs w:val="20"/>
              </w:rPr>
              <w:t>2830 W</w:t>
            </w:r>
          </w:p>
        </w:tc>
      </w:tr>
      <w:tr w:rsidR="002338E6" w:rsidRPr="000137A1" w14:paraId="0AD2900C" w14:textId="77777777" w:rsidTr="00A52694">
        <w:trPr>
          <w:jc w:val="center"/>
        </w:trPr>
        <w:tc>
          <w:tcPr>
            <w:tcW w:w="3151" w:type="dxa"/>
          </w:tcPr>
          <w:p w14:paraId="6F3D4B8C" w14:textId="77777777" w:rsidR="002338E6" w:rsidRPr="007C2663" w:rsidRDefault="002338E6" w:rsidP="00746E40">
            <w:pPr>
              <w:rPr>
                <w:rFonts w:ascii="Times New Roman" w:hAnsi="Times New Roman" w:cs="Times New Roman"/>
                <w:sz w:val="20"/>
                <w:szCs w:val="20"/>
              </w:rPr>
            </w:pPr>
            <w:r w:rsidRPr="007C2663">
              <w:rPr>
                <w:rFonts w:ascii="Times New Roman" w:hAnsi="Times New Roman" w:cs="Times New Roman"/>
                <w:sz w:val="20"/>
                <w:szCs w:val="20"/>
              </w:rPr>
              <w:t>Converter capacitance</w:t>
            </w:r>
          </w:p>
        </w:tc>
        <w:tc>
          <w:tcPr>
            <w:tcW w:w="3259" w:type="dxa"/>
          </w:tcPr>
          <w:p w14:paraId="1D8823CF" w14:textId="77777777" w:rsidR="002338E6" w:rsidRPr="007C2663" w:rsidRDefault="002338E6" w:rsidP="00746E40">
            <w:pPr>
              <w:rPr>
                <w:rFonts w:ascii="Times New Roman" w:hAnsi="Times New Roman" w:cs="Times New Roman"/>
                <w:sz w:val="20"/>
                <w:szCs w:val="20"/>
              </w:rPr>
            </w:pPr>
            <w:r w:rsidRPr="007C2663">
              <w:rPr>
                <w:rFonts w:ascii="Times New Roman" w:hAnsi="Times New Roman" w:cs="Times New Roman"/>
                <w:sz w:val="20"/>
                <w:szCs w:val="20"/>
              </w:rPr>
              <w:t>1000 µF</w:t>
            </w:r>
          </w:p>
        </w:tc>
      </w:tr>
      <w:tr w:rsidR="002338E6" w:rsidRPr="000137A1" w14:paraId="2BE6E993" w14:textId="77777777" w:rsidTr="00A52694">
        <w:trPr>
          <w:jc w:val="center"/>
        </w:trPr>
        <w:tc>
          <w:tcPr>
            <w:tcW w:w="3151" w:type="dxa"/>
          </w:tcPr>
          <w:p w14:paraId="4AECD9A6" w14:textId="77777777" w:rsidR="002338E6" w:rsidRPr="007C2663" w:rsidRDefault="002338E6" w:rsidP="00746E40">
            <w:pPr>
              <w:rPr>
                <w:rFonts w:ascii="Times New Roman" w:hAnsi="Times New Roman" w:cs="Times New Roman"/>
                <w:sz w:val="20"/>
                <w:szCs w:val="20"/>
              </w:rPr>
            </w:pPr>
            <w:r w:rsidRPr="007C2663">
              <w:rPr>
                <w:rFonts w:ascii="Times New Roman" w:hAnsi="Times New Roman" w:cs="Times New Roman"/>
                <w:sz w:val="20"/>
                <w:szCs w:val="20"/>
              </w:rPr>
              <w:t>Converter inductance</w:t>
            </w:r>
          </w:p>
        </w:tc>
        <w:tc>
          <w:tcPr>
            <w:tcW w:w="3259" w:type="dxa"/>
          </w:tcPr>
          <w:p w14:paraId="7B66A578" w14:textId="77777777" w:rsidR="002338E6" w:rsidRPr="007C2663" w:rsidRDefault="002338E6" w:rsidP="00746E40">
            <w:pPr>
              <w:rPr>
                <w:rFonts w:ascii="Times New Roman" w:hAnsi="Times New Roman" w:cs="Times New Roman"/>
                <w:sz w:val="20"/>
                <w:szCs w:val="20"/>
              </w:rPr>
            </w:pPr>
            <w:r w:rsidRPr="007C2663">
              <w:rPr>
                <w:rFonts w:ascii="Times New Roman" w:hAnsi="Times New Roman" w:cs="Times New Roman"/>
                <w:sz w:val="20"/>
                <w:szCs w:val="20"/>
              </w:rPr>
              <w:t>1 mH</w:t>
            </w:r>
          </w:p>
        </w:tc>
      </w:tr>
      <w:tr w:rsidR="002338E6" w:rsidRPr="000137A1" w14:paraId="4901C2DE" w14:textId="77777777" w:rsidTr="00A52694">
        <w:trPr>
          <w:jc w:val="center"/>
        </w:trPr>
        <w:tc>
          <w:tcPr>
            <w:tcW w:w="3151" w:type="dxa"/>
          </w:tcPr>
          <w:p w14:paraId="549B8557" w14:textId="77777777" w:rsidR="002338E6" w:rsidRPr="007C2663" w:rsidRDefault="002338E6" w:rsidP="00746E40">
            <w:pPr>
              <w:rPr>
                <w:rFonts w:ascii="Times New Roman" w:hAnsi="Times New Roman" w:cs="Times New Roman"/>
                <w:sz w:val="20"/>
                <w:szCs w:val="20"/>
              </w:rPr>
            </w:pPr>
            <w:r w:rsidRPr="007C2663">
              <w:rPr>
                <w:rFonts w:ascii="Times New Roman" w:hAnsi="Times New Roman" w:cs="Times New Roman"/>
                <w:sz w:val="20"/>
                <w:szCs w:val="20"/>
              </w:rPr>
              <w:t>Converter switching frequency</w:t>
            </w:r>
          </w:p>
        </w:tc>
        <w:tc>
          <w:tcPr>
            <w:tcW w:w="3259" w:type="dxa"/>
          </w:tcPr>
          <w:p w14:paraId="6D574BBF" w14:textId="77777777" w:rsidR="002338E6" w:rsidRPr="007C2663" w:rsidRDefault="002338E6" w:rsidP="00746E40">
            <w:pPr>
              <w:rPr>
                <w:rFonts w:ascii="Times New Roman" w:hAnsi="Times New Roman" w:cs="Times New Roman"/>
                <w:sz w:val="20"/>
                <w:szCs w:val="20"/>
              </w:rPr>
            </w:pPr>
            <w:r w:rsidRPr="007C2663">
              <w:rPr>
                <w:rFonts w:ascii="Times New Roman" w:hAnsi="Times New Roman" w:cs="Times New Roman"/>
                <w:sz w:val="20"/>
                <w:szCs w:val="20"/>
              </w:rPr>
              <w:t>5 kHz</w:t>
            </w:r>
          </w:p>
        </w:tc>
      </w:tr>
      <w:tr w:rsidR="002338E6" w:rsidRPr="000137A1" w14:paraId="6D8C0B6A" w14:textId="77777777" w:rsidTr="00A52694">
        <w:trPr>
          <w:jc w:val="center"/>
        </w:trPr>
        <w:tc>
          <w:tcPr>
            <w:tcW w:w="3151" w:type="dxa"/>
          </w:tcPr>
          <w:p w14:paraId="639D8873" w14:textId="77777777" w:rsidR="002338E6" w:rsidRPr="007C2663" w:rsidRDefault="002338E6" w:rsidP="00746E40">
            <w:pPr>
              <w:rPr>
                <w:rFonts w:ascii="Times New Roman" w:hAnsi="Times New Roman" w:cs="Times New Roman"/>
                <w:sz w:val="20"/>
                <w:szCs w:val="20"/>
              </w:rPr>
            </w:pPr>
            <w:r w:rsidRPr="007C2663">
              <w:rPr>
                <w:rFonts w:ascii="Times New Roman" w:hAnsi="Times New Roman" w:cs="Times New Roman"/>
                <w:sz w:val="20"/>
                <w:szCs w:val="20"/>
              </w:rPr>
              <w:t>Battery nominal voltage</w:t>
            </w:r>
          </w:p>
        </w:tc>
        <w:tc>
          <w:tcPr>
            <w:tcW w:w="3259" w:type="dxa"/>
          </w:tcPr>
          <w:p w14:paraId="2D88A0C2" w14:textId="77777777" w:rsidR="002338E6" w:rsidRPr="007C2663" w:rsidRDefault="002338E6" w:rsidP="00746E40">
            <w:pPr>
              <w:rPr>
                <w:rFonts w:ascii="Times New Roman" w:hAnsi="Times New Roman" w:cs="Times New Roman"/>
                <w:sz w:val="20"/>
                <w:szCs w:val="20"/>
              </w:rPr>
            </w:pPr>
            <w:r w:rsidRPr="007C2663">
              <w:rPr>
                <w:rFonts w:ascii="Times New Roman" w:hAnsi="Times New Roman" w:cs="Times New Roman"/>
                <w:sz w:val="20"/>
                <w:szCs w:val="20"/>
              </w:rPr>
              <w:t>280 V</w:t>
            </w:r>
          </w:p>
        </w:tc>
      </w:tr>
      <w:tr w:rsidR="002338E6" w:rsidRPr="000137A1" w14:paraId="2EBDBE7E" w14:textId="77777777" w:rsidTr="00A52694">
        <w:trPr>
          <w:jc w:val="center"/>
        </w:trPr>
        <w:tc>
          <w:tcPr>
            <w:tcW w:w="3151" w:type="dxa"/>
          </w:tcPr>
          <w:p w14:paraId="309ED2A7" w14:textId="77777777" w:rsidR="002338E6" w:rsidRPr="007C2663" w:rsidRDefault="002338E6" w:rsidP="00746E40">
            <w:pPr>
              <w:rPr>
                <w:rFonts w:ascii="Times New Roman" w:hAnsi="Times New Roman" w:cs="Times New Roman"/>
                <w:sz w:val="20"/>
                <w:szCs w:val="20"/>
              </w:rPr>
            </w:pPr>
            <w:r w:rsidRPr="007C2663">
              <w:rPr>
                <w:rFonts w:ascii="Times New Roman" w:hAnsi="Times New Roman" w:cs="Times New Roman"/>
                <w:sz w:val="20"/>
                <w:szCs w:val="20"/>
              </w:rPr>
              <w:t>Rated capacity (Ah)</w:t>
            </w:r>
          </w:p>
        </w:tc>
        <w:tc>
          <w:tcPr>
            <w:tcW w:w="3259" w:type="dxa"/>
          </w:tcPr>
          <w:p w14:paraId="58040EEF" w14:textId="77777777" w:rsidR="002338E6" w:rsidRPr="007C2663" w:rsidRDefault="002338E6" w:rsidP="00746E40">
            <w:pPr>
              <w:rPr>
                <w:rFonts w:ascii="Times New Roman" w:hAnsi="Times New Roman" w:cs="Times New Roman"/>
                <w:sz w:val="20"/>
                <w:szCs w:val="20"/>
              </w:rPr>
            </w:pPr>
            <w:r w:rsidRPr="007C2663">
              <w:rPr>
                <w:rFonts w:ascii="Times New Roman" w:hAnsi="Times New Roman" w:cs="Times New Roman"/>
                <w:sz w:val="20"/>
                <w:szCs w:val="20"/>
              </w:rPr>
              <w:t>12 Ah</w:t>
            </w:r>
          </w:p>
        </w:tc>
      </w:tr>
      <w:tr w:rsidR="002338E6" w:rsidRPr="000137A1" w14:paraId="62DFB90A" w14:textId="77777777" w:rsidTr="00A52694">
        <w:trPr>
          <w:jc w:val="center"/>
        </w:trPr>
        <w:tc>
          <w:tcPr>
            <w:tcW w:w="3151" w:type="dxa"/>
          </w:tcPr>
          <w:p w14:paraId="4041AF2E" w14:textId="77777777" w:rsidR="002338E6" w:rsidRPr="007C2663" w:rsidRDefault="002338E6" w:rsidP="00746E40">
            <w:pPr>
              <w:rPr>
                <w:rFonts w:ascii="Times New Roman" w:hAnsi="Times New Roman" w:cs="Times New Roman"/>
                <w:sz w:val="20"/>
                <w:szCs w:val="20"/>
              </w:rPr>
            </w:pPr>
            <w:r w:rsidRPr="007C2663">
              <w:rPr>
                <w:rFonts w:ascii="Times New Roman" w:hAnsi="Times New Roman" w:cs="Times New Roman"/>
                <w:sz w:val="20"/>
                <w:szCs w:val="20"/>
              </w:rPr>
              <w:t>Wheel radius</w:t>
            </w:r>
          </w:p>
        </w:tc>
        <w:tc>
          <w:tcPr>
            <w:tcW w:w="3259" w:type="dxa"/>
          </w:tcPr>
          <w:p w14:paraId="32EA5586" w14:textId="77777777" w:rsidR="002338E6" w:rsidRPr="007C2663" w:rsidRDefault="002338E6" w:rsidP="00746E40">
            <w:pPr>
              <w:rPr>
                <w:rFonts w:ascii="Times New Roman" w:hAnsi="Times New Roman" w:cs="Times New Roman"/>
                <w:sz w:val="20"/>
                <w:szCs w:val="20"/>
              </w:rPr>
            </w:pPr>
            <w:r w:rsidRPr="007C2663">
              <w:rPr>
                <w:rFonts w:ascii="Times New Roman" w:hAnsi="Times New Roman" w:cs="Times New Roman"/>
                <w:sz w:val="20"/>
                <w:szCs w:val="20"/>
              </w:rPr>
              <w:t>0.3 m</w:t>
            </w:r>
          </w:p>
        </w:tc>
      </w:tr>
      <w:tr w:rsidR="002338E6" w:rsidRPr="000137A1" w14:paraId="07DD345F" w14:textId="77777777" w:rsidTr="00A52694">
        <w:trPr>
          <w:jc w:val="center"/>
        </w:trPr>
        <w:tc>
          <w:tcPr>
            <w:tcW w:w="3151" w:type="dxa"/>
          </w:tcPr>
          <w:p w14:paraId="3BCA99C9" w14:textId="77777777" w:rsidR="002338E6" w:rsidRPr="007C2663" w:rsidRDefault="002338E6" w:rsidP="00746E40">
            <w:pPr>
              <w:rPr>
                <w:rFonts w:ascii="Times New Roman" w:hAnsi="Times New Roman" w:cs="Times New Roman"/>
                <w:sz w:val="20"/>
                <w:szCs w:val="20"/>
              </w:rPr>
            </w:pPr>
            <w:r w:rsidRPr="007C2663">
              <w:rPr>
                <w:rFonts w:ascii="Times New Roman" w:hAnsi="Times New Roman" w:cs="Times New Roman"/>
                <w:sz w:val="20"/>
                <w:szCs w:val="20"/>
              </w:rPr>
              <w:t>Gear ratio</w:t>
            </w:r>
          </w:p>
        </w:tc>
        <w:tc>
          <w:tcPr>
            <w:tcW w:w="3259" w:type="dxa"/>
          </w:tcPr>
          <w:p w14:paraId="667A9619" w14:textId="77777777" w:rsidR="002338E6" w:rsidRPr="007C2663" w:rsidRDefault="002338E6" w:rsidP="00746E40">
            <w:pPr>
              <w:rPr>
                <w:rFonts w:ascii="Times New Roman" w:hAnsi="Times New Roman" w:cs="Times New Roman"/>
                <w:sz w:val="20"/>
                <w:szCs w:val="20"/>
              </w:rPr>
            </w:pPr>
            <w:r w:rsidRPr="007C2663">
              <w:rPr>
                <w:rFonts w:ascii="Times New Roman" w:hAnsi="Times New Roman" w:cs="Times New Roman"/>
                <w:sz w:val="20"/>
                <w:szCs w:val="20"/>
              </w:rPr>
              <w:t>10</w:t>
            </w:r>
          </w:p>
        </w:tc>
      </w:tr>
    </w:tbl>
    <w:p w14:paraId="012A35E5" w14:textId="15D77024" w:rsidR="00786803" w:rsidRDefault="00786803" w:rsidP="00CC2C38">
      <w:pPr>
        <w:pStyle w:val="IEEEParagraph"/>
        <w:rPr>
          <w:sz w:val="24"/>
        </w:rPr>
      </w:pPr>
    </w:p>
    <w:p w14:paraId="7F0FF556" w14:textId="4EBA5906" w:rsidR="00A443BC" w:rsidRPr="00CC38F4" w:rsidRDefault="002338E6" w:rsidP="00CC38F4">
      <w:pPr>
        <w:pStyle w:val="IEEEParagraph"/>
        <w:rPr>
          <w:sz w:val="24"/>
        </w:rPr>
      </w:pPr>
      <w:r w:rsidRPr="002338E6">
        <w:rPr>
          <w:sz w:val="24"/>
        </w:rPr>
        <w:t>The simulated model parameters are presented in Table 1. The rated values of the selected motor in Simulink are 6 Nm, 300 Vdc, and 4500 RPM. The vehicle has a wheel radius of 0.3 m and a total mass of 1200 kg.</w:t>
      </w:r>
    </w:p>
    <w:p w14:paraId="2243F395" w14:textId="60308556" w:rsidR="00B757B4" w:rsidRPr="00DF7074" w:rsidRDefault="00B757B4" w:rsidP="00C66488">
      <w:pPr>
        <w:pStyle w:val="IEEEHeading1"/>
        <w:jc w:val="left"/>
        <w:rPr>
          <w:sz w:val="24"/>
        </w:rPr>
      </w:pPr>
      <w:r w:rsidRPr="00DF7074">
        <w:rPr>
          <w:sz w:val="24"/>
        </w:rPr>
        <w:t>Results</w:t>
      </w:r>
    </w:p>
    <w:p w14:paraId="23E4610A" w14:textId="600BE774" w:rsidR="00B757B4" w:rsidRDefault="00467950" w:rsidP="000C3D46">
      <w:pPr>
        <w:pStyle w:val="IEEEParagraph"/>
        <w:ind w:firstLine="170"/>
        <w:rPr>
          <w:sz w:val="24"/>
        </w:rPr>
      </w:pPr>
      <w:r w:rsidRPr="00467950">
        <w:rPr>
          <w:sz w:val="24"/>
        </w:rPr>
        <w:t>The proposed model was simulated for a duration of 2.5 seconds. A key innovation of this study is the implementation of a converter control strategy governed by real-time motor torque. The operating modes are defined as follows:</w:t>
      </w:r>
    </w:p>
    <w:p w14:paraId="43BB251B" w14:textId="77777777" w:rsidR="00E10B77" w:rsidRDefault="00E10B77" w:rsidP="000C3D46">
      <w:pPr>
        <w:pStyle w:val="IEEEParagraph"/>
        <w:ind w:firstLine="170"/>
        <w:rPr>
          <w:sz w:val="24"/>
        </w:rPr>
      </w:pPr>
    </w:p>
    <w:p w14:paraId="153D9152" w14:textId="77777777" w:rsidR="009B5498" w:rsidRPr="000C0119" w:rsidRDefault="009B5498" w:rsidP="009B5498">
      <w:pPr>
        <w:jc w:val="both"/>
        <w:rPr>
          <w:rFonts w:ascii="Times New Roman" w:hAnsi="Times New Roman" w:cs="Times New Roman"/>
          <w:sz w:val="24"/>
          <w:szCs w:val="24"/>
        </w:rPr>
      </w:pPr>
      <w:r w:rsidRPr="000C0119">
        <w:rPr>
          <w:rFonts w:ascii="Times New Roman" w:hAnsi="Times New Roman" w:cs="Times New Roman"/>
          <w:sz w:val="24"/>
          <w:szCs w:val="24"/>
        </w:rPr>
        <w:t xml:space="preserve">If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e</m:t>
            </m:r>
          </m:sub>
        </m:sSub>
        <m:r>
          <w:rPr>
            <w:rFonts w:ascii="Cambria Math" w:hAnsi="Cambria Math" w:cs="Times New Roman"/>
            <w:sz w:val="24"/>
            <w:szCs w:val="24"/>
          </w:rPr>
          <m:t>&gt;0</m:t>
        </m:r>
      </m:oMath>
      <w:r w:rsidRPr="000C0119">
        <w:rPr>
          <w:rFonts w:ascii="Times New Roman" w:eastAsia="Cardo" w:hAnsi="Times New Roman" w:cs="Times New Roman"/>
          <w:sz w:val="24"/>
          <w:szCs w:val="24"/>
        </w:rPr>
        <w:t>: Motoring phase → Boost</w:t>
      </w:r>
      <w:r w:rsidRPr="000C0119">
        <w:rPr>
          <w:rFonts w:ascii="Times New Roman" w:hAnsi="Times New Roman" w:cs="Times New Roman"/>
          <w:sz w:val="24"/>
          <w:szCs w:val="24"/>
        </w:rPr>
        <w:t xml:space="preserve"> mode,</w:t>
      </w:r>
    </w:p>
    <w:p w14:paraId="75FCB607" w14:textId="77777777" w:rsidR="009B5498" w:rsidRPr="000C0119" w:rsidRDefault="009B5498" w:rsidP="009B5498">
      <w:pPr>
        <w:jc w:val="both"/>
        <w:rPr>
          <w:rFonts w:ascii="Times New Roman" w:hAnsi="Times New Roman" w:cs="Times New Roman"/>
          <w:sz w:val="24"/>
          <w:szCs w:val="24"/>
        </w:rPr>
      </w:pPr>
      <w:r w:rsidRPr="000C0119">
        <w:rPr>
          <w:rFonts w:ascii="Times New Roman" w:hAnsi="Times New Roman" w:cs="Times New Roman"/>
          <w:sz w:val="24"/>
          <w:szCs w:val="24"/>
        </w:rPr>
        <w:t xml:space="preserve">If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e</m:t>
            </m:r>
          </m:sub>
        </m:sSub>
        <m:r>
          <w:rPr>
            <w:rFonts w:ascii="Cambria Math" w:hAnsi="Cambria Math" w:cs="Times New Roman"/>
            <w:sz w:val="24"/>
            <w:szCs w:val="24"/>
          </w:rPr>
          <m:t>&lt;0</m:t>
        </m:r>
      </m:oMath>
      <w:r w:rsidRPr="000C0119">
        <w:rPr>
          <w:rFonts w:ascii="Times New Roman" w:eastAsia="Cardo" w:hAnsi="Times New Roman" w:cs="Times New Roman"/>
          <w:sz w:val="24"/>
          <w:szCs w:val="24"/>
        </w:rPr>
        <w:t>: Regenerative braking phase → Buck</w:t>
      </w:r>
      <w:r w:rsidRPr="000C0119">
        <w:rPr>
          <w:rFonts w:ascii="Times New Roman" w:hAnsi="Times New Roman" w:cs="Times New Roman"/>
          <w:sz w:val="24"/>
          <w:szCs w:val="24"/>
        </w:rPr>
        <w:t xml:space="preserve"> mode,</w:t>
      </w:r>
    </w:p>
    <w:p w14:paraId="65906F1C" w14:textId="7AE01011" w:rsidR="0006797B" w:rsidRDefault="009B5498" w:rsidP="009B5498">
      <w:pPr>
        <w:pStyle w:val="IEEEParagraph"/>
        <w:ind w:firstLine="170"/>
        <w:rPr>
          <w:sz w:val="24"/>
        </w:rPr>
      </w:pPr>
      <w:r w:rsidRPr="000C0119">
        <w:rPr>
          <w:sz w:val="24"/>
        </w:rPr>
        <w:t xml:space="preserve">where </w:t>
      </w:r>
      <m:oMath>
        <m:sSub>
          <m:sSubPr>
            <m:ctrlPr>
              <w:rPr>
                <w:rFonts w:ascii="Cambria Math" w:hAnsi="Cambria Math"/>
                <w:sz w:val="24"/>
              </w:rPr>
            </m:ctrlPr>
          </m:sSubPr>
          <m:e>
            <m:r>
              <w:rPr>
                <w:rFonts w:ascii="Cambria Math" w:hAnsi="Cambria Math"/>
                <w:sz w:val="24"/>
              </w:rPr>
              <m:t>T</m:t>
            </m:r>
          </m:e>
          <m:sub>
            <m:r>
              <w:rPr>
                <w:rFonts w:ascii="Cambria Math" w:hAnsi="Cambria Math"/>
                <w:sz w:val="24"/>
              </w:rPr>
              <m:t>e</m:t>
            </m:r>
          </m:sub>
        </m:sSub>
      </m:oMath>
      <w:r w:rsidRPr="000C0119">
        <w:rPr>
          <w:sz w:val="24"/>
        </w:rPr>
        <w:t xml:space="preserve"> is motor electrical torque.</w:t>
      </w:r>
    </w:p>
    <w:p w14:paraId="0EA59EF7" w14:textId="5CE432D3" w:rsidR="0006797B" w:rsidRDefault="004D1F20" w:rsidP="004D1F20">
      <w:pPr>
        <w:pStyle w:val="IEEEParagraph"/>
        <w:spacing w:before="240"/>
        <w:ind w:firstLine="170"/>
        <w:rPr>
          <w:sz w:val="24"/>
        </w:rPr>
      </w:pPr>
      <w:r w:rsidRPr="004D1F20">
        <w:rPr>
          <w:sz w:val="24"/>
        </w:rPr>
        <w:t>Buck mode refers to the regenerative phase in which energy flows from the DC link (high voltage) to the battery (low voltage) to charge the battery during braking. The battery voltage, as well as the converter capacitance (C) and inductance (L) values, are calculated for buck mode as follows:</w:t>
      </w:r>
    </w:p>
    <w:p w14:paraId="258DB674" w14:textId="77777777" w:rsidR="002808BA" w:rsidRPr="000C0119" w:rsidRDefault="002808BA" w:rsidP="002808BA">
      <w:pPr>
        <w:pStyle w:val="ResimYazs"/>
        <w:spacing w:before="240"/>
        <w:rPr>
          <w:i w:val="0"/>
          <w:color w:val="auto"/>
          <w:sz w:val="24"/>
          <w:szCs w:val="24"/>
        </w:rPr>
      </w:pPr>
      <m:oMathPara>
        <m:oMath>
          <m:eqArr>
            <m:eqArrPr>
              <m:maxDist m:val="1"/>
              <m:ctrlPr>
                <w:rPr>
                  <w:rFonts w:ascii="Cambria Math" w:hAnsi="Cambria Math"/>
                  <w:color w:val="auto"/>
                  <w:sz w:val="24"/>
                  <w:szCs w:val="24"/>
                </w:rPr>
              </m:ctrlPr>
            </m:eqArrPr>
            <m:e>
              <m:sSub>
                <m:sSubPr>
                  <m:ctrlPr>
                    <w:rPr>
                      <w:rFonts w:ascii="Cambria Math" w:hAnsi="Cambria Math"/>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B</m:t>
                  </m:r>
                </m:sub>
              </m:sSub>
              <m:r>
                <w:rPr>
                  <w:rFonts w:ascii="Cambria Math" w:hAnsi="Cambria Math"/>
                  <w:color w:val="auto"/>
                  <w:sz w:val="24"/>
                  <w:szCs w:val="24"/>
                </w:rPr>
                <m:t>=</m:t>
              </m:r>
              <m:sSub>
                <m:sSubPr>
                  <m:ctrlPr>
                    <w:rPr>
                      <w:rFonts w:ascii="Cambria Math" w:hAnsi="Cambria Math"/>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DC</m:t>
                  </m:r>
                </m:sub>
              </m:sSub>
              <m:r>
                <w:rPr>
                  <w:rFonts w:ascii="Cambria Math" w:hAnsi="Cambria Math"/>
                  <w:color w:val="auto"/>
                  <w:sz w:val="24"/>
                  <w:szCs w:val="24"/>
                </w:rPr>
                <m:t>×D #</m:t>
              </m:r>
              <m:d>
                <m:dPr>
                  <m:ctrlPr>
                    <w:rPr>
                      <w:rFonts w:ascii="Cambria Math" w:hAnsi="Cambria Math"/>
                      <w:color w:val="auto"/>
                      <w:sz w:val="24"/>
                      <w:szCs w:val="24"/>
                    </w:rPr>
                  </m:ctrlPr>
                </m:dPr>
                <m:e>
                  <m:r>
                    <w:rPr>
                      <w:rFonts w:ascii="Cambria Math" w:hAnsi="Cambria Math"/>
                      <w:color w:val="auto"/>
                      <w:sz w:val="24"/>
                      <w:szCs w:val="24"/>
                    </w:rPr>
                    <w:fldChar w:fldCharType="begin"/>
                  </m:r>
                  <m:r>
                    <w:rPr>
                      <w:rFonts w:ascii="Cambria Math" w:hAnsi="Cambria Math"/>
                      <w:color w:val="auto"/>
                      <w:sz w:val="24"/>
                      <w:szCs w:val="24"/>
                    </w:rPr>
                    <m:t xml:space="preserve"> SEQ Equation \* ARABIC </m:t>
                  </m:r>
                  <m:r>
                    <w:rPr>
                      <w:rFonts w:ascii="Cambria Math" w:hAnsi="Cambria Math"/>
                      <w:color w:val="auto"/>
                      <w:sz w:val="24"/>
                      <w:szCs w:val="24"/>
                    </w:rPr>
                    <w:fldChar w:fldCharType="separate"/>
                  </m:r>
                  <m:r>
                    <w:rPr>
                      <w:rFonts w:ascii="Cambria Math" w:hAnsi="Cambria Math"/>
                      <w:noProof/>
                      <w:color w:val="auto"/>
                      <w:sz w:val="24"/>
                      <w:szCs w:val="24"/>
                    </w:rPr>
                    <m:t>2</m:t>
                  </m:r>
                  <m:r>
                    <w:rPr>
                      <w:rFonts w:ascii="Cambria Math" w:hAnsi="Cambria Math"/>
                      <w:color w:val="auto"/>
                      <w:sz w:val="24"/>
                      <w:szCs w:val="24"/>
                    </w:rPr>
                    <w:fldChar w:fldCharType="end"/>
                  </m:r>
                </m:e>
              </m:d>
            </m:e>
          </m:eqArr>
        </m:oMath>
      </m:oMathPara>
    </w:p>
    <w:p w14:paraId="489D4F1D" w14:textId="77777777" w:rsidR="002808BA" w:rsidRPr="000C0119" w:rsidRDefault="002808BA" w:rsidP="002808BA">
      <w:pPr>
        <w:pStyle w:val="ResimYazs"/>
        <w:rPr>
          <w:i w:val="0"/>
          <w:color w:val="auto"/>
          <w:sz w:val="24"/>
          <w:szCs w:val="24"/>
        </w:rPr>
      </w:pPr>
      <m:oMathPara>
        <m:oMath>
          <m:eqArr>
            <m:eqArrPr>
              <m:maxDist m:val="1"/>
              <m:ctrlPr>
                <w:rPr>
                  <w:rFonts w:ascii="Cambria Math" w:hAnsi="Cambria Math"/>
                  <w:color w:val="auto"/>
                  <w:sz w:val="24"/>
                  <w:szCs w:val="24"/>
                </w:rPr>
              </m:ctrlPr>
            </m:eqArrPr>
            <m:e>
              <m:r>
                <w:rPr>
                  <w:rFonts w:ascii="Cambria Math" w:hAnsi="Cambria Math"/>
                  <w:color w:val="auto"/>
                  <w:sz w:val="24"/>
                  <w:szCs w:val="24"/>
                </w:rPr>
                <m:t>C=</m:t>
              </m:r>
              <m:f>
                <m:fPr>
                  <m:ctrlPr>
                    <w:rPr>
                      <w:rFonts w:ascii="Cambria Math" w:hAnsi="Cambria Math"/>
                      <w:color w:val="auto"/>
                      <w:sz w:val="24"/>
                      <w:szCs w:val="24"/>
                    </w:rPr>
                  </m:ctrlPr>
                </m:fPr>
                <m:num>
                  <m:d>
                    <m:dPr>
                      <m:ctrlPr>
                        <w:rPr>
                          <w:rFonts w:ascii="Cambria Math" w:hAnsi="Cambria Math"/>
                          <w:color w:val="auto"/>
                          <w:sz w:val="24"/>
                          <w:szCs w:val="24"/>
                        </w:rPr>
                      </m:ctrlPr>
                    </m:dPr>
                    <m:e>
                      <m:r>
                        <w:rPr>
                          <w:rFonts w:ascii="Cambria Math" w:hAnsi="Cambria Math"/>
                          <w:color w:val="auto"/>
                          <w:sz w:val="24"/>
                          <w:szCs w:val="24"/>
                        </w:rPr>
                        <m:t>1-D</m:t>
                      </m:r>
                    </m:e>
                  </m:d>
                  <m:sSub>
                    <m:sSubPr>
                      <m:ctrlPr>
                        <w:rPr>
                          <w:rFonts w:ascii="Cambria Math" w:hAnsi="Cambria Math"/>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B</m:t>
                      </m:r>
                    </m:sub>
                  </m:sSub>
                </m:num>
                <m:den>
                  <m:r>
                    <w:rPr>
                      <w:rFonts w:ascii="Cambria Math" w:hAnsi="Cambria Math"/>
                      <w:color w:val="auto"/>
                      <w:sz w:val="24"/>
                      <w:szCs w:val="24"/>
                    </w:rPr>
                    <m:t>8LΔ</m:t>
                  </m:r>
                  <m:sSub>
                    <m:sSubPr>
                      <m:ctrlPr>
                        <w:rPr>
                          <w:rFonts w:ascii="Cambria Math" w:hAnsi="Cambria Math"/>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B</m:t>
                      </m:r>
                    </m:sub>
                  </m:sSub>
                  <m:r>
                    <w:rPr>
                      <w:rFonts w:ascii="Cambria Math" w:hAnsi="Cambria Math"/>
                      <w:color w:val="auto"/>
                      <w:sz w:val="24"/>
                      <w:szCs w:val="24"/>
                    </w:rPr>
                    <m:t>f</m:t>
                  </m:r>
                </m:den>
              </m:f>
              <m:r>
                <w:rPr>
                  <w:rFonts w:ascii="Cambria Math" w:hAnsi="Cambria Math"/>
                  <w:color w:val="auto"/>
                  <w:sz w:val="24"/>
                  <w:szCs w:val="24"/>
                </w:rPr>
                <m:t>#</m:t>
              </m:r>
              <m:d>
                <m:dPr>
                  <m:ctrlPr>
                    <w:rPr>
                      <w:rFonts w:ascii="Cambria Math" w:hAnsi="Cambria Math"/>
                      <w:color w:val="auto"/>
                      <w:sz w:val="24"/>
                      <w:szCs w:val="24"/>
                    </w:rPr>
                  </m:ctrlPr>
                </m:dPr>
                <m:e>
                  <m:r>
                    <w:rPr>
                      <w:rFonts w:ascii="Cambria Math" w:hAnsi="Cambria Math"/>
                      <w:color w:val="auto"/>
                      <w:sz w:val="24"/>
                      <w:szCs w:val="24"/>
                    </w:rPr>
                    <w:fldChar w:fldCharType="begin"/>
                  </m:r>
                  <m:r>
                    <w:rPr>
                      <w:rFonts w:ascii="Cambria Math" w:hAnsi="Cambria Math"/>
                      <w:color w:val="auto"/>
                      <w:sz w:val="24"/>
                      <w:szCs w:val="24"/>
                    </w:rPr>
                    <m:t xml:space="preserve"> SEQ Equation \* ARABIC </m:t>
                  </m:r>
                  <m:r>
                    <w:rPr>
                      <w:rFonts w:ascii="Cambria Math" w:hAnsi="Cambria Math"/>
                      <w:color w:val="auto"/>
                      <w:sz w:val="24"/>
                      <w:szCs w:val="24"/>
                    </w:rPr>
                    <w:fldChar w:fldCharType="separate"/>
                  </m:r>
                  <m:r>
                    <w:rPr>
                      <w:rFonts w:ascii="Cambria Math" w:hAnsi="Cambria Math"/>
                      <w:noProof/>
                      <w:color w:val="auto"/>
                      <w:sz w:val="24"/>
                      <w:szCs w:val="24"/>
                    </w:rPr>
                    <m:t>3</m:t>
                  </m:r>
                  <m:r>
                    <w:rPr>
                      <w:rFonts w:ascii="Cambria Math" w:hAnsi="Cambria Math"/>
                      <w:color w:val="auto"/>
                      <w:sz w:val="24"/>
                      <w:szCs w:val="24"/>
                    </w:rPr>
                    <w:fldChar w:fldCharType="end"/>
                  </m:r>
                </m:e>
              </m:d>
            </m:e>
          </m:eqArr>
        </m:oMath>
      </m:oMathPara>
    </w:p>
    <w:p w14:paraId="55F0F69B" w14:textId="77777777" w:rsidR="002808BA" w:rsidRPr="000C0119" w:rsidRDefault="002808BA" w:rsidP="002808BA">
      <w:pPr>
        <w:pStyle w:val="ResimYazs"/>
        <w:rPr>
          <w:color w:val="auto"/>
          <w:sz w:val="24"/>
          <w:szCs w:val="24"/>
        </w:rPr>
      </w:pPr>
      <m:oMathPara>
        <m:oMath>
          <m:eqArr>
            <m:eqArrPr>
              <m:maxDist m:val="1"/>
              <m:ctrlPr>
                <w:rPr>
                  <w:rFonts w:ascii="Cambria Math" w:hAnsi="Cambria Math"/>
                  <w:color w:val="auto"/>
                  <w:sz w:val="24"/>
                  <w:szCs w:val="24"/>
                </w:rPr>
              </m:ctrlPr>
            </m:eqArrPr>
            <m:e>
              <m:r>
                <w:rPr>
                  <w:rFonts w:ascii="Cambria Math" w:hAnsi="Cambria Math"/>
                  <w:color w:val="auto"/>
                  <w:sz w:val="24"/>
                  <w:szCs w:val="24"/>
                </w:rPr>
                <m:t>L=</m:t>
              </m:r>
              <m:f>
                <m:fPr>
                  <m:ctrlPr>
                    <w:rPr>
                      <w:rFonts w:ascii="Cambria Math" w:hAnsi="Cambria Math"/>
                      <w:color w:val="auto"/>
                      <w:sz w:val="24"/>
                      <w:szCs w:val="24"/>
                    </w:rPr>
                  </m:ctrlPr>
                </m:fPr>
                <m:num>
                  <m:r>
                    <w:rPr>
                      <w:rFonts w:ascii="Cambria Math" w:hAnsi="Cambria Math"/>
                      <w:color w:val="auto"/>
                      <w:sz w:val="24"/>
                      <w:szCs w:val="24"/>
                    </w:rPr>
                    <m:t>D</m:t>
                  </m:r>
                  <m:d>
                    <m:dPr>
                      <m:ctrlPr>
                        <w:rPr>
                          <w:rFonts w:ascii="Cambria Math" w:hAnsi="Cambria Math"/>
                          <w:color w:val="auto"/>
                          <w:sz w:val="24"/>
                          <w:szCs w:val="24"/>
                        </w:rPr>
                      </m:ctrlPr>
                    </m:dPr>
                    <m:e>
                      <m:sSub>
                        <m:sSubPr>
                          <m:ctrlPr>
                            <w:rPr>
                              <w:rFonts w:ascii="Cambria Math" w:hAnsi="Cambria Math"/>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DC</m:t>
                          </m:r>
                        </m:sub>
                      </m:sSub>
                      <m:r>
                        <w:rPr>
                          <w:rFonts w:ascii="Cambria Math" w:hAnsi="Cambria Math"/>
                          <w:color w:val="auto"/>
                          <w:sz w:val="24"/>
                          <w:szCs w:val="24"/>
                        </w:rPr>
                        <m:t>-</m:t>
                      </m:r>
                      <m:sSub>
                        <m:sSubPr>
                          <m:ctrlPr>
                            <w:rPr>
                              <w:rFonts w:ascii="Cambria Math" w:hAnsi="Cambria Math"/>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B</m:t>
                          </m:r>
                        </m:sub>
                      </m:sSub>
                    </m:e>
                  </m:d>
                </m:num>
                <m:den>
                  <m:r>
                    <w:rPr>
                      <w:rFonts w:ascii="Cambria Math" w:hAnsi="Cambria Math"/>
                      <w:color w:val="auto"/>
                      <w:sz w:val="24"/>
                      <w:szCs w:val="24"/>
                    </w:rPr>
                    <m:t>Δ</m:t>
                  </m:r>
                  <m:sSub>
                    <m:sSubPr>
                      <m:ctrlPr>
                        <w:rPr>
                          <w:rFonts w:ascii="Cambria Math" w:hAnsi="Cambria Math"/>
                          <w:color w:val="auto"/>
                          <w:sz w:val="24"/>
                          <w:szCs w:val="24"/>
                        </w:rPr>
                      </m:ctrlPr>
                    </m:sSubPr>
                    <m:e>
                      <m:r>
                        <w:rPr>
                          <w:rFonts w:ascii="Cambria Math" w:hAnsi="Cambria Math"/>
                          <w:color w:val="auto"/>
                          <w:sz w:val="24"/>
                          <w:szCs w:val="24"/>
                        </w:rPr>
                        <m:t>I</m:t>
                      </m:r>
                    </m:e>
                    <m:sub>
                      <m:r>
                        <w:rPr>
                          <w:rFonts w:ascii="Cambria Math" w:hAnsi="Cambria Math"/>
                          <w:color w:val="auto"/>
                          <w:sz w:val="24"/>
                          <w:szCs w:val="24"/>
                        </w:rPr>
                        <m:t>L</m:t>
                      </m:r>
                    </m:sub>
                  </m:sSub>
                  <m:r>
                    <w:rPr>
                      <w:rFonts w:ascii="Cambria Math" w:hAnsi="Cambria Math"/>
                      <w:color w:val="auto"/>
                      <w:sz w:val="24"/>
                      <w:szCs w:val="24"/>
                    </w:rPr>
                    <m:t>f</m:t>
                  </m:r>
                </m:den>
              </m:f>
              <m:r>
                <w:rPr>
                  <w:rFonts w:ascii="Cambria Math" w:hAnsi="Cambria Math"/>
                  <w:color w:val="auto"/>
                  <w:sz w:val="24"/>
                  <w:szCs w:val="24"/>
                </w:rPr>
                <m:t>#</m:t>
              </m:r>
              <m:d>
                <m:dPr>
                  <m:ctrlPr>
                    <w:rPr>
                      <w:rFonts w:ascii="Cambria Math" w:hAnsi="Cambria Math"/>
                      <w:color w:val="auto"/>
                      <w:sz w:val="24"/>
                      <w:szCs w:val="24"/>
                    </w:rPr>
                  </m:ctrlPr>
                </m:dPr>
                <m:e>
                  <m:r>
                    <w:rPr>
                      <w:rFonts w:ascii="Cambria Math" w:hAnsi="Cambria Math"/>
                      <w:color w:val="auto"/>
                      <w:sz w:val="24"/>
                      <w:szCs w:val="24"/>
                    </w:rPr>
                    <w:fldChar w:fldCharType="begin"/>
                  </m:r>
                  <m:r>
                    <w:rPr>
                      <w:rFonts w:ascii="Cambria Math" w:hAnsi="Cambria Math"/>
                      <w:color w:val="auto"/>
                      <w:sz w:val="24"/>
                      <w:szCs w:val="24"/>
                    </w:rPr>
                    <m:t xml:space="preserve"> SEQ Equation \* ARABIC </m:t>
                  </m:r>
                  <m:r>
                    <w:rPr>
                      <w:rFonts w:ascii="Cambria Math" w:hAnsi="Cambria Math"/>
                      <w:color w:val="auto"/>
                      <w:sz w:val="24"/>
                      <w:szCs w:val="24"/>
                    </w:rPr>
                    <w:fldChar w:fldCharType="separate"/>
                  </m:r>
                  <m:r>
                    <w:rPr>
                      <w:rFonts w:ascii="Cambria Math" w:hAnsi="Cambria Math"/>
                      <w:noProof/>
                      <w:color w:val="auto"/>
                      <w:sz w:val="24"/>
                      <w:szCs w:val="24"/>
                    </w:rPr>
                    <m:t>4</m:t>
                  </m:r>
                  <m:r>
                    <w:rPr>
                      <w:rFonts w:ascii="Cambria Math" w:hAnsi="Cambria Math"/>
                      <w:color w:val="auto"/>
                      <w:sz w:val="24"/>
                      <w:szCs w:val="24"/>
                    </w:rPr>
                    <w:fldChar w:fldCharType="end"/>
                  </m:r>
                </m:e>
              </m:d>
            </m:e>
          </m:eqArr>
        </m:oMath>
      </m:oMathPara>
    </w:p>
    <w:p w14:paraId="20B742F0" w14:textId="003FBEA4" w:rsidR="0006797B" w:rsidRDefault="00B92F2B" w:rsidP="000C3D46">
      <w:pPr>
        <w:pStyle w:val="IEEEParagraph"/>
        <w:ind w:firstLine="170"/>
        <w:rPr>
          <w:sz w:val="24"/>
        </w:rPr>
      </w:pPr>
      <w:r w:rsidRPr="00B92F2B">
        <w:rPr>
          <w:sz w:val="24"/>
        </w:rPr>
        <w:t>Boost mode corresponds to the motoring phase, in which energy flows from the battery to the motor. The DC link voltage, capacitance (C), and inductance (L) values for this mode are calculated as follows:</w:t>
      </w:r>
    </w:p>
    <w:p w14:paraId="7F5B8BB7" w14:textId="77777777" w:rsidR="00D625A8" w:rsidRPr="000C0119" w:rsidRDefault="00D625A8" w:rsidP="00D625A8">
      <w:pPr>
        <w:pStyle w:val="ResimYazs"/>
        <w:spacing w:before="240"/>
        <w:rPr>
          <w:i w:val="0"/>
          <w:color w:val="auto"/>
          <w:sz w:val="24"/>
          <w:szCs w:val="24"/>
        </w:rPr>
      </w:pPr>
      <m:oMathPara>
        <m:oMath>
          <m:eqArr>
            <m:eqArrPr>
              <m:maxDist m:val="1"/>
              <m:ctrlPr>
                <w:rPr>
                  <w:rFonts w:ascii="Cambria Math" w:hAnsi="Cambria Math"/>
                  <w:i w:val="0"/>
                  <w:color w:val="auto"/>
                  <w:sz w:val="24"/>
                  <w:szCs w:val="24"/>
                </w:rPr>
              </m:ctrlPr>
            </m:eqArrPr>
            <m:e>
              <m:sSub>
                <m:sSubPr>
                  <m:ctrlPr>
                    <w:rPr>
                      <w:rFonts w:ascii="Cambria Math" w:hAnsi="Cambria Math"/>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DC</m:t>
                  </m:r>
                </m:sub>
              </m:sSub>
              <m:r>
                <w:rPr>
                  <w:rFonts w:ascii="Cambria Math" w:hAnsi="Cambria Math"/>
                  <w:color w:val="auto"/>
                  <w:sz w:val="24"/>
                  <w:szCs w:val="24"/>
                </w:rPr>
                <m:t>=</m:t>
              </m:r>
              <m:f>
                <m:fPr>
                  <m:ctrlPr>
                    <w:rPr>
                      <w:rFonts w:ascii="Cambria Math" w:hAnsi="Cambria Math"/>
                      <w:color w:val="auto"/>
                      <w:sz w:val="24"/>
                      <w:szCs w:val="24"/>
                    </w:rPr>
                  </m:ctrlPr>
                </m:fPr>
                <m:num>
                  <m:sSub>
                    <m:sSubPr>
                      <m:ctrlPr>
                        <w:rPr>
                          <w:rFonts w:ascii="Cambria Math" w:hAnsi="Cambria Math"/>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B</m:t>
                      </m:r>
                    </m:sub>
                  </m:sSub>
                </m:num>
                <m:den>
                  <m:d>
                    <m:dPr>
                      <m:ctrlPr>
                        <w:rPr>
                          <w:rFonts w:ascii="Cambria Math" w:hAnsi="Cambria Math"/>
                          <w:color w:val="auto"/>
                          <w:sz w:val="24"/>
                          <w:szCs w:val="24"/>
                        </w:rPr>
                      </m:ctrlPr>
                    </m:dPr>
                    <m:e>
                      <m:r>
                        <w:rPr>
                          <w:rFonts w:ascii="Cambria Math" w:hAnsi="Cambria Math"/>
                          <w:color w:val="auto"/>
                          <w:sz w:val="24"/>
                          <w:szCs w:val="24"/>
                        </w:rPr>
                        <m:t>1-D</m:t>
                      </m:r>
                    </m:e>
                  </m:d>
                </m:den>
              </m:f>
              <m:r>
                <w:rPr>
                  <w:rFonts w:ascii="Cambria Math" w:hAnsi="Cambria Math"/>
                  <w:color w:val="auto"/>
                  <w:sz w:val="24"/>
                  <w:szCs w:val="24"/>
                </w:rPr>
                <m:t>#</m:t>
              </m:r>
              <m:d>
                <m:dPr>
                  <m:ctrlPr>
                    <w:rPr>
                      <w:rFonts w:ascii="Cambria Math" w:hAnsi="Cambria Math"/>
                      <w:i w:val="0"/>
                      <w:color w:val="auto"/>
                      <w:sz w:val="24"/>
                      <w:szCs w:val="24"/>
                    </w:rPr>
                  </m:ctrlPr>
                </m:dPr>
                <m:e>
                  <m:r>
                    <m:rPr>
                      <m:sty m:val="p"/>
                    </m:rPr>
                    <w:rPr>
                      <w:rFonts w:ascii="Cambria Math" w:hAnsi="Cambria Math"/>
                      <w:i w:val="0"/>
                      <w:color w:val="auto"/>
                      <w:sz w:val="24"/>
                      <w:szCs w:val="24"/>
                    </w:rPr>
                    <w:fldChar w:fldCharType="begin"/>
                  </m:r>
                  <m:r>
                    <w:rPr>
                      <w:rFonts w:ascii="Cambria Math" w:hAnsi="Cambria Math"/>
                      <w:color w:val="auto"/>
                      <w:sz w:val="24"/>
                      <w:szCs w:val="24"/>
                    </w:rPr>
                    <m:t xml:space="preserve"> SEQ Equation \* ARABIC </m:t>
                  </m:r>
                  <m:r>
                    <m:rPr>
                      <m:sty m:val="p"/>
                    </m:rPr>
                    <w:rPr>
                      <w:rFonts w:ascii="Cambria Math" w:hAnsi="Cambria Math"/>
                      <w:i w:val="0"/>
                      <w:color w:val="auto"/>
                      <w:sz w:val="24"/>
                      <w:szCs w:val="24"/>
                    </w:rPr>
                    <w:fldChar w:fldCharType="separate"/>
                  </m:r>
                  <m:r>
                    <w:rPr>
                      <w:rFonts w:ascii="Cambria Math" w:hAnsi="Cambria Math"/>
                      <w:noProof/>
                      <w:color w:val="auto"/>
                      <w:sz w:val="24"/>
                      <w:szCs w:val="24"/>
                    </w:rPr>
                    <m:t>5</m:t>
                  </m:r>
                  <m:r>
                    <m:rPr>
                      <m:sty m:val="p"/>
                    </m:rPr>
                    <w:rPr>
                      <w:rFonts w:ascii="Cambria Math" w:hAnsi="Cambria Math"/>
                      <w:i w:val="0"/>
                      <w:color w:val="auto"/>
                      <w:sz w:val="24"/>
                      <w:szCs w:val="24"/>
                    </w:rPr>
                    <w:fldChar w:fldCharType="end"/>
                  </m:r>
                </m:e>
              </m:d>
              <m:ctrlPr>
                <w:rPr>
                  <w:rFonts w:ascii="Cambria Math" w:hAnsi="Cambria Math"/>
                  <w:color w:val="auto"/>
                  <w:sz w:val="24"/>
                  <w:szCs w:val="24"/>
                </w:rPr>
              </m:ctrlPr>
            </m:e>
          </m:eqArr>
        </m:oMath>
      </m:oMathPara>
    </w:p>
    <w:p w14:paraId="760BF426" w14:textId="77777777" w:rsidR="00D625A8" w:rsidRPr="000C0119" w:rsidRDefault="00D625A8" w:rsidP="00D625A8">
      <w:pPr>
        <w:pStyle w:val="ResimYazs"/>
        <w:rPr>
          <w:i w:val="0"/>
          <w:color w:val="auto"/>
          <w:sz w:val="24"/>
          <w:szCs w:val="24"/>
        </w:rPr>
      </w:pPr>
      <m:oMathPara>
        <m:oMath>
          <m:eqArr>
            <m:eqArrPr>
              <m:maxDist m:val="1"/>
              <m:ctrlPr>
                <w:rPr>
                  <w:rFonts w:ascii="Cambria Math" w:hAnsi="Cambria Math"/>
                  <w:i w:val="0"/>
                  <w:color w:val="auto"/>
                  <w:sz w:val="24"/>
                  <w:szCs w:val="24"/>
                </w:rPr>
              </m:ctrlPr>
            </m:eqArrPr>
            <m:e>
              <m:r>
                <w:rPr>
                  <w:rFonts w:ascii="Cambria Math" w:hAnsi="Cambria Math"/>
                  <w:color w:val="auto"/>
                  <w:sz w:val="24"/>
                  <w:szCs w:val="24"/>
                </w:rPr>
                <m:t>C=</m:t>
              </m:r>
              <m:f>
                <m:fPr>
                  <m:ctrlPr>
                    <w:rPr>
                      <w:rFonts w:ascii="Cambria Math" w:hAnsi="Cambria Math"/>
                      <w:color w:val="auto"/>
                      <w:sz w:val="24"/>
                      <w:szCs w:val="24"/>
                    </w:rPr>
                  </m:ctrlPr>
                </m:fPr>
                <m:num>
                  <m:r>
                    <w:rPr>
                      <w:rFonts w:ascii="Cambria Math" w:hAnsi="Cambria Math"/>
                      <w:color w:val="auto"/>
                      <w:sz w:val="24"/>
                      <w:szCs w:val="24"/>
                    </w:rPr>
                    <m:t>D×</m:t>
                  </m:r>
                  <m:sSub>
                    <m:sSubPr>
                      <m:ctrlPr>
                        <w:rPr>
                          <w:rFonts w:ascii="Cambria Math" w:hAnsi="Cambria Math"/>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DC</m:t>
                      </m:r>
                    </m:sub>
                  </m:sSub>
                </m:num>
                <m:den>
                  <m:sSub>
                    <m:sSubPr>
                      <m:ctrlPr>
                        <w:rPr>
                          <w:rFonts w:ascii="Cambria Math" w:hAnsi="Cambria Math"/>
                          <w:color w:val="auto"/>
                          <w:sz w:val="24"/>
                          <w:szCs w:val="24"/>
                        </w:rPr>
                      </m:ctrlPr>
                    </m:sSubPr>
                    <m:e>
                      <m:r>
                        <w:rPr>
                          <w:rFonts w:ascii="Cambria Math" w:hAnsi="Cambria Math"/>
                          <w:color w:val="auto"/>
                          <w:sz w:val="24"/>
                          <w:szCs w:val="24"/>
                        </w:rPr>
                        <m:t>R</m:t>
                      </m:r>
                    </m:e>
                    <m:sub>
                      <m:r>
                        <w:rPr>
                          <w:rFonts w:ascii="Cambria Math" w:hAnsi="Cambria Math"/>
                          <w:color w:val="auto"/>
                          <w:sz w:val="24"/>
                          <w:szCs w:val="24"/>
                        </w:rPr>
                        <m:t>out</m:t>
                      </m:r>
                    </m:sub>
                  </m:sSub>
                  <m:r>
                    <w:rPr>
                      <w:rFonts w:ascii="Cambria Math" w:hAnsi="Cambria Math"/>
                      <w:color w:val="auto"/>
                      <w:sz w:val="24"/>
                      <w:szCs w:val="24"/>
                    </w:rPr>
                    <m:t>Δ</m:t>
                  </m:r>
                  <m:sSub>
                    <m:sSubPr>
                      <m:ctrlPr>
                        <w:rPr>
                          <w:rFonts w:ascii="Cambria Math" w:hAnsi="Cambria Math"/>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DC</m:t>
                      </m:r>
                    </m:sub>
                  </m:sSub>
                  <m:r>
                    <w:rPr>
                      <w:rFonts w:ascii="Cambria Math" w:hAnsi="Cambria Math"/>
                      <w:color w:val="auto"/>
                      <w:sz w:val="24"/>
                      <w:szCs w:val="24"/>
                    </w:rPr>
                    <m:t>f</m:t>
                  </m:r>
                </m:den>
              </m:f>
              <m:r>
                <w:rPr>
                  <w:rFonts w:ascii="Cambria Math" w:hAnsi="Cambria Math"/>
                  <w:color w:val="auto"/>
                  <w:sz w:val="24"/>
                  <w:szCs w:val="24"/>
                </w:rPr>
                <m:t>#</m:t>
              </m:r>
              <m:d>
                <m:dPr>
                  <m:ctrlPr>
                    <w:rPr>
                      <w:rFonts w:ascii="Cambria Math" w:hAnsi="Cambria Math"/>
                      <w:i w:val="0"/>
                      <w:color w:val="auto"/>
                      <w:sz w:val="24"/>
                      <w:szCs w:val="24"/>
                    </w:rPr>
                  </m:ctrlPr>
                </m:dPr>
                <m:e>
                  <m:r>
                    <m:rPr>
                      <m:sty m:val="p"/>
                    </m:rPr>
                    <w:rPr>
                      <w:rFonts w:ascii="Cambria Math" w:hAnsi="Cambria Math"/>
                      <w:i w:val="0"/>
                      <w:color w:val="auto"/>
                      <w:sz w:val="24"/>
                      <w:szCs w:val="24"/>
                    </w:rPr>
                    <w:fldChar w:fldCharType="begin"/>
                  </m:r>
                  <m:r>
                    <w:rPr>
                      <w:rFonts w:ascii="Cambria Math" w:hAnsi="Cambria Math"/>
                      <w:color w:val="auto"/>
                      <w:sz w:val="24"/>
                      <w:szCs w:val="24"/>
                    </w:rPr>
                    <m:t xml:space="preserve"> SEQ Equation \* ARABIC </m:t>
                  </m:r>
                  <m:r>
                    <m:rPr>
                      <m:sty m:val="p"/>
                    </m:rPr>
                    <w:rPr>
                      <w:rFonts w:ascii="Cambria Math" w:hAnsi="Cambria Math"/>
                      <w:i w:val="0"/>
                      <w:color w:val="auto"/>
                      <w:sz w:val="24"/>
                      <w:szCs w:val="24"/>
                    </w:rPr>
                    <w:fldChar w:fldCharType="separate"/>
                  </m:r>
                  <m:r>
                    <w:rPr>
                      <w:rFonts w:ascii="Cambria Math" w:hAnsi="Cambria Math"/>
                      <w:noProof/>
                      <w:color w:val="auto"/>
                      <w:sz w:val="24"/>
                      <w:szCs w:val="24"/>
                    </w:rPr>
                    <m:t>6</m:t>
                  </m:r>
                  <m:r>
                    <m:rPr>
                      <m:sty m:val="p"/>
                    </m:rPr>
                    <w:rPr>
                      <w:rFonts w:ascii="Cambria Math" w:hAnsi="Cambria Math"/>
                      <w:i w:val="0"/>
                      <w:color w:val="auto"/>
                      <w:sz w:val="24"/>
                      <w:szCs w:val="24"/>
                    </w:rPr>
                    <w:fldChar w:fldCharType="end"/>
                  </m:r>
                </m:e>
              </m:d>
              <m:ctrlPr>
                <w:rPr>
                  <w:rFonts w:ascii="Cambria Math" w:hAnsi="Cambria Math"/>
                  <w:color w:val="auto"/>
                  <w:sz w:val="24"/>
                  <w:szCs w:val="24"/>
                </w:rPr>
              </m:ctrlPr>
            </m:e>
          </m:eqArr>
        </m:oMath>
      </m:oMathPara>
    </w:p>
    <w:p w14:paraId="43A23BA2" w14:textId="77777777" w:rsidR="00D625A8" w:rsidRPr="000C0119" w:rsidRDefault="00D625A8" w:rsidP="00D625A8">
      <w:pPr>
        <w:pStyle w:val="ResimYazs"/>
        <w:rPr>
          <w:i w:val="0"/>
          <w:sz w:val="24"/>
          <w:szCs w:val="24"/>
        </w:rPr>
      </w:pPr>
      <m:oMathPara>
        <m:oMath>
          <m:eqArr>
            <m:eqArrPr>
              <m:maxDist m:val="1"/>
              <m:ctrlPr>
                <w:rPr>
                  <w:rFonts w:ascii="Cambria Math" w:hAnsi="Cambria Math"/>
                  <w:i w:val="0"/>
                  <w:color w:val="auto"/>
                  <w:sz w:val="24"/>
                  <w:szCs w:val="24"/>
                </w:rPr>
              </m:ctrlPr>
            </m:eqArrPr>
            <m:e>
              <m:r>
                <w:rPr>
                  <w:rFonts w:ascii="Cambria Math" w:hAnsi="Cambria Math"/>
                  <w:color w:val="auto"/>
                  <w:sz w:val="24"/>
                  <w:szCs w:val="24"/>
                </w:rPr>
                <m:t>L=</m:t>
              </m:r>
              <m:f>
                <m:fPr>
                  <m:ctrlPr>
                    <w:rPr>
                      <w:rFonts w:ascii="Cambria Math" w:hAnsi="Cambria Math"/>
                      <w:color w:val="auto"/>
                      <w:sz w:val="24"/>
                      <w:szCs w:val="24"/>
                    </w:rPr>
                  </m:ctrlPr>
                </m:fPr>
                <m:num>
                  <m:sSub>
                    <m:sSubPr>
                      <m:ctrlPr>
                        <w:rPr>
                          <w:rFonts w:ascii="Cambria Math" w:hAnsi="Cambria Math"/>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B</m:t>
                      </m:r>
                    </m:sub>
                  </m:sSub>
                  <m:r>
                    <w:rPr>
                      <w:rFonts w:ascii="Cambria Math" w:hAnsi="Cambria Math"/>
                      <w:color w:val="auto"/>
                      <w:sz w:val="24"/>
                      <w:szCs w:val="24"/>
                    </w:rPr>
                    <m:t>×D</m:t>
                  </m:r>
                </m:num>
                <m:den>
                  <m:r>
                    <w:rPr>
                      <w:rFonts w:ascii="Cambria Math" w:hAnsi="Cambria Math"/>
                      <w:color w:val="auto"/>
                      <w:sz w:val="24"/>
                      <w:szCs w:val="24"/>
                    </w:rPr>
                    <m:t>Δ</m:t>
                  </m:r>
                  <m:sSub>
                    <m:sSubPr>
                      <m:ctrlPr>
                        <w:rPr>
                          <w:rFonts w:ascii="Cambria Math" w:hAnsi="Cambria Math"/>
                          <w:color w:val="auto"/>
                          <w:sz w:val="24"/>
                          <w:szCs w:val="24"/>
                        </w:rPr>
                      </m:ctrlPr>
                    </m:sSubPr>
                    <m:e>
                      <m:r>
                        <w:rPr>
                          <w:rFonts w:ascii="Cambria Math" w:hAnsi="Cambria Math"/>
                          <w:color w:val="auto"/>
                          <w:sz w:val="24"/>
                          <w:szCs w:val="24"/>
                        </w:rPr>
                        <m:t>I</m:t>
                      </m:r>
                    </m:e>
                    <m:sub>
                      <m:r>
                        <w:rPr>
                          <w:rFonts w:ascii="Cambria Math" w:hAnsi="Cambria Math"/>
                          <w:color w:val="auto"/>
                          <w:sz w:val="24"/>
                          <w:szCs w:val="24"/>
                        </w:rPr>
                        <m:t>L</m:t>
                      </m:r>
                    </m:sub>
                  </m:sSub>
                  <m:r>
                    <w:rPr>
                      <w:rFonts w:ascii="Cambria Math" w:hAnsi="Cambria Math"/>
                      <w:color w:val="auto"/>
                      <w:sz w:val="24"/>
                      <w:szCs w:val="24"/>
                    </w:rPr>
                    <m:t>f</m:t>
                  </m:r>
                </m:den>
              </m:f>
              <m:r>
                <w:rPr>
                  <w:rFonts w:ascii="Cambria Math" w:hAnsi="Cambria Math"/>
                  <w:color w:val="auto"/>
                  <w:sz w:val="24"/>
                  <w:szCs w:val="24"/>
                </w:rPr>
                <m:t>#</m:t>
              </m:r>
              <m:d>
                <m:dPr>
                  <m:ctrlPr>
                    <w:rPr>
                      <w:rFonts w:ascii="Cambria Math" w:hAnsi="Cambria Math"/>
                      <w:i w:val="0"/>
                      <w:color w:val="auto"/>
                      <w:sz w:val="24"/>
                      <w:szCs w:val="24"/>
                    </w:rPr>
                  </m:ctrlPr>
                </m:dPr>
                <m:e>
                  <m:r>
                    <m:rPr>
                      <m:sty m:val="p"/>
                    </m:rPr>
                    <w:rPr>
                      <w:rFonts w:ascii="Cambria Math" w:hAnsi="Cambria Math"/>
                      <w:i w:val="0"/>
                      <w:color w:val="auto"/>
                      <w:sz w:val="24"/>
                      <w:szCs w:val="24"/>
                    </w:rPr>
                    <w:fldChar w:fldCharType="begin"/>
                  </m:r>
                  <m:r>
                    <w:rPr>
                      <w:rFonts w:ascii="Cambria Math" w:hAnsi="Cambria Math"/>
                      <w:color w:val="auto"/>
                      <w:sz w:val="24"/>
                      <w:szCs w:val="24"/>
                    </w:rPr>
                    <m:t xml:space="preserve"> SEQ Equation \* ARABIC </m:t>
                  </m:r>
                  <m:r>
                    <m:rPr>
                      <m:sty m:val="p"/>
                    </m:rPr>
                    <w:rPr>
                      <w:rFonts w:ascii="Cambria Math" w:hAnsi="Cambria Math"/>
                      <w:i w:val="0"/>
                      <w:color w:val="auto"/>
                      <w:sz w:val="24"/>
                      <w:szCs w:val="24"/>
                    </w:rPr>
                    <w:fldChar w:fldCharType="separate"/>
                  </m:r>
                  <m:r>
                    <w:rPr>
                      <w:rFonts w:ascii="Cambria Math" w:hAnsi="Cambria Math"/>
                      <w:noProof/>
                      <w:color w:val="auto"/>
                      <w:sz w:val="24"/>
                      <w:szCs w:val="24"/>
                    </w:rPr>
                    <m:t>7</m:t>
                  </m:r>
                  <m:r>
                    <m:rPr>
                      <m:sty m:val="p"/>
                    </m:rPr>
                    <w:rPr>
                      <w:rFonts w:ascii="Cambria Math" w:hAnsi="Cambria Math"/>
                      <w:i w:val="0"/>
                      <w:color w:val="auto"/>
                      <w:sz w:val="24"/>
                      <w:szCs w:val="24"/>
                    </w:rPr>
                    <w:fldChar w:fldCharType="end"/>
                  </m:r>
                </m:e>
              </m:d>
              <m:ctrlPr>
                <w:rPr>
                  <w:rFonts w:ascii="Cambria Math" w:hAnsi="Cambria Math"/>
                  <w:color w:val="auto"/>
                  <w:sz w:val="24"/>
                  <w:szCs w:val="24"/>
                </w:rPr>
              </m:ctrlPr>
            </m:e>
          </m:eqArr>
        </m:oMath>
      </m:oMathPara>
    </w:p>
    <w:p w14:paraId="05C83C39" w14:textId="6D33A8D9" w:rsidR="002808BA" w:rsidRDefault="000615A5" w:rsidP="000C3D46">
      <w:pPr>
        <w:pStyle w:val="IEEEParagraph"/>
        <w:ind w:firstLine="170"/>
        <w:rPr>
          <w:sz w:val="24"/>
        </w:rPr>
      </w:pPr>
      <w:r w:rsidRPr="000615A5">
        <w:rPr>
          <w:sz w:val="24"/>
        </w:rPr>
        <w:t>The inductance (L) and capacitance (C) are calculated separately for both buck and boost modes. The L and C values of the bidirectional converter are then determined by selecting the maximum calculated values from these two modes. In this study, the key performance indicators (KPIs) monitored include the battery state of charge (SOC), recovered energy, and the system’s speed and torque responses.</w:t>
      </w:r>
    </w:p>
    <w:p w14:paraId="54A05E3D" w14:textId="77777777" w:rsidR="0058202F" w:rsidRPr="00213C02" w:rsidRDefault="0058202F" w:rsidP="0058202F">
      <w:pPr>
        <w:spacing w:line="240" w:lineRule="auto"/>
        <w:jc w:val="center"/>
        <w:rPr>
          <w:rFonts w:ascii="Times New Roman" w:hAnsi="Times New Roman" w:cs="Times New Roman"/>
          <w:sz w:val="24"/>
          <w:szCs w:val="24"/>
        </w:rPr>
      </w:pPr>
      <w:r w:rsidRPr="00213C02">
        <w:rPr>
          <w:rFonts w:ascii="Times New Roman" w:hAnsi="Times New Roman" w:cs="Times New Roman"/>
          <w:noProof/>
          <w:sz w:val="24"/>
          <w:szCs w:val="24"/>
        </w:rPr>
        <w:drawing>
          <wp:inline distT="114300" distB="114300" distL="114300" distR="114300" wp14:anchorId="274C37C8" wp14:editId="3204C388">
            <wp:extent cx="4572000" cy="257175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4590290" cy="2582038"/>
                    </a:xfrm>
                    <a:prstGeom prst="rect">
                      <a:avLst/>
                    </a:prstGeom>
                    <a:ln/>
                  </pic:spPr>
                </pic:pic>
              </a:graphicData>
            </a:graphic>
          </wp:inline>
        </w:drawing>
      </w:r>
    </w:p>
    <w:p w14:paraId="6554DDCC" w14:textId="411B0FC2" w:rsidR="002808BA" w:rsidRDefault="00670936" w:rsidP="003C65AA">
      <w:pPr>
        <w:pStyle w:val="IEEEParagraph"/>
        <w:spacing w:before="240" w:after="240"/>
        <w:ind w:firstLine="170"/>
        <w:jc w:val="center"/>
        <w:rPr>
          <w:sz w:val="24"/>
        </w:rPr>
      </w:pPr>
      <w:r w:rsidRPr="00670936">
        <w:t>Fig. 3 The battery state-of-charge for both converters</w:t>
      </w:r>
    </w:p>
    <w:p w14:paraId="42D7E211" w14:textId="340BFA28" w:rsidR="002808BA" w:rsidRDefault="003C65AA" w:rsidP="000C3D46">
      <w:pPr>
        <w:pStyle w:val="IEEEParagraph"/>
        <w:ind w:firstLine="170"/>
        <w:rPr>
          <w:sz w:val="24"/>
        </w:rPr>
      </w:pPr>
      <w:r w:rsidRPr="003C65AA">
        <w:rPr>
          <w:sz w:val="24"/>
        </w:rPr>
        <w:t>Both converters are capable of regenerating energy under negative torque; however, the bidirectional converter is significantly more effective than the unidirectional converter in retaining this energy.</w:t>
      </w:r>
    </w:p>
    <w:p w14:paraId="43D78D39" w14:textId="77777777" w:rsidR="001C0496" w:rsidRPr="00213C02" w:rsidRDefault="001C0496" w:rsidP="001C0496">
      <w:pPr>
        <w:spacing w:line="240" w:lineRule="auto"/>
        <w:jc w:val="center"/>
        <w:rPr>
          <w:rFonts w:ascii="Times New Roman" w:hAnsi="Times New Roman" w:cs="Times New Roman"/>
          <w:sz w:val="24"/>
          <w:szCs w:val="24"/>
        </w:rPr>
      </w:pPr>
      <w:r w:rsidRPr="00213C02">
        <w:rPr>
          <w:rFonts w:ascii="Times New Roman" w:hAnsi="Times New Roman" w:cs="Times New Roman"/>
          <w:noProof/>
          <w:sz w:val="24"/>
          <w:szCs w:val="24"/>
        </w:rPr>
        <w:lastRenderedPageBreak/>
        <w:drawing>
          <wp:inline distT="114300" distB="114300" distL="114300" distR="114300" wp14:anchorId="3B1B3E41" wp14:editId="1F30101E">
            <wp:extent cx="4248150" cy="264795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4284392" cy="2670540"/>
                    </a:xfrm>
                    <a:prstGeom prst="rect">
                      <a:avLst/>
                    </a:prstGeom>
                    <a:ln/>
                  </pic:spPr>
                </pic:pic>
              </a:graphicData>
            </a:graphic>
          </wp:inline>
        </w:drawing>
      </w:r>
    </w:p>
    <w:p w14:paraId="650E8EBC" w14:textId="7AC09EFD" w:rsidR="0006797B" w:rsidRPr="001C0496" w:rsidRDefault="001C0496" w:rsidP="001C0496">
      <w:pPr>
        <w:pStyle w:val="IEEEParagraph"/>
        <w:spacing w:before="240" w:after="240"/>
        <w:ind w:firstLine="170"/>
        <w:jc w:val="center"/>
        <w:rPr>
          <w:sz w:val="24"/>
        </w:rPr>
      </w:pPr>
      <w:r w:rsidRPr="001C0496">
        <w:t>Fig</w:t>
      </w:r>
      <w:r w:rsidRPr="001C0496">
        <w:t>.</w:t>
      </w:r>
      <w:r w:rsidRPr="001C0496">
        <w:t xml:space="preserve"> 4</w:t>
      </w:r>
      <w:r>
        <w:t xml:space="preserve"> </w:t>
      </w:r>
      <w:r w:rsidRPr="001C0496">
        <w:t>Reference speed and unidirectional and bidirect</w:t>
      </w:r>
      <w:r>
        <w:t>ional converter speed responses</w:t>
      </w:r>
    </w:p>
    <w:p w14:paraId="3CEC4CF7" w14:textId="56EF2A35" w:rsidR="0006797B" w:rsidRDefault="00594046" w:rsidP="000C3D46">
      <w:pPr>
        <w:pStyle w:val="IEEEParagraph"/>
        <w:ind w:firstLine="170"/>
        <w:rPr>
          <w:sz w:val="24"/>
        </w:rPr>
      </w:pPr>
      <w:r w:rsidRPr="00594046">
        <w:rPr>
          <w:sz w:val="24"/>
        </w:rPr>
        <w:t>Figure 4 illustrates the speed response of the reference and compared converters under the applied road profile. In both cases, the speed tracking performance is satisfactory, as each converter employs a field-oriented control (FOC) strategy combined with a proportional–integral (PI) controller.</w:t>
      </w:r>
    </w:p>
    <w:p w14:paraId="616353F2" w14:textId="77777777" w:rsidR="00613928" w:rsidRPr="00213C02" w:rsidRDefault="00613928" w:rsidP="00613928">
      <w:pPr>
        <w:jc w:val="both"/>
        <w:rPr>
          <w:rFonts w:ascii="Times New Roman" w:hAnsi="Times New Roman" w:cs="Times New Roman"/>
          <w:sz w:val="24"/>
          <w:szCs w:val="24"/>
        </w:rPr>
      </w:pPr>
    </w:p>
    <w:p w14:paraId="3A98474D" w14:textId="77777777" w:rsidR="00613928" w:rsidRPr="00213C02" w:rsidRDefault="00613928" w:rsidP="00613928">
      <w:pPr>
        <w:jc w:val="center"/>
        <w:rPr>
          <w:rFonts w:ascii="Times New Roman" w:hAnsi="Times New Roman" w:cs="Times New Roman"/>
          <w:sz w:val="24"/>
          <w:szCs w:val="24"/>
        </w:rPr>
      </w:pPr>
      <w:r w:rsidRPr="00213C02">
        <w:rPr>
          <w:rFonts w:ascii="Times New Roman" w:hAnsi="Times New Roman" w:cs="Times New Roman"/>
          <w:noProof/>
          <w:sz w:val="24"/>
          <w:szCs w:val="24"/>
        </w:rPr>
        <w:drawing>
          <wp:inline distT="114300" distB="114300" distL="114300" distR="114300" wp14:anchorId="787E15B0" wp14:editId="18130257">
            <wp:extent cx="4206240" cy="2584174"/>
            <wp:effectExtent l="0" t="0" r="3810" b="6985"/>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4228764" cy="2598012"/>
                    </a:xfrm>
                    <a:prstGeom prst="rect">
                      <a:avLst/>
                    </a:prstGeom>
                    <a:ln/>
                  </pic:spPr>
                </pic:pic>
              </a:graphicData>
            </a:graphic>
          </wp:inline>
        </w:drawing>
      </w:r>
    </w:p>
    <w:p w14:paraId="7EF42D62" w14:textId="5C65A8A3" w:rsidR="00613928" w:rsidRPr="00613928" w:rsidRDefault="00613928" w:rsidP="007158D7">
      <w:pPr>
        <w:spacing w:before="240"/>
        <w:jc w:val="center"/>
        <w:rPr>
          <w:rFonts w:ascii="Times New Roman" w:hAnsi="Times New Roman" w:cs="Times New Roman"/>
          <w:sz w:val="24"/>
          <w:szCs w:val="24"/>
        </w:rPr>
      </w:pPr>
      <w:r w:rsidRPr="00613928">
        <w:rPr>
          <w:rFonts w:ascii="Times New Roman" w:hAnsi="Times New Roman" w:cs="Times New Roman"/>
          <w:sz w:val="20"/>
          <w:szCs w:val="24"/>
        </w:rPr>
        <w:t>Fig</w:t>
      </w:r>
      <w:r w:rsidRPr="00613928">
        <w:rPr>
          <w:rFonts w:ascii="Times New Roman" w:hAnsi="Times New Roman" w:cs="Times New Roman"/>
          <w:sz w:val="20"/>
          <w:szCs w:val="24"/>
        </w:rPr>
        <w:t>. 5</w:t>
      </w:r>
      <w:r w:rsidRPr="00613928">
        <w:rPr>
          <w:rFonts w:ascii="Times New Roman" w:hAnsi="Times New Roman" w:cs="Times New Roman"/>
          <w:sz w:val="20"/>
          <w:szCs w:val="24"/>
        </w:rPr>
        <w:t xml:space="preserve"> The torque responses for both converter with reference torque</w:t>
      </w:r>
    </w:p>
    <w:p w14:paraId="30330959" w14:textId="4688691E" w:rsidR="00594046" w:rsidRDefault="00D9233F" w:rsidP="000C3D46">
      <w:pPr>
        <w:pStyle w:val="IEEEParagraph"/>
        <w:ind w:firstLine="170"/>
        <w:rPr>
          <w:sz w:val="24"/>
        </w:rPr>
      </w:pPr>
      <w:r w:rsidRPr="00D9233F">
        <w:rPr>
          <w:sz w:val="24"/>
        </w:rPr>
        <w:t>Figure 5 presents the torque response of the two converter types under the applied load profile. During braking, the torque becomes negative, activating boost mode and initiating energy recovery. The smooth transition between acceleration and regenerative braking phases confirms the effectiveness of the dual-mode operation.</w:t>
      </w:r>
    </w:p>
    <w:p w14:paraId="52D9466D" w14:textId="77777777" w:rsidR="00D9233F" w:rsidRPr="00213C02" w:rsidRDefault="00D9233F" w:rsidP="00D9233F">
      <w:pPr>
        <w:spacing w:line="240" w:lineRule="auto"/>
        <w:jc w:val="center"/>
        <w:rPr>
          <w:rFonts w:ascii="Times New Roman" w:hAnsi="Times New Roman" w:cs="Times New Roman"/>
          <w:sz w:val="24"/>
          <w:szCs w:val="24"/>
        </w:rPr>
      </w:pPr>
      <w:r w:rsidRPr="00213C02">
        <w:rPr>
          <w:rFonts w:ascii="Times New Roman" w:hAnsi="Times New Roman" w:cs="Times New Roman"/>
          <w:noProof/>
          <w:sz w:val="24"/>
          <w:szCs w:val="24"/>
        </w:rPr>
        <w:lastRenderedPageBreak/>
        <w:drawing>
          <wp:inline distT="114300" distB="114300" distL="114300" distR="114300" wp14:anchorId="7CC057C6" wp14:editId="79F43F09">
            <wp:extent cx="4277802" cy="2441050"/>
            <wp:effectExtent l="0" t="0" r="889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4307593" cy="2458050"/>
                    </a:xfrm>
                    <a:prstGeom prst="rect">
                      <a:avLst/>
                    </a:prstGeom>
                    <a:ln/>
                  </pic:spPr>
                </pic:pic>
              </a:graphicData>
            </a:graphic>
          </wp:inline>
        </w:drawing>
      </w:r>
    </w:p>
    <w:p w14:paraId="7D0A705D" w14:textId="799FD94A" w:rsidR="00594046" w:rsidRPr="00D9233F" w:rsidRDefault="00D9233F" w:rsidP="00285E8A">
      <w:pPr>
        <w:pStyle w:val="IEEEParagraph"/>
        <w:spacing w:before="240" w:after="240"/>
        <w:ind w:firstLine="170"/>
        <w:jc w:val="center"/>
      </w:pPr>
      <w:r w:rsidRPr="00D9233F">
        <w:t>Fig.</w:t>
      </w:r>
      <w:r w:rsidRPr="00D9233F">
        <w:t xml:space="preserve"> 6 Reco</w:t>
      </w:r>
      <w:r w:rsidRPr="00D9233F">
        <w:t>vered energy for two converters</w:t>
      </w:r>
    </w:p>
    <w:p w14:paraId="42614FD2" w14:textId="267DE449" w:rsidR="00594046" w:rsidRDefault="005915AC" w:rsidP="000C3D46">
      <w:pPr>
        <w:pStyle w:val="IEEEParagraph"/>
        <w:ind w:firstLine="170"/>
        <w:rPr>
          <w:sz w:val="24"/>
        </w:rPr>
      </w:pPr>
      <w:r w:rsidRPr="005915AC">
        <w:rPr>
          <w:sz w:val="24"/>
        </w:rPr>
        <w:t>The performance of the proposed bidirectional converter strategy is compared against that of a baseline unidirectional converter.</w:t>
      </w:r>
    </w:p>
    <w:p w14:paraId="617384C8" w14:textId="77777777" w:rsidR="00E20D37" w:rsidRPr="00181EBA" w:rsidRDefault="00E20D37" w:rsidP="00E20D37">
      <w:pPr>
        <w:pStyle w:val="font8"/>
        <w:spacing w:before="120" w:beforeAutospacing="0" w:after="120" w:afterAutospacing="0"/>
        <w:jc w:val="center"/>
        <w:textAlignment w:val="baseline"/>
        <w:rPr>
          <w:b/>
          <w:bCs/>
          <w:color w:val="000000"/>
          <w:sz w:val="20"/>
          <w:bdr w:val="none" w:sz="0" w:space="0" w:color="auto" w:frame="1"/>
        </w:rPr>
      </w:pPr>
      <w:r w:rsidRPr="00181EBA">
        <w:rPr>
          <w:bCs/>
          <w:color w:val="000000"/>
          <w:sz w:val="20"/>
          <w:bdr w:val="none" w:sz="0" w:space="0" w:color="auto" w:frame="1"/>
        </w:rPr>
        <w:t>Table 2.</w:t>
      </w:r>
      <w:r w:rsidRPr="00181EBA">
        <w:rPr>
          <w:b/>
          <w:bCs/>
          <w:color w:val="000000"/>
          <w:sz w:val="20"/>
          <w:bdr w:val="none" w:sz="0" w:space="0" w:color="auto" w:frame="1"/>
        </w:rPr>
        <w:t xml:space="preserve"> </w:t>
      </w:r>
      <w:r w:rsidRPr="00181EBA">
        <w:rPr>
          <w:sz w:val="20"/>
        </w:rPr>
        <w:t>Recovered Energy</w:t>
      </w:r>
    </w:p>
    <w:tbl>
      <w:tblPr>
        <w:tblStyle w:val="TabloKlavuzu"/>
        <w:tblW w:w="0" w:type="auto"/>
        <w:tblInd w:w="108" w:type="dxa"/>
        <w:tblLook w:val="04A0" w:firstRow="1" w:lastRow="0" w:firstColumn="1" w:lastColumn="0" w:noHBand="0" w:noVBand="1"/>
      </w:tblPr>
      <w:tblGrid>
        <w:gridCol w:w="3151"/>
        <w:gridCol w:w="3259"/>
        <w:gridCol w:w="3260"/>
      </w:tblGrid>
      <w:tr w:rsidR="00E20D37" w:rsidRPr="00D96D49" w14:paraId="47F5B3AD" w14:textId="77777777" w:rsidTr="00B673A0">
        <w:tc>
          <w:tcPr>
            <w:tcW w:w="3151" w:type="dxa"/>
          </w:tcPr>
          <w:p w14:paraId="27B9C659" w14:textId="77777777" w:rsidR="00E20D37" w:rsidRPr="00C6597F" w:rsidRDefault="00E20D37" w:rsidP="00746E40">
            <w:pPr>
              <w:rPr>
                <w:rFonts w:ascii="Times New Roman" w:hAnsi="Times New Roman" w:cs="Times New Roman"/>
                <w:b/>
                <w:sz w:val="20"/>
              </w:rPr>
            </w:pPr>
            <w:r w:rsidRPr="00C6597F">
              <w:rPr>
                <w:rFonts w:ascii="Times New Roman" w:hAnsi="Times New Roman" w:cs="Times New Roman"/>
                <w:b/>
                <w:sz w:val="20"/>
              </w:rPr>
              <w:t>Converter Type</w:t>
            </w:r>
          </w:p>
        </w:tc>
        <w:tc>
          <w:tcPr>
            <w:tcW w:w="3259" w:type="dxa"/>
          </w:tcPr>
          <w:p w14:paraId="1CFB0812" w14:textId="77777777" w:rsidR="00E20D37" w:rsidRPr="00C6597F" w:rsidRDefault="00E20D37" w:rsidP="00746E40">
            <w:pPr>
              <w:rPr>
                <w:rFonts w:ascii="Times New Roman" w:hAnsi="Times New Roman" w:cs="Times New Roman"/>
                <w:b/>
                <w:sz w:val="20"/>
              </w:rPr>
            </w:pPr>
            <w:r w:rsidRPr="00C6597F">
              <w:rPr>
                <w:rFonts w:ascii="Times New Roman" w:hAnsi="Times New Roman" w:cs="Times New Roman"/>
                <w:b/>
                <w:sz w:val="20"/>
              </w:rPr>
              <w:t>Average Regenerative Power (W)</w:t>
            </w:r>
          </w:p>
        </w:tc>
        <w:tc>
          <w:tcPr>
            <w:tcW w:w="3260" w:type="dxa"/>
          </w:tcPr>
          <w:p w14:paraId="657155CE" w14:textId="77777777" w:rsidR="00E20D37" w:rsidRPr="00C6597F" w:rsidRDefault="00E20D37" w:rsidP="00746E40">
            <w:pPr>
              <w:rPr>
                <w:rFonts w:ascii="Times New Roman" w:hAnsi="Times New Roman" w:cs="Times New Roman"/>
                <w:b/>
                <w:sz w:val="20"/>
              </w:rPr>
            </w:pPr>
            <w:r w:rsidRPr="00C6597F">
              <w:rPr>
                <w:rFonts w:ascii="Times New Roman" w:hAnsi="Times New Roman" w:cs="Times New Roman"/>
                <w:b/>
                <w:sz w:val="20"/>
              </w:rPr>
              <w:t>Total Energy Recovered (Wh)</w:t>
            </w:r>
          </w:p>
        </w:tc>
      </w:tr>
      <w:tr w:rsidR="00E20D37" w:rsidRPr="00D96D49" w14:paraId="70CF4CFA" w14:textId="77777777" w:rsidTr="00B673A0">
        <w:tc>
          <w:tcPr>
            <w:tcW w:w="3151" w:type="dxa"/>
          </w:tcPr>
          <w:p w14:paraId="37FAC6A5" w14:textId="77777777" w:rsidR="00E20D37" w:rsidRPr="005655B6" w:rsidRDefault="00E20D37" w:rsidP="00746E40">
            <w:pPr>
              <w:rPr>
                <w:rFonts w:ascii="Times New Roman" w:hAnsi="Times New Roman" w:cs="Times New Roman"/>
                <w:sz w:val="20"/>
              </w:rPr>
            </w:pPr>
            <w:r w:rsidRPr="005655B6">
              <w:rPr>
                <w:rFonts w:ascii="Times New Roman" w:hAnsi="Times New Roman" w:cs="Times New Roman"/>
                <w:sz w:val="20"/>
              </w:rPr>
              <w:t>Bidirectional</w:t>
            </w:r>
          </w:p>
        </w:tc>
        <w:tc>
          <w:tcPr>
            <w:tcW w:w="3259" w:type="dxa"/>
          </w:tcPr>
          <w:p w14:paraId="2AA376C5" w14:textId="77777777" w:rsidR="00E20D37" w:rsidRPr="005655B6" w:rsidRDefault="00E20D37" w:rsidP="00746E40">
            <w:pPr>
              <w:rPr>
                <w:rFonts w:ascii="Times New Roman" w:hAnsi="Times New Roman" w:cs="Times New Roman"/>
                <w:sz w:val="20"/>
              </w:rPr>
            </w:pPr>
            <w:r w:rsidRPr="005655B6">
              <w:rPr>
                <w:rFonts w:ascii="Times New Roman" w:hAnsi="Times New Roman" w:cs="Times New Roman"/>
                <w:sz w:val="20"/>
              </w:rPr>
              <w:t>312.91 W</w:t>
            </w:r>
          </w:p>
        </w:tc>
        <w:tc>
          <w:tcPr>
            <w:tcW w:w="3260" w:type="dxa"/>
          </w:tcPr>
          <w:p w14:paraId="5C101A56" w14:textId="77777777" w:rsidR="00E20D37" w:rsidRPr="005655B6" w:rsidRDefault="00E20D37" w:rsidP="00746E40">
            <w:pPr>
              <w:rPr>
                <w:rFonts w:ascii="Times New Roman" w:hAnsi="Times New Roman" w:cs="Times New Roman"/>
                <w:sz w:val="20"/>
              </w:rPr>
            </w:pPr>
            <w:r w:rsidRPr="005655B6">
              <w:rPr>
                <w:rFonts w:ascii="Times New Roman" w:hAnsi="Times New Roman" w:cs="Times New Roman"/>
                <w:sz w:val="20"/>
              </w:rPr>
              <w:t>0.2173 Wh</w:t>
            </w:r>
          </w:p>
        </w:tc>
      </w:tr>
      <w:tr w:rsidR="00E20D37" w:rsidRPr="00D96D49" w14:paraId="3D8147F6" w14:textId="77777777" w:rsidTr="00B673A0">
        <w:tc>
          <w:tcPr>
            <w:tcW w:w="3151" w:type="dxa"/>
          </w:tcPr>
          <w:p w14:paraId="5BC8F6B3" w14:textId="77777777" w:rsidR="00E20D37" w:rsidRPr="005655B6" w:rsidRDefault="00E20D37" w:rsidP="00746E40">
            <w:pPr>
              <w:rPr>
                <w:rFonts w:ascii="Times New Roman" w:hAnsi="Times New Roman" w:cs="Times New Roman"/>
                <w:sz w:val="20"/>
              </w:rPr>
            </w:pPr>
            <w:r w:rsidRPr="005655B6">
              <w:rPr>
                <w:rFonts w:ascii="Times New Roman" w:hAnsi="Times New Roman" w:cs="Times New Roman"/>
                <w:sz w:val="20"/>
              </w:rPr>
              <w:t>Unidirectional</w:t>
            </w:r>
          </w:p>
        </w:tc>
        <w:tc>
          <w:tcPr>
            <w:tcW w:w="3259" w:type="dxa"/>
          </w:tcPr>
          <w:p w14:paraId="47AD0FD0" w14:textId="77777777" w:rsidR="00E20D37" w:rsidRPr="005655B6" w:rsidRDefault="00E20D37" w:rsidP="00746E40">
            <w:pPr>
              <w:rPr>
                <w:rFonts w:ascii="Times New Roman" w:hAnsi="Times New Roman" w:cs="Times New Roman"/>
                <w:sz w:val="20"/>
              </w:rPr>
            </w:pPr>
            <w:r w:rsidRPr="005655B6">
              <w:rPr>
                <w:rFonts w:ascii="Times New Roman" w:hAnsi="Times New Roman" w:cs="Times New Roman"/>
                <w:sz w:val="20"/>
              </w:rPr>
              <w:t>256.46 W</w:t>
            </w:r>
          </w:p>
        </w:tc>
        <w:tc>
          <w:tcPr>
            <w:tcW w:w="3260" w:type="dxa"/>
          </w:tcPr>
          <w:p w14:paraId="55446FC9" w14:textId="77777777" w:rsidR="00E20D37" w:rsidRPr="005655B6" w:rsidRDefault="00E20D37" w:rsidP="00746E40">
            <w:pPr>
              <w:rPr>
                <w:rFonts w:ascii="Times New Roman" w:hAnsi="Times New Roman" w:cs="Times New Roman"/>
                <w:sz w:val="20"/>
              </w:rPr>
            </w:pPr>
            <w:r w:rsidRPr="005655B6">
              <w:rPr>
                <w:rFonts w:ascii="Times New Roman" w:hAnsi="Times New Roman" w:cs="Times New Roman"/>
                <w:sz w:val="20"/>
              </w:rPr>
              <w:t>0.1781 Wh</w:t>
            </w:r>
          </w:p>
        </w:tc>
      </w:tr>
    </w:tbl>
    <w:p w14:paraId="39A6528A" w14:textId="38E18301" w:rsidR="00594046" w:rsidRDefault="00594046" w:rsidP="000C3D46">
      <w:pPr>
        <w:pStyle w:val="IEEEParagraph"/>
        <w:ind w:firstLine="170"/>
        <w:rPr>
          <w:sz w:val="24"/>
        </w:rPr>
      </w:pPr>
    </w:p>
    <w:p w14:paraId="4219E5B8" w14:textId="2FA3F946" w:rsidR="00594046" w:rsidRDefault="00801FDE" w:rsidP="005766AD">
      <w:pPr>
        <w:pStyle w:val="IEEEParagraph"/>
        <w:ind w:firstLine="170"/>
        <w:rPr>
          <w:sz w:val="24"/>
        </w:rPr>
      </w:pPr>
      <w:r w:rsidRPr="00801FDE">
        <w:rPr>
          <w:sz w:val="24"/>
        </w:rPr>
        <w:t>Over a simulation period of 2.5 seconds, the bidirectional converter recovered approximately 0.2173 Wh of energy, compared to 0.1781 Wh recovered by the unidirectional converter. This corresponds to an increase of about 22.01% in recovered energy, demonstrating the superior regenerative capability of the proposed bidirectional converter. These findings indicate the effectiveness of the bidirectional converter for regenerative control strategy. The intelligent mode-switching logic enables efficient energy flow management and ensures seamless operation without introducing torque ripple or system instability. Overall, the results indicate strong potential for real-world implementation, with expected improvements in electric vehicle (EV) range and overall energy efficiency.</w:t>
      </w:r>
    </w:p>
    <w:p w14:paraId="2021EE83" w14:textId="77777777" w:rsidR="00B757B4" w:rsidRPr="00DF7074" w:rsidRDefault="00B757B4" w:rsidP="00C66488">
      <w:pPr>
        <w:pStyle w:val="IEEEHeading1"/>
        <w:jc w:val="left"/>
        <w:rPr>
          <w:sz w:val="24"/>
        </w:rPr>
      </w:pPr>
      <w:r w:rsidRPr="00DF7074">
        <w:rPr>
          <w:sz w:val="24"/>
        </w:rPr>
        <w:t>CONCLUSION</w:t>
      </w:r>
    </w:p>
    <w:p w14:paraId="50C7CD03" w14:textId="3A180E1C" w:rsidR="00B757B4" w:rsidRDefault="00034269" w:rsidP="000C3D46">
      <w:pPr>
        <w:pStyle w:val="IEEEParagraph"/>
        <w:ind w:firstLine="170"/>
        <w:rPr>
          <w:sz w:val="24"/>
        </w:rPr>
      </w:pPr>
      <w:r w:rsidRPr="00034269">
        <w:rPr>
          <w:sz w:val="24"/>
        </w:rPr>
        <w:t>This study has presented a dual-mode regenerative braking control strategy for a PMSM-based electric vehicle drivetrain, employing a bidirectional cascaded DC–DC converter. By integrating this converter topology with a field-oriented control (FOC) scheme, the system achieves efficient bidirectional power flow management between the motor and the battery. Simulation results, validated under flat-road, low-speed driving scenarios, demonstrated that the proposed approach offers superior energy recovery performance. Compared to conventional unidirectional converter-based regenerative braking systems, the bidirectional converter strategy increased recovered energy by more than 22.01%, while ensuring system stability, effective DC bus voltage regulation, and smooth torque transitions. The successful implementation of the dual-mode converter logic in MATLAB/Simulink confirms the practicality of this architecture for real-world electric vehicle applications. Beyond enhancing energy efficiency and battery state-of-charge (SOC) management, this control strategy has the potential to extend the operational range of electric vehicles without introducing significant system complexity, thereby offering a promising solution for next-generation EV drivetrain designs.</w:t>
      </w:r>
    </w:p>
    <w:p w14:paraId="47E21C51" w14:textId="78EBCEEF" w:rsidR="009C44CC" w:rsidRDefault="009C44CC" w:rsidP="000C3D46">
      <w:pPr>
        <w:pStyle w:val="IEEEParagraph"/>
        <w:ind w:firstLine="170"/>
        <w:rPr>
          <w:sz w:val="24"/>
        </w:rPr>
      </w:pPr>
    </w:p>
    <w:p w14:paraId="096EB1D2" w14:textId="02B99E61" w:rsidR="009C44CC" w:rsidRDefault="009C44CC" w:rsidP="000C3D46">
      <w:pPr>
        <w:pStyle w:val="IEEEParagraph"/>
        <w:ind w:firstLine="170"/>
        <w:rPr>
          <w:sz w:val="24"/>
        </w:rPr>
      </w:pPr>
    </w:p>
    <w:p w14:paraId="25FDAFC1" w14:textId="08F3AAD5" w:rsidR="009C44CC" w:rsidRDefault="009C44CC" w:rsidP="000C3D46">
      <w:pPr>
        <w:pStyle w:val="IEEEParagraph"/>
        <w:ind w:firstLine="170"/>
        <w:rPr>
          <w:sz w:val="24"/>
        </w:rPr>
      </w:pPr>
    </w:p>
    <w:p w14:paraId="06ED6102" w14:textId="77777777" w:rsidR="009C44CC" w:rsidRPr="00DF7074" w:rsidRDefault="009C44CC" w:rsidP="000C3D46">
      <w:pPr>
        <w:pStyle w:val="IEEEParagraph"/>
        <w:ind w:firstLine="170"/>
        <w:rPr>
          <w:sz w:val="24"/>
        </w:rPr>
      </w:pPr>
    </w:p>
    <w:p w14:paraId="017CA035" w14:textId="77777777" w:rsidR="004C090F" w:rsidRDefault="004C090F" w:rsidP="00C66488">
      <w:pPr>
        <w:pStyle w:val="IEEEHeading1"/>
        <w:numPr>
          <w:ilvl w:val="0"/>
          <w:numId w:val="0"/>
        </w:numPr>
        <w:jc w:val="left"/>
        <w:rPr>
          <w:sz w:val="24"/>
        </w:rPr>
      </w:pPr>
      <w:r w:rsidRPr="00C66488">
        <w:rPr>
          <w:sz w:val="24"/>
        </w:rPr>
        <w:lastRenderedPageBreak/>
        <w:t>References</w:t>
      </w:r>
    </w:p>
    <w:p w14:paraId="3F6220A1" w14:textId="4D81F0D6" w:rsidR="0030640B" w:rsidRPr="0050626B" w:rsidRDefault="0050626B" w:rsidP="00902F24">
      <w:pPr>
        <w:pStyle w:val="IEEEReferenceItem"/>
        <w:rPr>
          <w:sz w:val="20"/>
        </w:rPr>
      </w:pPr>
      <w:r w:rsidRPr="00663949">
        <w:rPr>
          <w:sz w:val="20"/>
          <w:szCs w:val="20"/>
        </w:rPr>
        <w:t>Chan, C. C. (2007). The state of the art of electric, hybrid, and fuel cell vehicles. Proceedings of the IEEE, 95(4), 704–718. https://doi.org/10.1109/JPROC.2007.892489</w:t>
      </w:r>
      <w:r>
        <w:rPr>
          <w:sz w:val="20"/>
          <w:szCs w:val="20"/>
        </w:rPr>
        <w:t>.</w:t>
      </w:r>
    </w:p>
    <w:p w14:paraId="0D0128C6" w14:textId="5D39FEA6" w:rsidR="0050626B" w:rsidRPr="0050626B" w:rsidRDefault="0050626B" w:rsidP="00902F24">
      <w:pPr>
        <w:pStyle w:val="IEEEReferenceItem"/>
        <w:rPr>
          <w:sz w:val="20"/>
        </w:rPr>
      </w:pPr>
      <w:r w:rsidRPr="00663949">
        <w:rPr>
          <w:sz w:val="20"/>
          <w:szCs w:val="20"/>
        </w:rPr>
        <w:t>Tie, S. F., &amp; Tan, C. W. (2013). A review of energy sources and energy management system in electric vehicles. Renewable and Sustainable Energy Reviews, 20, 82–102. https://doi.org/10.1016/j.rser.2012.11.077</w:t>
      </w:r>
      <w:r>
        <w:rPr>
          <w:sz w:val="20"/>
          <w:szCs w:val="20"/>
        </w:rPr>
        <w:t>.</w:t>
      </w:r>
    </w:p>
    <w:p w14:paraId="14EB0D1C" w14:textId="747F051A" w:rsidR="0050626B" w:rsidRPr="00D10DCF" w:rsidRDefault="00D10DCF" w:rsidP="00902F24">
      <w:pPr>
        <w:pStyle w:val="IEEEReferenceItem"/>
        <w:rPr>
          <w:sz w:val="20"/>
        </w:rPr>
      </w:pPr>
      <w:r w:rsidRPr="00663949">
        <w:rPr>
          <w:sz w:val="20"/>
          <w:szCs w:val="20"/>
        </w:rPr>
        <w:t>Li, L., Wang, Y., Li, J., &amp; Mi, C. C. (2016). Online optimal control of regenerative braking for electric vehicles. IEEE Transactions on Vehicular Technology, 65(7), 5439–5448. https://doi.org/10.1109/TVT.2015.2475741</w:t>
      </w:r>
      <w:r>
        <w:rPr>
          <w:sz w:val="20"/>
          <w:szCs w:val="20"/>
        </w:rPr>
        <w:t>.</w:t>
      </w:r>
    </w:p>
    <w:p w14:paraId="47F3A8C9" w14:textId="35269EE1" w:rsidR="00D10DCF" w:rsidRPr="006177D1" w:rsidRDefault="006177D1" w:rsidP="00902F24">
      <w:pPr>
        <w:pStyle w:val="IEEEReferenceItem"/>
        <w:rPr>
          <w:sz w:val="20"/>
        </w:rPr>
      </w:pPr>
      <w:r w:rsidRPr="00663949">
        <w:rPr>
          <w:sz w:val="20"/>
          <w:szCs w:val="20"/>
        </w:rPr>
        <w:t>Jain, P., &amp; Agarwal, A. (2018). Regenerative braking in electric vehicles using bidirectional DC-DC converter: A review. International Journal of Power Electronics and Drive Systems, 9(4), 1860–1871.</w:t>
      </w:r>
    </w:p>
    <w:p w14:paraId="25A9FCAD" w14:textId="33C6BA2D" w:rsidR="006177D1" w:rsidRPr="006177D1" w:rsidRDefault="006177D1" w:rsidP="00902F24">
      <w:pPr>
        <w:pStyle w:val="IEEEReferenceItem"/>
        <w:rPr>
          <w:sz w:val="20"/>
        </w:rPr>
      </w:pPr>
      <w:r w:rsidRPr="00663949">
        <w:rPr>
          <w:sz w:val="20"/>
          <w:szCs w:val="20"/>
        </w:rPr>
        <w:t>Zhang, Y., &amp; Emadi, A. (2005). Impact of regenerative braking on vehicle performance—Comparative analysis of different electric propulsion systems. IEEE Transactions on Vehicular Technology, 54(6), 1613–1619. https://doi.org/10.1109/TVT.2005.858010</w:t>
      </w:r>
      <w:r>
        <w:rPr>
          <w:sz w:val="20"/>
          <w:szCs w:val="20"/>
        </w:rPr>
        <w:t>.</w:t>
      </w:r>
    </w:p>
    <w:p w14:paraId="69E128E9" w14:textId="53405586" w:rsidR="006177D1" w:rsidRPr="00F06D03" w:rsidRDefault="00F06D03" w:rsidP="00902F24">
      <w:pPr>
        <w:pStyle w:val="IEEEReferenceItem"/>
        <w:rPr>
          <w:sz w:val="20"/>
        </w:rPr>
      </w:pPr>
      <w:r w:rsidRPr="00663949">
        <w:rPr>
          <w:sz w:val="20"/>
          <w:szCs w:val="20"/>
        </w:rPr>
        <w:t>Yuan, W., &amp; Zhang, H. (2019). Bidirectional DC–DC converter design for regenerative braking energy recovery. Journal of Power Electronics, 19(5), 1336–1345.</w:t>
      </w:r>
    </w:p>
    <w:p w14:paraId="661DD1D7" w14:textId="5E6A7FE0" w:rsidR="00F06D03" w:rsidRPr="00BC2648" w:rsidRDefault="00BC2648" w:rsidP="00902F24">
      <w:pPr>
        <w:pStyle w:val="IEEEReferenceItem"/>
        <w:rPr>
          <w:sz w:val="20"/>
        </w:rPr>
      </w:pPr>
      <w:r w:rsidRPr="00663949">
        <w:rPr>
          <w:sz w:val="20"/>
          <w:szCs w:val="20"/>
        </w:rPr>
        <w:t>Chau, K. T., Chan, C. C., &amp; Liu, C. (2008). Overview of permanent-magnet brushless drives for electric and hybrid electric vehicles. IEEE Transactions on Industrial Electronics, 55(6), 2246–2257. https://doi.org/10.1109/TIE.2008.921602.</w:t>
      </w:r>
    </w:p>
    <w:p w14:paraId="36B88DEA" w14:textId="631D9344" w:rsidR="00BC2648" w:rsidRPr="00BC2648" w:rsidRDefault="00BC2648" w:rsidP="00902F24">
      <w:pPr>
        <w:pStyle w:val="IEEEReferenceItem"/>
        <w:rPr>
          <w:sz w:val="20"/>
        </w:rPr>
      </w:pPr>
      <w:r w:rsidRPr="00663949">
        <w:rPr>
          <w:sz w:val="20"/>
          <w:szCs w:val="20"/>
        </w:rPr>
        <w:t>Zhu, Z. Q., &amp; Howe, D. (2007). Electrical machines and drives for electric, hybrid, and fuel cell vehicles. Proceedings of the IEEE, 95(4), 746–765. https://doi.org/10.1109/JPROC.2007.892482</w:t>
      </w:r>
      <w:r>
        <w:rPr>
          <w:sz w:val="20"/>
          <w:szCs w:val="20"/>
        </w:rPr>
        <w:t>.</w:t>
      </w:r>
    </w:p>
    <w:p w14:paraId="00A77298" w14:textId="39B0A2E9" w:rsidR="00BC2648" w:rsidRPr="0057259C" w:rsidRDefault="0057259C" w:rsidP="00902F24">
      <w:pPr>
        <w:pStyle w:val="IEEEReferenceItem"/>
        <w:rPr>
          <w:sz w:val="20"/>
        </w:rPr>
      </w:pPr>
      <w:r w:rsidRPr="00663949">
        <w:rPr>
          <w:sz w:val="20"/>
          <w:szCs w:val="20"/>
        </w:rPr>
        <w:t>Liu, J., &amp; Mi, C. C. (2012). Power electronics for electric vehicles and hybrid electric vehicles. Wiley-IEEE Press.</w:t>
      </w:r>
    </w:p>
    <w:p w14:paraId="4866A920" w14:textId="2E3CFF6E" w:rsidR="0057259C" w:rsidRPr="009578F5" w:rsidRDefault="003A369B" w:rsidP="00902F24">
      <w:pPr>
        <w:pStyle w:val="IEEEReferenceItem"/>
        <w:rPr>
          <w:sz w:val="20"/>
        </w:rPr>
      </w:pPr>
      <w:r w:rsidRPr="00663949">
        <w:rPr>
          <w:color w:val="000000"/>
          <w:sz w:val="20"/>
          <w:szCs w:val="20"/>
          <w:bdr w:val="none" w:sz="0" w:space="0" w:color="auto" w:frame="1"/>
        </w:rPr>
        <w:t>Jain, R., &amp; Shrivastava, V. (2020). Regenerative braking system using fuzzy logic controller for electric vehicle. International Journal of Intelligent Engineering and Systems, 13(3), 221–230.</w:t>
      </w:r>
    </w:p>
    <w:p w14:paraId="751FE35E" w14:textId="6363312F" w:rsidR="009578F5" w:rsidRPr="00057478" w:rsidRDefault="009578F5" w:rsidP="00902F24">
      <w:pPr>
        <w:pStyle w:val="IEEEReferenceItem"/>
        <w:rPr>
          <w:sz w:val="20"/>
        </w:rPr>
      </w:pPr>
      <w:r w:rsidRPr="00663949">
        <w:rPr>
          <w:sz w:val="20"/>
          <w:szCs w:val="20"/>
        </w:rPr>
        <w:t>Chien, T. H., &amp; Chang, C. C. (2018). Adaptive regenerative braking control strategy for electric vehicles. International Journal of Automotive Technology, 19(3), 457–464</w:t>
      </w:r>
      <w:r w:rsidR="00057478">
        <w:rPr>
          <w:sz w:val="20"/>
          <w:szCs w:val="20"/>
        </w:rPr>
        <w:t>.</w:t>
      </w:r>
    </w:p>
    <w:p w14:paraId="6F62D0A2" w14:textId="663E76E0" w:rsidR="00057478" w:rsidRPr="00057478" w:rsidRDefault="00057478" w:rsidP="00902F24">
      <w:pPr>
        <w:pStyle w:val="IEEEReferenceItem"/>
        <w:rPr>
          <w:sz w:val="20"/>
        </w:rPr>
      </w:pPr>
      <w:r w:rsidRPr="00663949">
        <w:rPr>
          <w:sz w:val="20"/>
          <w:szCs w:val="20"/>
        </w:rPr>
        <w:t>Ali, S., &amp; Yousuf, M. (2019). Comparative analysis of regenerative braking systems. Energy Reports, 5, 1413–1423. https://doi.org/10.1016/j.egyr.2019.09.010.</w:t>
      </w:r>
    </w:p>
    <w:p w14:paraId="056356A1" w14:textId="7868D793" w:rsidR="00057478" w:rsidRPr="005E3672" w:rsidRDefault="005E3672" w:rsidP="00902F24">
      <w:pPr>
        <w:pStyle w:val="IEEEReferenceItem"/>
        <w:rPr>
          <w:sz w:val="20"/>
        </w:rPr>
      </w:pPr>
      <w:r w:rsidRPr="00663949">
        <w:rPr>
          <w:sz w:val="20"/>
          <w:szCs w:val="20"/>
        </w:rPr>
        <w:t>Jogi, A. V., &amp; Babu, T. R. (2020). A review on bidirectional DC–DC converters for regenerative braking in electric vehicles. International Journal of Electrical and Computer Engineering, 10(5), 5015–5022.</w:t>
      </w:r>
    </w:p>
    <w:p w14:paraId="69232347" w14:textId="4F94D7AD" w:rsidR="005E3672" w:rsidRPr="00CB3B94" w:rsidRDefault="00CB3B94" w:rsidP="00902F24">
      <w:pPr>
        <w:pStyle w:val="IEEEReferenceItem"/>
        <w:rPr>
          <w:sz w:val="20"/>
        </w:rPr>
      </w:pPr>
      <w:r w:rsidRPr="00663949">
        <w:rPr>
          <w:sz w:val="20"/>
          <w:szCs w:val="20"/>
        </w:rPr>
        <w:t>Kumar, N., &amp; Jain, A. (2017). Dual-mode DC–DC converter with regenerative braking for electric vehicle applications. International Journal of Electronics, 104(8), 1366–1382.</w:t>
      </w:r>
    </w:p>
    <w:p w14:paraId="1C22D986" w14:textId="7E07C8E8" w:rsidR="00CB3B94" w:rsidRPr="00672235" w:rsidRDefault="00672235" w:rsidP="00902F24">
      <w:pPr>
        <w:pStyle w:val="IEEEReferenceItem"/>
        <w:rPr>
          <w:sz w:val="20"/>
        </w:rPr>
      </w:pPr>
      <w:r w:rsidRPr="00663949">
        <w:rPr>
          <w:sz w:val="20"/>
          <w:szCs w:val="20"/>
        </w:rPr>
        <w:t>Zheng, Y., &amp; Yu, H. (2019). Control of electric braking torque for regenerative braking systems. IEEE Access, 7, 130984–130992. https://doi.org/10.1109/ACCESS.2019.2939914</w:t>
      </w:r>
      <w:r>
        <w:rPr>
          <w:sz w:val="20"/>
          <w:szCs w:val="20"/>
        </w:rPr>
        <w:t>.</w:t>
      </w:r>
    </w:p>
    <w:p w14:paraId="0BB3721B" w14:textId="17AC6BD1" w:rsidR="00672235" w:rsidRPr="002D2F00" w:rsidRDefault="002D2F00" w:rsidP="00902F24">
      <w:pPr>
        <w:pStyle w:val="IEEEReferenceItem"/>
        <w:rPr>
          <w:sz w:val="20"/>
        </w:rPr>
      </w:pPr>
      <w:r w:rsidRPr="00663949">
        <w:rPr>
          <w:sz w:val="20"/>
          <w:szCs w:val="20"/>
        </w:rPr>
        <w:t>Kumar, R., &amp; Singh, B. (2016). Power quality improvement in electric vehicle using bidirectional converter. IEEE Transactions on Industrial Applications, 52(5), 4137–4145.</w:t>
      </w:r>
    </w:p>
    <w:p w14:paraId="4CB0F6FC" w14:textId="7E93E249" w:rsidR="002D2F00" w:rsidRPr="00CC2C38" w:rsidRDefault="000B442B" w:rsidP="00902F24">
      <w:pPr>
        <w:pStyle w:val="IEEEReferenceItem"/>
        <w:rPr>
          <w:sz w:val="20"/>
        </w:rPr>
      </w:pPr>
      <w:r w:rsidRPr="00663949">
        <w:rPr>
          <w:color w:val="000000"/>
          <w:sz w:val="20"/>
          <w:szCs w:val="20"/>
          <w:bdr w:val="none" w:sz="0" w:space="0" w:color="auto" w:frame="1"/>
        </w:rPr>
        <w:t>Ehsani, M., Gao, Y., Gay, S. E., &amp; Emadi, A. (2005). Modern electric, hybrid electric, and fuel cell vehicles: Fundamentals, theory, and design (2nd ed.). CRC Press.</w:t>
      </w:r>
    </w:p>
    <w:p w14:paraId="65EE9937" w14:textId="77777777" w:rsidR="00CC2C38" w:rsidRPr="00C66488" w:rsidRDefault="00CC2C38" w:rsidP="00CC2C38">
      <w:pPr>
        <w:pStyle w:val="IEEEReferenceItem"/>
        <w:numPr>
          <w:ilvl w:val="0"/>
          <w:numId w:val="0"/>
        </w:numPr>
        <w:ind w:left="432"/>
        <w:rPr>
          <w:sz w:val="20"/>
        </w:rPr>
      </w:pPr>
    </w:p>
    <w:p w14:paraId="544EFA7F" w14:textId="77777777" w:rsidR="007F7949" w:rsidRPr="007F7949" w:rsidRDefault="007F7949" w:rsidP="007F7949">
      <w:pPr>
        <w:pStyle w:val="IEEEParagraph"/>
        <w:rPr>
          <w:lang w:val="en-US"/>
        </w:rPr>
      </w:pPr>
    </w:p>
    <w:p w14:paraId="74ECAA4F" w14:textId="77777777" w:rsidR="007F7949" w:rsidRDefault="007F7949" w:rsidP="00B80B2C">
      <w:pPr>
        <w:rPr>
          <w:rFonts w:ascii="Times New Roman" w:hAnsi="Times New Roman" w:cs="Times New Roman"/>
          <w:lang w:val="en-US"/>
        </w:rPr>
      </w:pPr>
    </w:p>
    <w:sectPr w:rsidR="007F7949" w:rsidSect="008B5AB8">
      <w:headerReference w:type="default" r:id="rId19"/>
      <w:type w:val="continuous"/>
      <w:pgSz w:w="11907" w:h="16840" w:code="9"/>
      <w:pgMar w:top="1373" w:right="851" w:bottom="851" w:left="851" w:header="709" w:footer="709" w:gutter="0"/>
      <w:cols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D2294E" w14:textId="77777777" w:rsidR="00F76A1A" w:rsidRDefault="00F76A1A" w:rsidP="00B80B2C">
      <w:pPr>
        <w:spacing w:after="0" w:line="240" w:lineRule="auto"/>
      </w:pPr>
      <w:r>
        <w:separator/>
      </w:r>
    </w:p>
  </w:endnote>
  <w:endnote w:type="continuationSeparator" w:id="0">
    <w:p w14:paraId="00DCF3C4" w14:textId="77777777" w:rsidR="00F76A1A" w:rsidRDefault="00F76A1A" w:rsidP="00B80B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Verdana">
    <w:panose1 w:val="020B0604030504040204"/>
    <w:charset w:val="A2"/>
    <w:family w:val="swiss"/>
    <w:pitch w:val="variable"/>
    <w:sig w:usb0="A00006FF" w:usb1="4000205B" w:usb2="00000010" w:usb3="00000000" w:csb0="0000019F" w:csb1="00000000"/>
  </w:font>
  <w:font w:name="Adobe Caslon Pro">
    <w:altName w:val="Georgia"/>
    <w:panose1 w:val="00000000000000000000"/>
    <w:charset w:val="00"/>
    <w:family w:val="roman"/>
    <w:notTrueType/>
    <w:pitch w:val="variable"/>
    <w:sig w:usb0="00000007" w:usb1="00000001" w:usb2="00000000" w:usb3="00000000" w:csb0="00000093" w:csb1="00000000"/>
  </w:font>
  <w:font w:name="Cambria Math">
    <w:panose1 w:val="02040503050406030204"/>
    <w:charset w:val="A2"/>
    <w:family w:val="roman"/>
    <w:pitch w:val="variable"/>
    <w:sig w:usb0="E00006FF" w:usb1="420024FF" w:usb2="02000000" w:usb3="00000000" w:csb0="0000019F" w:csb1="00000000"/>
  </w:font>
  <w:font w:name="Cardo">
    <w:altName w:val="Times New Roman"/>
    <w:charset w:val="00"/>
    <w:family w:val="auto"/>
    <w:pitch w:val="default"/>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5D9662" w14:textId="77777777" w:rsidR="00CA5FD4" w:rsidRDefault="00CA5FD4">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44442894"/>
      <w:docPartObj>
        <w:docPartGallery w:val="Page Numbers (Bottom of Page)"/>
        <w:docPartUnique/>
      </w:docPartObj>
    </w:sdtPr>
    <w:sdtEndPr/>
    <w:sdtContent>
      <w:p w14:paraId="459CAB59" w14:textId="41909EE7" w:rsidR="007F0B30" w:rsidRDefault="007F0B30">
        <w:pPr>
          <w:pStyle w:val="AltBilgi"/>
          <w:jc w:val="center"/>
        </w:pPr>
        <w:r>
          <w:fldChar w:fldCharType="begin"/>
        </w:r>
        <w:r>
          <w:instrText>PAGE   \* MERGEFORMAT</w:instrText>
        </w:r>
        <w:r>
          <w:fldChar w:fldCharType="separate"/>
        </w:r>
        <w:r w:rsidR="006C0D38">
          <w:rPr>
            <w:noProof/>
          </w:rPr>
          <w:t>3</w:t>
        </w:r>
        <w:r>
          <w:fldChar w:fldCharType="end"/>
        </w:r>
      </w:p>
    </w:sdtContent>
  </w:sdt>
  <w:p w14:paraId="26663C97" w14:textId="77777777" w:rsidR="007F0B30" w:rsidRDefault="007F0B30">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14907186"/>
      <w:docPartObj>
        <w:docPartGallery w:val="Page Numbers (Bottom of Page)"/>
        <w:docPartUnique/>
      </w:docPartObj>
    </w:sdtPr>
    <w:sdtEndPr/>
    <w:sdtContent>
      <w:p w14:paraId="2AAB15AA" w14:textId="42D494E0" w:rsidR="00896B2D" w:rsidRDefault="00896B2D">
        <w:pPr>
          <w:pStyle w:val="AltBilgi"/>
          <w:jc w:val="center"/>
        </w:pPr>
        <w:r>
          <w:fldChar w:fldCharType="begin"/>
        </w:r>
        <w:r>
          <w:instrText>PAGE   \* MERGEFORMAT</w:instrText>
        </w:r>
        <w:r>
          <w:fldChar w:fldCharType="separate"/>
        </w:r>
        <w:r w:rsidR="006C0D38">
          <w:rPr>
            <w:noProof/>
          </w:rPr>
          <w:t>1</w:t>
        </w:r>
        <w:r>
          <w:fldChar w:fldCharType="end"/>
        </w:r>
      </w:p>
    </w:sdtContent>
  </w:sdt>
  <w:p w14:paraId="006AF4C0" w14:textId="77777777" w:rsidR="00E71235" w:rsidRDefault="00E71235" w:rsidP="00E71235">
    <w:pPr>
      <w:pStyle w:val="AltBilgi"/>
      <w:pBdr>
        <w:top w:val="single" w:sz="4" w:space="1"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A9F48C" w14:textId="77777777" w:rsidR="00F76A1A" w:rsidRDefault="00F76A1A" w:rsidP="00B80B2C">
      <w:pPr>
        <w:spacing w:after="0" w:line="240" w:lineRule="auto"/>
      </w:pPr>
      <w:r>
        <w:separator/>
      </w:r>
    </w:p>
  </w:footnote>
  <w:footnote w:type="continuationSeparator" w:id="0">
    <w:p w14:paraId="56DB3D9F" w14:textId="77777777" w:rsidR="00F76A1A" w:rsidRDefault="00F76A1A" w:rsidP="00B80B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93A46B" w14:textId="77777777" w:rsidR="00CA5FD4" w:rsidRDefault="00CA5FD4">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7C5949" w14:textId="77777777" w:rsidR="00B80B2C" w:rsidRPr="00E03D4C" w:rsidRDefault="00B80B2C" w:rsidP="00E03D4C">
    <w:pPr>
      <w:pStyle w:val="stBilgi"/>
      <w:pBdr>
        <w:bottom w:val="single" w:sz="4" w:space="1" w:color="auto"/>
      </w:pBdr>
      <w:jc w:val="center"/>
      <w:rPr>
        <w:rFonts w:ascii="Times New Roman" w:hAnsi="Times New Roman" w:cs="Times New Roman"/>
        <w:i/>
        <w:sz w:val="18"/>
        <w:lang w:val="en-US"/>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oKlavuzu"/>
      <w:tblW w:w="10389"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4"/>
      <w:gridCol w:w="3335"/>
    </w:tblGrid>
    <w:tr w:rsidR="00AD44A1" w14:paraId="77C3AEFC" w14:textId="77777777" w:rsidTr="00D90B48">
      <w:trPr>
        <w:trHeight w:val="1328"/>
      </w:trPr>
      <w:tc>
        <w:tcPr>
          <w:tcW w:w="7054" w:type="dxa"/>
          <w:tcBorders>
            <w:top w:val="single" w:sz="4" w:space="0" w:color="auto"/>
            <w:bottom w:val="single" w:sz="4" w:space="0" w:color="auto"/>
          </w:tcBorders>
          <w:vAlign w:val="center"/>
        </w:tcPr>
        <w:p w14:paraId="04B0FC9B" w14:textId="77777777" w:rsidR="00AD44A1" w:rsidRPr="00634EFE" w:rsidRDefault="00AD44A1" w:rsidP="00AD44A1">
          <w:pPr>
            <w:jc w:val="center"/>
            <w:rPr>
              <w:rFonts w:ascii="Times New Roman" w:hAnsi="Times New Roman" w:cs="Times New Roman"/>
              <w:i/>
              <w:sz w:val="28"/>
              <w:lang w:val="en-US"/>
            </w:rPr>
          </w:pPr>
          <w:bookmarkStart w:id="0" w:name="_Hlk162360449"/>
          <w:r>
            <w:rPr>
              <w:rFonts w:ascii="Times New Roman" w:hAnsi="Times New Roman" w:cs="Times New Roman"/>
              <w:i/>
              <w:sz w:val="28"/>
              <w:lang w:val="en-US"/>
            </w:rPr>
            <w:t>8</w:t>
          </w:r>
          <w:r>
            <w:rPr>
              <w:rFonts w:ascii="Times New Roman" w:hAnsi="Times New Roman" w:cs="Times New Roman"/>
              <w:i/>
              <w:sz w:val="28"/>
              <w:vertAlign w:val="superscript"/>
              <w:lang w:val="en-US"/>
            </w:rPr>
            <w:t>th</w:t>
          </w:r>
          <w:r>
            <w:rPr>
              <w:rFonts w:ascii="Times New Roman" w:hAnsi="Times New Roman" w:cs="Times New Roman"/>
              <w:i/>
              <w:sz w:val="28"/>
              <w:lang w:val="en-US"/>
            </w:rPr>
            <w:t xml:space="preserve"> </w:t>
          </w:r>
          <w:r w:rsidRPr="00730875">
            <w:rPr>
              <w:rFonts w:ascii="Times New Roman" w:hAnsi="Times New Roman" w:cs="Times New Roman"/>
              <w:i/>
              <w:sz w:val="28"/>
              <w:lang w:val="en-US"/>
            </w:rPr>
            <w:t>International Conference on Applied Engineering and Natural Sciences</w:t>
          </w:r>
        </w:p>
        <w:p w14:paraId="14D77764" w14:textId="77777777" w:rsidR="00AD44A1" w:rsidRPr="00634EFE" w:rsidRDefault="00AD44A1" w:rsidP="00AD44A1">
          <w:pPr>
            <w:jc w:val="center"/>
            <w:rPr>
              <w:rFonts w:ascii="Times New Roman" w:hAnsi="Times New Roman" w:cs="Times New Roman"/>
              <w:i/>
              <w:color w:val="767171" w:themeColor="background2" w:themeShade="80"/>
              <w:sz w:val="10"/>
              <w:lang w:val="en-US"/>
            </w:rPr>
          </w:pPr>
        </w:p>
        <w:p w14:paraId="290BE9D5" w14:textId="77777777" w:rsidR="00AD44A1" w:rsidRPr="007F0B30" w:rsidRDefault="00AD44A1" w:rsidP="00AD44A1">
          <w:pPr>
            <w:jc w:val="center"/>
            <w:rPr>
              <w:rFonts w:ascii="Adobe Caslon Pro" w:hAnsi="Adobe Caslon Pro"/>
              <w:i/>
              <w:color w:val="767171" w:themeColor="background2" w:themeShade="80"/>
              <w:sz w:val="16"/>
              <w:lang w:val="en-US"/>
            </w:rPr>
          </w:pPr>
          <w:r>
            <w:rPr>
              <w:rFonts w:ascii="Times New Roman" w:hAnsi="Times New Roman" w:cs="Times New Roman"/>
              <w:i/>
              <w:color w:val="767171" w:themeColor="background2" w:themeShade="80"/>
              <w:sz w:val="16"/>
              <w:lang w:val="en-US"/>
            </w:rPr>
            <w:t xml:space="preserve">August 22-23, 2025: Konya, </w:t>
          </w:r>
          <w:r w:rsidRPr="007D5272">
            <w:rPr>
              <w:rFonts w:ascii="Times New Roman" w:hAnsi="Times New Roman" w:cs="Times New Roman"/>
              <w:i/>
              <w:color w:val="767171" w:themeColor="background2" w:themeShade="80"/>
              <w:sz w:val="16"/>
              <w:lang w:val="en-US"/>
            </w:rPr>
            <w:t>Turkey</w:t>
          </w:r>
        </w:p>
      </w:tc>
      <w:tc>
        <w:tcPr>
          <w:tcW w:w="3335" w:type="dxa"/>
          <w:vMerge w:val="restart"/>
          <w:tcBorders>
            <w:top w:val="single" w:sz="4" w:space="0" w:color="auto"/>
          </w:tcBorders>
          <w:vAlign w:val="center"/>
        </w:tcPr>
        <w:p w14:paraId="49165430" w14:textId="77777777" w:rsidR="00AD44A1" w:rsidRDefault="00AD44A1" w:rsidP="00AD44A1">
          <w:pPr>
            <w:pStyle w:val="stBilgi"/>
            <w:jc w:val="center"/>
            <w:rPr>
              <w:rStyle w:val="Kpr"/>
              <w:rFonts w:ascii="Times New Roman" w:eastAsia="Times New Roman" w:hAnsi="Times New Roman" w:cs="Times New Roman"/>
              <w:i/>
              <w:sz w:val="18"/>
            </w:rPr>
          </w:pPr>
          <w:r>
            <w:rPr>
              <w:rStyle w:val="Kpr"/>
              <w:rFonts w:ascii="Times New Roman" w:eastAsia="Times New Roman" w:hAnsi="Times New Roman" w:cs="Times New Roman"/>
              <w:i/>
              <w:noProof/>
              <w:sz w:val="18"/>
              <w:lang w:eastAsia="tr-TR"/>
            </w:rPr>
            <w:drawing>
              <wp:inline distT="0" distB="0" distL="0" distR="0" wp14:anchorId="6C26F465" wp14:editId="2D7ABC2E">
                <wp:extent cx="883920" cy="871205"/>
                <wp:effectExtent l="0" t="0" r="0" b="5715"/>
                <wp:docPr id="96818639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4742" cy="881872"/>
                        </a:xfrm>
                        <a:prstGeom prst="rect">
                          <a:avLst/>
                        </a:prstGeom>
                        <a:noFill/>
                      </pic:spPr>
                    </pic:pic>
                  </a:graphicData>
                </a:graphic>
              </wp:inline>
            </w:drawing>
          </w:r>
        </w:p>
        <w:p w14:paraId="78A89E09" w14:textId="77777777" w:rsidR="00AD44A1" w:rsidRPr="00356D39" w:rsidRDefault="00F76A1A" w:rsidP="00AD44A1">
          <w:pPr>
            <w:pStyle w:val="stBilgi"/>
            <w:jc w:val="center"/>
            <w:rPr>
              <w:rFonts w:ascii="Times New Roman" w:hAnsi="Times New Roman" w:cs="Times New Roman"/>
              <w:sz w:val="18"/>
            </w:rPr>
          </w:pPr>
          <w:hyperlink r:id="rId2" w:history="1">
            <w:r w:rsidR="00AD44A1" w:rsidRPr="00730875">
              <w:rPr>
                <w:rStyle w:val="Kpr"/>
                <w:rFonts w:ascii="Times New Roman" w:eastAsia="Times New Roman" w:hAnsi="Times New Roman" w:cs="Times New Roman"/>
                <w:i/>
                <w:sz w:val="18"/>
              </w:rPr>
              <w:t>https://www.icaens.org/</w:t>
            </w:r>
          </w:hyperlink>
        </w:p>
      </w:tc>
    </w:tr>
    <w:tr w:rsidR="00AD44A1" w14:paraId="3005DE1E" w14:textId="77777777" w:rsidTr="00D90B48">
      <w:trPr>
        <w:trHeight w:val="357"/>
      </w:trPr>
      <w:tc>
        <w:tcPr>
          <w:tcW w:w="7054" w:type="dxa"/>
          <w:tcBorders>
            <w:top w:val="single" w:sz="4" w:space="0" w:color="auto"/>
            <w:bottom w:val="single" w:sz="4" w:space="0" w:color="auto"/>
          </w:tcBorders>
          <w:vAlign w:val="center"/>
        </w:tcPr>
        <w:p w14:paraId="291CF328" w14:textId="77777777" w:rsidR="00AD44A1" w:rsidRPr="00CB2382" w:rsidRDefault="00AD44A1" w:rsidP="00AD44A1">
          <w:pPr>
            <w:jc w:val="center"/>
            <w:rPr>
              <w:rFonts w:ascii="Times New Roman" w:hAnsi="Times New Roman" w:cs="Times New Roman"/>
              <w:color w:val="7F7F7F" w:themeColor="text1" w:themeTint="80"/>
              <w:sz w:val="18"/>
              <w:szCs w:val="18"/>
              <w:lang w:val="en-US"/>
            </w:rPr>
          </w:pPr>
          <w:r w:rsidRPr="00CB2382">
            <w:rPr>
              <w:rFonts w:ascii="Times New Roman" w:hAnsi="Times New Roman" w:cs="Times New Roman"/>
              <w:color w:val="595959" w:themeColor="text1" w:themeTint="A6"/>
              <w:sz w:val="18"/>
              <w:szCs w:val="18"/>
              <w:lang w:val="en-US"/>
            </w:rPr>
            <w:t>© 20</w:t>
          </w:r>
          <w:r>
            <w:rPr>
              <w:rFonts w:ascii="Times New Roman" w:hAnsi="Times New Roman" w:cs="Times New Roman"/>
              <w:color w:val="595959" w:themeColor="text1" w:themeTint="A6"/>
              <w:sz w:val="18"/>
              <w:szCs w:val="18"/>
              <w:lang w:val="en-US"/>
            </w:rPr>
            <w:t>25</w:t>
          </w:r>
          <w:r w:rsidRPr="00CB2382">
            <w:rPr>
              <w:rFonts w:ascii="Times New Roman" w:hAnsi="Times New Roman" w:cs="Times New Roman"/>
              <w:color w:val="595959" w:themeColor="text1" w:themeTint="A6"/>
              <w:sz w:val="18"/>
              <w:szCs w:val="18"/>
              <w:lang w:val="en-US"/>
            </w:rPr>
            <w:t xml:space="preserve"> Published by </w:t>
          </w:r>
          <w:r>
            <w:rPr>
              <w:rFonts w:ascii="Times New Roman" w:hAnsi="Times New Roman" w:cs="Times New Roman"/>
              <w:color w:val="595959" w:themeColor="text1" w:themeTint="A6"/>
              <w:sz w:val="18"/>
              <w:szCs w:val="18"/>
              <w:lang w:val="en-US"/>
            </w:rPr>
            <w:t>All Sciences Academy</w:t>
          </w:r>
        </w:p>
      </w:tc>
      <w:tc>
        <w:tcPr>
          <w:tcW w:w="3335" w:type="dxa"/>
          <w:vMerge/>
          <w:tcBorders>
            <w:bottom w:val="single" w:sz="4" w:space="0" w:color="auto"/>
          </w:tcBorders>
        </w:tcPr>
        <w:p w14:paraId="56A917E0" w14:textId="77777777" w:rsidR="00AD44A1" w:rsidRPr="00634EFE" w:rsidRDefault="00AD44A1" w:rsidP="00AD44A1">
          <w:pPr>
            <w:pStyle w:val="stBilgi"/>
            <w:jc w:val="center"/>
            <w:rPr>
              <w:color w:val="BFBFBF" w:themeColor="background1" w:themeShade="BF"/>
              <w:sz w:val="40"/>
              <w:szCs w:val="40"/>
            </w:rPr>
          </w:pPr>
        </w:p>
      </w:tc>
    </w:tr>
    <w:bookmarkEnd w:id="0"/>
  </w:tbl>
  <w:p w14:paraId="3F12A0FD" w14:textId="77777777" w:rsidR="00E547B8" w:rsidRPr="00C327B7" w:rsidRDefault="00E547B8" w:rsidP="007F0B30">
    <w:pPr>
      <w:pStyle w:val="stBilgi"/>
      <w:rPr>
        <w:sz w:val="10"/>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1761C8" w14:textId="77777777" w:rsidR="00616F06" w:rsidRPr="00616F06" w:rsidRDefault="00616F06" w:rsidP="00616F06">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cs="Times New Roman" w:hint="default"/>
        <w:b w:val="0"/>
        <w:i w:val="0"/>
        <w:sz w:val="20"/>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 w15:restartNumberingAfterBreak="0">
    <w:nsid w:val="06BB56FC"/>
    <w:multiLevelType w:val="hybridMultilevel"/>
    <w:tmpl w:val="67FC8E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D74044"/>
    <w:multiLevelType w:val="multilevel"/>
    <w:tmpl w:val="5CCC7F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cs="Times New Roman" w:hint="default"/>
      </w:rPr>
    </w:lvl>
    <w:lvl w:ilvl="1">
      <w:start w:val="1"/>
      <w:numFmt w:val="decimal"/>
      <w:lvlText w:val="%1.%2)"/>
      <w:lvlJc w:val="left"/>
      <w:pPr>
        <w:tabs>
          <w:tab w:val="num" w:pos="936"/>
        </w:tabs>
        <w:ind w:left="936" w:hanging="720"/>
      </w:pPr>
      <w:rPr>
        <w:rFonts w:cs="Times New Roman" w:hint="default"/>
      </w:rPr>
    </w:lvl>
    <w:lvl w:ilvl="2">
      <w:start w:val="1"/>
      <w:numFmt w:val="decimal"/>
      <w:pStyle w:val="Balk3"/>
      <w:lvlText w:val="%3)"/>
      <w:lvlJc w:val="left"/>
      <w:pPr>
        <w:tabs>
          <w:tab w:val="num" w:pos="360"/>
        </w:tabs>
        <w:ind w:left="360" w:hanging="360"/>
      </w:pPr>
      <w:rPr>
        <w:rFonts w:cs="Times New Roman" w:hint="default"/>
      </w:rPr>
    </w:lvl>
    <w:lvl w:ilvl="3">
      <w:start w:val="1"/>
      <w:numFmt w:val="decimal"/>
      <w:lvlText w:val="%1.%2)%3.%4."/>
      <w:lvlJc w:val="left"/>
      <w:pPr>
        <w:tabs>
          <w:tab w:val="num" w:pos="1296"/>
        </w:tabs>
        <w:ind w:left="1296" w:hanging="1080"/>
      </w:pPr>
      <w:rPr>
        <w:rFonts w:cs="Times New Roman" w:hint="default"/>
      </w:rPr>
    </w:lvl>
    <w:lvl w:ilvl="4">
      <w:start w:val="1"/>
      <w:numFmt w:val="decimal"/>
      <w:lvlText w:val="%1.%2)%3.%4.%5."/>
      <w:lvlJc w:val="left"/>
      <w:pPr>
        <w:tabs>
          <w:tab w:val="num" w:pos="1296"/>
        </w:tabs>
        <w:ind w:left="1296" w:hanging="1080"/>
      </w:pPr>
      <w:rPr>
        <w:rFonts w:cs="Times New Roman" w:hint="default"/>
      </w:rPr>
    </w:lvl>
    <w:lvl w:ilvl="5">
      <w:start w:val="1"/>
      <w:numFmt w:val="decimal"/>
      <w:lvlText w:val="%1.%2)%3.%4.%5.%6."/>
      <w:lvlJc w:val="left"/>
      <w:pPr>
        <w:tabs>
          <w:tab w:val="num" w:pos="1656"/>
        </w:tabs>
        <w:ind w:left="1656" w:hanging="1440"/>
      </w:pPr>
      <w:rPr>
        <w:rFonts w:cs="Times New Roman" w:hint="default"/>
      </w:rPr>
    </w:lvl>
    <w:lvl w:ilvl="6">
      <w:start w:val="1"/>
      <w:numFmt w:val="decimal"/>
      <w:lvlText w:val="%1.%2)%3.%4.%5.%6.%7."/>
      <w:lvlJc w:val="left"/>
      <w:pPr>
        <w:tabs>
          <w:tab w:val="num" w:pos="1656"/>
        </w:tabs>
        <w:ind w:left="1656" w:hanging="1440"/>
      </w:pPr>
      <w:rPr>
        <w:rFonts w:cs="Times New Roman" w:hint="default"/>
      </w:rPr>
    </w:lvl>
    <w:lvl w:ilvl="7">
      <w:start w:val="1"/>
      <w:numFmt w:val="decimal"/>
      <w:lvlText w:val="%1.%2)%3.%4.%5.%6.%7.%8."/>
      <w:lvlJc w:val="left"/>
      <w:pPr>
        <w:tabs>
          <w:tab w:val="num" w:pos="2016"/>
        </w:tabs>
        <w:ind w:left="2016" w:hanging="1800"/>
      </w:pPr>
      <w:rPr>
        <w:rFonts w:cs="Times New Roman" w:hint="default"/>
      </w:rPr>
    </w:lvl>
    <w:lvl w:ilvl="8">
      <w:start w:val="1"/>
      <w:numFmt w:val="decimal"/>
      <w:lvlText w:val="%1.%2)%3.%4.%5.%6.%7.%8.%9."/>
      <w:lvlJc w:val="left"/>
      <w:pPr>
        <w:tabs>
          <w:tab w:val="num" w:pos="2016"/>
        </w:tabs>
        <w:ind w:left="2016" w:hanging="1800"/>
      </w:pPr>
      <w:rPr>
        <w:rFonts w:cs="Times New Roman" w:hint="default"/>
      </w:rPr>
    </w:lvl>
  </w:abstractNum>
  <w:abstractNum w:abstractNumId="4" w15:restartNumberingAfterBreak="0">
    <w:nsid w:val="328273D7"/>
    <w:multiLevelType w:val="multilevel"/>
    <w:tmpl w:val="9C8E938C"/>
    <w:numStyleLink w:val="IEEEBullet1"/>
  </w:abstractNum>
  <w:abstractNum w:abstractNumId="5"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hint="default"/>
        <w:sz w:val="16"/>
      </w:rPr>
    </w:lvl>
    <w:lvl w:ilvl="1">
      <w:start w:val="1"/>
      <w:numFmt w:val="bullet"/>
      <w:lvlText w:val=""/>
      <w:lvlJc w:val="left"/>
      <w:pPr>
        <w:tabs>
          <w:tab w:val="num" w:pos="288"/>
        </w:tabs>
        <w:ind w:left="288" w:hanging="288"/>
      </w:pPr>
      <w:rPr>
        <w:rFonts w:ascii="Symbol" w:eastAsia="SimSun" w:hAnsi="Symbol" w:hint="default"/>
        <w:sz w:val="24"/>
      </w:rPr>
    </w:lvl>
    <w:lvl w:ilvl="2">
      <w:start w:val="1"/>
      <w:numFmt w:val="lowerRoman"/>
      <w:lvlText w:val="%3."/>
      <w:lvlJc w:val="right"/>
      <w:pPr>
        <w:tabs>
          <w:tab w:val="num" w:pos="2160"/>
        </w:tabs>
        <w:ind w:left="2160" w:hanging="18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lowerLetter"/>
      <w:lvlText w:val="%5."/>
      <w:lvlJc w:val="left"/>
      <w:pPr>
        <w:tabs>
          <w:tab w:val="num" w:pos="3600"/>
        </w:tabs>
        <w:ind w:left="3600" w:hanging="360"/>
      </w:pPr>
      <w:rPr>
        <w:rFonts w:cs="Times New Roman" w:hint="default"/>
      </w:rPr>
    </w:lvl>
    <w:lvl w:ilvl="5">
      <w:start w:val="1"/>
      <w:numFmt w:val="lowerRoman"/>
      <w:lvlText w:val="%6."/>
      <w:lvlJc w:val="right"/>
      <w:pPr>
        <w:tabs>
          <w:tab w:val="num" w:pos="4320"/>
        </w:tabs>
        <w:ind w:left="4320" w:hanging="18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lowerLetter"/>
      <w:lvlText w:val="%8."/>
      <w:lvlJc w:val="left"/>
      <w:pPr>
        <w:tabs>
          <w:tab w:val="num" w:pos="5760"/>
        </w:tabs>
        <w:ind w:left="5760" w:hanging="360"/>
      </w:pPr>
      <w:rPr>
        <w:rFonts w:cs="Times New Roman" w:hint="default"/>
      </w:rPr>
    </w:lvl>
    <w:lvl w:ilvl="8">
      <w:start w:val="1"/>
      <w:numFmt w:val="lowerRoman"/>
      <w:lvlText w:val="%9."/>
      <w:lvlJc w:val="right"/>
      <w:pPr>
        <w:tabs>
          <w:tab w:val="num" w:pos="6480"/>
        </w:tabs>
        <w:ind w:left="6480" w:hanging="180"/>
      </w:pPr>
      <w:rPr>
        <w:rFonts w:cs="Times New Roman" w:hint="default"/>
      </w:rPr>
    </w:lvl>
  </w:abstractNum>
  <w:abstractNum w:abstractNumId="6" w15:restartNumberingAfterBreak="0">
    <w:nsid w:val="50232215"/>
    <w:multiLevelType w:val="multilevel"/>
    <w:tmpl w:val="E8742F18"/>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cs="Times New Roman" w:hint="default"/>
        <w:b w:val="0"/>
        <w:i w:val="0"/>
        <w:sz w:val="20"/>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7" w15:restartNumberingAfterBreak="0">
    <w:nsid w:val="6A7F4B21"/>
    <w:multiLevelType w:val="multilevel"/>
    <w:tmpl w:val="9C62DC70"/>
    <w:lvl w:ilvl="0">
      <w:start w:val="1"/>
      <w:numFmt w:val="decimal"/>
      <w:pStyle w:val="IEEEHeading3"/>
      <w:suff w:val="nothing"/>
      <w:lvlText w:val="%1)  "/>
      <w:lvlJc w:val="left"/>
      <w:rPr>
        <w:rFonts w:cs="Times New Roman" w:hint="default"/>
      </w:rPr>
    </w:lvl>
    <w:lvl w:ilvl="1">
      <w:start w:val="1"/>
      <w:numFmt w:val="decimal"/>
      <w:lvlText w:val="%1.%2)"/>
      <w:lvlJc w:val="left"/>
      <w:pPr>
        <w:tabs>
          <w:tab w:val="num" w:pos="936"/>
        </w:tabs>
        <w:ind w:left="936" w:hanging="720"/>
      </w:pPr>
      <w:rPr>
        <w:rFonts w:cs="Times New Roman" w:hint="default"/>
      </w:rPr>
    </w:lvl>
    <w:lvl w:ilvl="2">
      <w:start w:val="1"/>
      <w:numFmt w:val="decimal"/>
      <w:lvlText w:val="%1.%2)%3."/>
      <w:lvlJc w:val="left"/>
      <w:pPr>
        <w:tabs>
          <w:tab w:val="num" w:pos="936"/>
        </w:tabs>
        <w:ind w:left="936" w:hanging="720"/>
      </w:pPr>
      <w:rPr>
        <w:rFonts w:cs="Times New Roman" w:hint="default"/>
      </w:rPr>
    </w:lvl>
    <w:lvl w:ilvl="3">
      <w:start w:val="1"/>
      <w:numFmt w:val="decimal"/>
      <w:lvlText w:val="%1.%2)%3.%4."/>
      <w:lvlJc w:val="left"/>
      <w:pPr>
        <w:tabs>
          <w:tab w:val="num" w:pos="1296"/>
        </w:tabs>
        <w:ind w:left="1296" w:hanging="1080"/>
      </w:pPr>
      <w:rPr>
        <w:rFonts w:cs="Times New Roman" w:hint="default"/>
      </w:rPr>
    </w:lvl>
    <w:lvl w:ilvl="4">
      <w:start w:val="1"/>
      <w:numFmt w:val="decimal"/>
      <w:lvlText w:val="%1.%2)%3.%4.%5."/>
      <w:lvlJc w:val="left"/>
      <w:pPr>
        <w:tabs>
          <w:tab w:val="num" w:pos="1296"/>
        </w:tabs>
        <w:ind w:left="1296" w:hanging="1080"/>
      </w:pPr>
      <w:rPr>
        <w:rFonts w:cs="Times New Roman" w:hint="default"/>
      </w:rPr>
    </w:lvl>
    <w:lvl w:ilvl="5">
      <w:start w:val="1"/>
      <w:numFmt w:val="decimal"/>
      <w:lvlText w:val="%1.%2)%3.%4.%5.%6."/>
      <w:lvlJc w:val="left"/>
      <w:pPr>
        <w:tabs>
          <w:tab w:val="num" w:pos="1656"/>
        </w:tabs>
        <w:ind w:left="1656" w:hanging="1440"/>
      </w:pPr>
      <w:rPr>
        <w:rFonts w:cs="Times New Roman" w:hint="default"/>
      </w:rPr>
    </w:lvl>
    <w:lvl w:ilvl="6">
      <w:start w:val="1"/>
      <w:numFmt w:val="decimal"/>
      <w:lvlText w:val="%1.%2)%3.%4.%5.%6.%7."/>
      <w:lvlJc w:val="left"/>
      <w:pPr>
        <w:tabs>
          <w:tab w:val="num" w:pos="1656"/>
        </w:tabs>
        <w:ind w:left="1656" w:hanging="1440"/>
      </w:pPr>
      <w:rPr>
        <w:rFonts w:cs="Times New Roman" w:hint="default"/>
      </w:rPr>
    </w:lvl>
    <w:lvl w:ilvl="7">
      <w:start w:val="1"/>
      <w:numFmt w:val="decimal"/>
      <w:lvlText w:val="%1.%2)%3.%4.%5.%6.%7.%8."/>
      <w:lvlJc w:val="left"/>
      <w:pPr>
        <w:tabs>
          <w:tab w:val="num" w:pos="2016"/>
        </w:tabs>
        <w:ind w:left="2016" w:hanging="1800"/>
      </w:pPr>
      <w:rPr>
        <w:rFonts w:cs="Times New Roman" w:hint="default"/>
      </w:rPr>
    </w:lvl>
    <w:lvl w:ilvl="8">
      <w:start w:val="1"/>
      <w:numFmt w:val="decimal"/>
      <w:lvlText w:val="%1.%2)%3.%4.%5.%6.%7.%8.%9."/>
      <w:lvlJc w:val="left"/>
      <w:pPr>
        <w:tabs>
          <w:tab w:val="num" w:pos="2016"/>
        </w:tabs>
        <w:ind w:left="2016" w:hanging="1800"/>
      </w:pPr>
      <w:rPr>
        <w:rFonts w:cs="Times New Roman" w:hint="default"/>
      </w:rPr>
    </w:lvl>
  </w:abstractNum>
  <w:num w:numId="1">
    <w:abstractNumId w:val="0"/>
  </w:num>
  <w:num w:numId="2">
    <w:abstractNumId w:val="6"/>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4"/>
  </w:num>
  <w:num w:numId="6">
    <w:abstractNumId w:val="7"/>
  </w:num>
  <w:num w:numId="7">
    <w:abstractNumId w:val="3"/>
  </w:num>
  <w:num w:numId="8">
    <w:abstractNumId w:val="6"/>
  </w:num>
  <w:num w:numId="9">
    <w:abstractNumId w:val="1"/>
  </w:num>
  <w:num w:numId="10">
    <w:abstractNumId w:val="3"/>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0B2C"/>
    <w:rsid w:val="00016D02"/>
    <w:rsid w:val="00034269"/>
    <w:rsid w:val="00057478"/>
    <w:rsid w:val="000615A5"/>
    <w:rsid w:val="00062012"/>
    <w:rsid w:val="0006797B"/>
    <w:rsid w:val="000733C7"/>
    <w:rsid w:val="000926C0"/>
    <w:rsid w:val="000B442B"/>
    <w:rsid w:val="000C21CF"/>
    <w:rsid w:val="000C3D46"/>
    <w:rsid w:val="000F3688"/>
    <w:rsid w:val="001114BA"/>
    <w:rsid w:val="00115C0B"/>
    <w:rsid w:val="00123174"/>
    <w:rsid w:val="001450D1"/>
    <w:rsid w:val="0016356B"/>
    <w:rsid w:val="00181EBA"/>
    <w:rsid w:val="00192E4C"/>
    <w:rsid w:val="001A095E"/>
    <w:rsid w:val="001B433D"/>
    <w:rsid w:val="001C0496"/>
    <w:rsid w:val="001E40E2"/>
    <w:rsid w:val="00212D0B"/>
    <w:rsid w:val="00231378"/>
    <w:rsid w:val="002338E6"/>
    <w:rsid w:val="0026288C"/>
    <w:rsid w:val="002739EF"/>
    <w:rsid w:val="002808BA"/>
    <w:rsid w:val="00285E8A"/>
    <w:rsid w:val="00286E5C"/>
    <w:rsid w:val="002930DD"/>
    <w:rsid w:val="002A18CE"/>
    <w:rsid w:val="002D2F00"/>
    <w:rsid w:val="002E6679"/>
    <w:rsid w:val="0030640B"/>
    <w:rsid w:val="00310242"/>
    <w:rsid w:val="003254E8"/>
    <w:rsid w:val="003A21AF"/>
    <w:rsid w:val="003A369B"/>
    <w:rsid w:val="003A60D9"/>
    <w:rsid w:val="003C1152"/>
    <w:rsid w:val="003C65AA"/>
    <w:rsid w:val="003D7C03"/>
    <w:rsid w:val="003F1588"/>
    <w:rsid w:val="004146BB"/>
    <w:rsid w:val="00432C22"/>
    <w:rsid w:val="0045100A"/>
    <w:rsid w:val="004624F7"/>
    <w:rsid w:val="00463E96"/>
    <w:rsid w:val="00467950"/>
    <w:rsid w:val="00480AED"/>
    <w:rsid w:val="004A470F"/>
    <w:rsid w:val="004A55FC"/>
    <w:rsid w:val="004B73BD"/>
    <w:rsid w:val="004C090F"/>
    <w:rsid w:val="004D1F20"/>
    <w:rsid w:val="004E4629"/>
    <w:rsid w:val="0050626B"/>
    <w:rsid w:val="00510F8A"/>
    <w:rsid w:val="00527213"/>
    <w:rsid w:val="005456BB"/>
    <w:rsid w:val="00566076"/>
    <w:rsid w:val="0057259C"/>
    <w:rsid w:val="005733F7"/>
    <w:rsid w:val="005766AD"/>
    <w:rsid w:val="0058202F"/>
    <w:rsid w:val="00590211"/>
    <w:rsid w:val="005915AC"/>
    <w:rsid w:val="00594046"/>
    <w:rsid w:val="005E3672"/>
    <w:rsid w:val="005E4AA9"/>
    <w:rsid w:val="005F5030"/>
    <w:rsid w:val="006045FB"/>
    <w:rsid w:val="00613928"/>
    <w:rsid w:val="00616F06"/>
    <w:rsid w:val="006177D1"/>
    <w:rsid w:val="006221AC"/>
    <w:rsid w:val="00630349"/>
    <w:rsid w:val="00646583"/>
    <w:rsid w:val="00670936"/>
    <w:rsid w:val="00672235"/>
    <w:rsid w:val="006C0D38"/>
    <w:rsid w:val="007158D7"/>
    <w:rsid w:val="00716829"/>
    <w:rsid w:val="00724D79"/>
    <w:rsid w:val="0076105E"/>
    <w:rsid w:val="00773B39"/>
    <w:rsid w:val="00786803"/>
    <w:rsid w:val="00790179"/>
    <w:rsid w:val="007A1008"/>
    <w:rsid w:val="007A41F8"/>
    <w:rsid w:val="007A4BD6"/>
    <w:rsid w:val="007C3E78"/>
    <w:rsid w:val="007C45AC"/>
    <w:rsid w:val="007D3DB1"/>
    <w:rsid w:val="007F0B30"/>
    <w:rsid w:val="007F7949"/>
    <w:rsid w:val="00801FDE"/>
    <w:rsid w:val="00882297"/>
    <w:rsid w:val="00896B2D"/>
    <w:rsid w:val="008A21D4"/>
    <w:rsid w:val="008B5AB8"/>
    <w:rsid w:val="008C6783"/>
    <w:rsid w:val="008D1C18"/>
    <w:rsid w:val="009011A2"/>
    <w:rsid w:val="00902F24"/>
    <w:rsid w:val="00906B72"/>
    <w:rsid w:val="009260DF"/>
    <w:rsid w:val="009509DE"/>
    <w:rsid w:val="00956F11"/>
    <w:rsid w:val="009578F5"/>
    <w:rsid w:val="009976A2"/>
    <w:rsid w:val="009A38FD"/>
    <w:rsid w:val="009A6C9E"/>
    <w:rsid w:val="009B5498"/>
    <w:rsid w:val="009C44CC"/>
    <w:rsid w:val="009D3A3D"/>
    <w:rsid w:val="009D7960"/>
    <w:rsid w:val="009F154B"/>
    <w:rsid w:val="00A01920"/>
    <w:rsid w:val="00A443BC"/>
    <w:rsid w:val="00A52694"/>
    <w:rsid w:val="00A60AFC"/>
    <w:rsid w:val="00A978C2"/>
    <w:rsid w:val="00AB22EB"/>
    <w:rsid w:val="00AD44A1"/>
    <w:rsid w:val="00AF25E8"/>
    <w:rsid w:val="00B34515"/>
    <w:rsid w:val="00B53248"/>
    <w:rsid w:val="00B673A0"/>
    <w:rsid w:val="00B757B4"/>
    <w:rsid w:val="00B80B2C"/>
    <w:rsid w:val="00B91A01"/>
    <w:rsid w:val="00B92F2B"/>
    <w:rsid w:val="00BC2648"/>
    <w:rsid w:val="00BD5851"/>
    <w:rsid w:val="00BE6ACB"/>
    <w:rsid w:val="00BF2399"/>
    <w:rsid w:val="00C327B7"/>
    <w:rsid w:val="00C66488"/>
    <w:rsid w:val="00CA5FD4"/>
    <w:rsid w:val="00CB3B94"/>
    <w:rsid w:val="00CC2C38"/>
    <w:rsid w:val="00CC38F4"/>
    <w:rsid w:val="00CC7A7D"/>
    <w:rsid w:val="00D10DCF"/>
    <w:rsid w:val="00D311EE"/>
    <w:rsid w:val="00D3727F"/>
    <w:rsid w:val="00D625A8"/>
    <w:rsid w:val="00D9233F"/>
    <w:rsid w:val="00DA1C6B"/>
    <w:rsid w:val="00DA35D0"/>
    <w:rsid w:val="00DD272F"/>
    <w:rsid w:val="00DD49F3"/>
    <w:rsid w:val="00DE38D9"/>
    <w:rsid w:val="00DE6E90"/>
    <w:rsid w:val="00DF44C4"/>
    <w:rsid w:val="00DF7074"/>
    <w:rsid w:val="00E03D4C"/>
    <w:rsid w:val="00E0542D"/>
    <w:rsid w:val="00E10B77"/>
    <w:rsid w:val="00E20D37"/>
    <w:rsid w:val="00E22343"/>
    <w:rsid w:val="00E50DAF"/>
    <w:rsid w:val="00E547B8"/>
    <w:rsid w:val="00E71235"/>
    <w:rsid w:val="00E971C4"/>
    <w:rsid w:val="00EC1B10"/>
    <w:rsid w:val="00EF500F"/>
    <w:rsid w:val="00F06D03"/>
    <w:rsid w:val="00F44C4A"/>
    <w:rsid w:val="00F6768A"/>
    <w:rsid w:val="00F76A1A"/>
    <w:rsid w:val="00F96D4B"/>
    <w:rsid w:val="00FC2FD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5E3160"/>
  <w15:docId w15:val="{B0CC65F5-C01D-4EAA-989A-677375E07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3">
    <w:name w:val="heading 3"/>
    <w:basedOn w:val="Normal"/>
    <w:next w:val="Normal"/>
    <w:link w:val="Balk3Char"/>
    <w:uiPriority w:val="99"/>
    <w:qFormat/>
    <w:rsid w:val="004C090F"/>
    <w:pPr>
      <w:keepNext/>
      <w:numPr>
        <w:ilvl w:val="2"/>
        <w:numId w:val="7"/>
      </w:numPr>
      <w:spacing w:before="240" w:after="60" w:line="240" w:lineRule="auto"/>
      <w:outlineLvl w:val="2"/>
    </w:pPr>
    <w:rPr>
      <w:rFonts w:ascii="Arial" w:eastAsia="SimSun" w:hAnsi="Arial" w:cs="Arial"/>
      <w:b/>
      <w:bCs/>
      <w:sz w:val="26"/>
      <w:szCs w:val="26"/>
      <w:lang w:val="en-AU" w:eastAsia="zh-C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B80B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B80B2C"/>
  </w:style>
  <w:style w:type="paragraph" w:styleId="AltBilgi">
    <w:name w:val="footer"/>
    <w:basedOn w:val="Normal"/>
    <w:link w:val="AltBilgiChar"/>
    <w:uiPriority w:val="99"/>
    <w:unhideWhenUsed/>
    <w:rsid w:val="00B80B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B80B2C"/>
  </w:style>
  <w:style w:type="paragraph" w:styleId="ListeParagraf">
    <w:name w:val="List Paragraph"/>
    <w:basedOn w:val="Normal"/>
    <w:link w:val="ListeParagrafChar"/>
    <w:uiPriority w:val="34"/>
    <w:qFormat/>
    <w:rsid w:val="00B80B2C"/>
    <w:pPr>
      <w:ind w:left="720"/>
      <w:contextualSpacing/>
    </w:pPr>
  </w:style>
  <w:style w:type="character" w:customStyle="1" w:styleId="italic">
    <w:name w:val="italic"/>
    <w:basedOn w:val="VarsaylanParagrafYazTipi"/>
    <w:uiPriority w:val="99"/>
    <w:rsid w:val="00B80B2C"/>
    <w:rPr>
      <w:rFonts w:cs="Times New Roman"/>
    </w:rPr>
  </w:style>
  <w:style w:type="character" w:customStyle="1" w:styleId="apple-converted-space">
    <w:name w:val="apple-converted-space"/>
    <w:basedOn w:val="VarsaylanParagrafYazTipi"/>
    <w:uiPriority w:val="99"/>
    <w:rsid w:val="00B80B2C"/>
    <w:rPr>
      <w:rFonts w:cs="Times New Roman"/>
    </w:rPr>
  </w:style>
  <w:style w:type="paragraph" w:styleId="NormalWeb">
    <w:name w:val="Normal (Web)"/>
    <w:basedOn w:val="Normal"/>
    <w:uiPriority w:val="99"/>
    <w:rsid w:val="00B80B2C"/>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99"/>
    <w:qFormat/>
    <w:rsid w:val="00B80B2C"/>
    <w:rPr>
      <w:rFonts w:cs="Times New Roman"/>
      <w:b/>
      <w:bCs/>
    </w:rPr>
  </w:style>
  <w:style w:type="paragraph" w:customStyle="1" w:styleId="IEEEParagraph">
    <w:name w:val="IEEE Paragraph"/>
    <w:basedOn w:val="Normal"/>
    <w:link w:val="IEEEParagraphChar"/>
    <w:uiPriority w:val="99"/>
    <w:rsid w:val="007F7949"/>
    <w:pPr>
      <w:adjustRightInd w:val="0"/>
      <w:snapToGrid w:val="0"/>
      <w:spacing w:after="0" w:line="240" w:lineRule="auto"/>
      <w:ind w:firstLine="216"/>
      <w:jc w:val="both"/>
    </w:pPr>
    <w:rPr>
      <w:rFonts w:ascii="Times New Roman" w:eastAsia="SimSun" w:hAnsi="Times New Roman" w:cs="Times New Roman"/>
      <w:sz w:val="20"/>
      <w:szCs w:val="24"/>
      <w:lang w:val="en-AU" w:eastAsia="zh-CN"/>
    </w:rPr>
  </w:style>
  <w:style w:type="paragraph" w:customStyle="1" w:styleId="IEEEHeading1">
    <w:name w:val="IEEE Heading 1"/>
    <w:basedOn w:val="Normal"/>
    <w:next w:val="IEEEParagraph"/>
    <w:uiPriority w:val="99"/>
    <w:rsid w:val="007F7949"/>
    <w:pPr>
      <w:numPr>
        <w:numId w:val="1"/>
      </w:numPr>
      <w:adjustRightInd w:val="0"/>
      <w:snapToGrid w:val="0"/>
      <w:spacing w:before="180" w:after="60" w:line="240" w:lineRule="auto"/>
      <w:ind w:left="289" w:hanging="289"/>
      <w:jc w:val="center"/>
    </w:pPr>
    <w:rPr>
      <w:rFonts w:ascii="Times New Roman" w:eastAsia="SimSun" w:hAnsi="Times New Roman" w:cs="Times New Roman"/>
      <w:smallCaps/>
      <w:sz w:val="20"/>
      <w:szCs w:val="24"/>
      <w:lang w:val="en-AU" w:eastAsia="zh-CN"/>
    </w:rPr>
  </w:style>
  <w:style w:type="character" w:customStyle="1" w:styleId="IEEEParagraphChar">
    <w:name w:val="IEEE Paragraph Char"/>
    <w:basedOn w:val="VarsaylanParagrafYazTipi"/>
    <w:link w:val="IEEEParagraph"/>
    <w:uiPriority w:val="99"/>
    <w:locked/>
    <w:rsid w:val="007F7949"/>
    <w:rPr>
      <w:rFonts w:ascii="Times New Roman" w:eastAsia="SimSun" w:hAnsi="Times New Roman" w:cs="Times New Roman"/>
      <w:sz w:val="20"/>
      <w:szCs w:val="24"/>
      <w:lang w:val="en-AU" w:eastAsia="zh-CN"/>
    </w:rPr>
  </w:style>
  <w:style w:type="character" w:styleId="Kpr">
    <w:name w:val="Hyperlink"/>
    <w:basedOn w:val="VarsaylanParagrafYazTipi"/>
    <w:uiPriority w:val="99"/>
    <w:unhideWhenUsed/>
    <w:rsid w:val="007F7949"/>
    <w:rPr>
      <w:color w:val="0563C1" w:themeColor="hyperlink"/>
      <w:u w:val="single"/>
    </w:rPr>
  </w:style>
  <w:style w:type="paragraph" w:customStyle="1" w:styleId="IEEEHeading2">
    <w:name w:val="IEEE Heading 2"/>
    <w:basedOn w:val="Normal"/>
    <w:next w:val="IEEEParagraph"/>
    <w:uiPriority w:val="99"/>
    <w:rsid w:val="007F7949"/>
    <w:pPr>
      <w:numPr>
        <w:numId w:val="2"/>
      </w:numPr>
      <w:adjustRightInd w:val="0"/>
      <w:snapToGrid w:val="0"/>
      <w:spacing w:before="150" w:after="60" w:line="240" w:lineRule="auto"/>
    </w:pPr>
    <w:rPr>
      <w:rFonts w:ascii="Times New Roman" w:eastAsia="SimSun" w:hAnsi="Times New Roman" w:cs="Times New Roman"/>
      <w:i/>
      <w:sz w:val="20"/>
      <w:szCs w:val="24"/>
      <w:lang w:val="en-AU" w:eastAsia="zh-CN"/>
    </w:rPr>
  </w:style>
  <w:style w:type="numbering" w:customStyle="1" w:styleId="IEEEBullet1">
    <w:name w:val="IEEE Bullet 1"/>
    <w:rsid w:val="007F7949"/>
    <w:pPr>
      <w:numPr>
        <w:numId w:val="4"/>
      </w:numPr>
    </w:pPr>
  </w:style>
  <w:style w:type="paragraph" w:customStyle="1" w:styleId="IEEETableCaption">
    <w:name w:val="IEEE Table Caption"/>
    <w:basedOn w:val="Normal"/>
    <w:next w:val="IEEEParagraph"/>
    <w:uiPriority w:val="99"/>
    <w:rsid w:val="00790179"/>
    <w:pPr>
      <w:spacing w:before="120" w:after="120" w:line="240" w:lineRule="auto"/>
      <w:jc w:val="center"/>
    </w:pPr>
    <w:rPr>
      <w:rFonts w:ascii="Times New Roman" w:eastAsia="SimSun" w:hAnsi="Times New Roman" w:cs="Times New Roman"/>
      <w:smallCaps/>
      <w:sz w:val="16"/>
      <w:szCs w:val="24"/>
      <w:lang w:val="en-AU" w:eastAsia="zh-CN"/>
    </w:rPr>
  </w:style>
  <w:style w:type="character" w:customStyle="1" w:styleId="Balk3Char">
    <w:name w:val="Başlık 3 Char"/>
    <w:basedOn w:val="VarsaylanParagrafYazTipi"/>
    <w:link w:val="Balk3"/>
    <w:uiPriority w:val="99"/>
    <w:rsid w:val="004C090F"/>
    <w:rPr>
      <w:rFonts w:ascii="Arial" w:eastAsia="SimSun" w:hAnsi="Arial" w:cs="Arial"/>
      <w:b/>
      <w:bCs/>
      <w:sz w:val="26"/>
      <w:szCs w:val="26"/>
      <w:lang w:val="en-AU" w:eastAsia="zh-CN"/>
    </w:rPr>
  </w:style>
  <w:style w:type="paragraph" w:customStyle="1" w:styleId="IEEEHeading3">
    <w:name w:val="IEEE Heading 3"/>
    <w:basedOn w:val="Normal"/>
    <w:next w:val="IEEEParagraph"/>
    <w:link w:val="IEEEHeading3Char"/>
    <w:uiPriority w:val="99"/>
    <w:rsid w:val="004C090F"/>
    <w:pPr>
      <w:numPr>
        <w:numId w:val="6"/>
      </w:numPr>
      <w:adjustRightInd w:val="0"/>
      <w:snapToGrid w:val="0"/>
      <w:spacing w:before="120" w:after="60" w:line="240" w:lineRule="auto"/>
      <w:ind w:firstLine="216"/>
      <w:jc w:val="both"/>
    </w:pPr>
    <w:rPr>
      <w:rFonts w:ascii="Times New Roman" w:eastAsia="SimSun" w:hAnsi="Times New Roman" w:cs="Times New Roman"/>
      <w:i/>
      <w:sz w:val="20"/>
      <w:szCs w:val="24"/>
      <w:lang w:val="en-AU" w:eastAsia="zh-CN"/>
    </w:rPr>
  </w:style>
  <w:style w:type="paragraph" w:customStyle="1" w:styleId="IEEEFigureCaptionSingle-Line">
    <w:name w:val="IEEE Figure Caption Single-Line"/>
    <w:basedOn w:val="IEEETableCaption"/>
    <w:next w:val="IEEEParagraph"/>
    <w:uiPriority w:val="99"/>
    <w:rsid w:val="004C090F"/>
    <w:rPr>
      <w:smallCaps w:val="0"/>
    </w:rPr>
  </w:style>
  <w:style w:type="character" w:customStyle="1" w:styleId="IEEEHeading3Char">
    <w:name w:val="IEEE Heading 3 Char"/>
    <w:basedOn w:val="VarsaylanParagrafYazTipi"/>
    <w:link w:val="IEEEHeading3"/>
    <w:uiPriority w:val="99"/>
    <w:locked/>
    <w:rsid w:val="004C090F"/>
    <w:rPr>
      <w:rFonts w:ascii="Times New Roman" w:eastAsia="SimSun" w:hAnsi="Times New Roman" w:cs="Times New Roman"/>
      <w:i/>
      <w:sz w:val="20"/>
      <w:szCs w:val="24"/>
      <w:lang w:val="en-AU" w:eastAsia="zh-CN"/>
    </w:rPr>
  </w:style>
  <w:style w:type="paragraph" w:customStyle="1" w:styleId="IEEEFigure">
    <w:name w:val="IEEE Figure"/>
    <w:basedOn w:val="Normal"/>
    <w:next w:val="IEEEFigureCaptionSingle-Line"/>
    <w:uiPriority w:val="99"/>
    <w:rsid w:val="004C090F"/>
    <w:pPr>
      <w:spacing w:after="0" w:line="240" w:lineRule="auto"/>
      <w:jc w:val="center"/>
    </w:pPr>
    <w:rPr>
      <w:rFonts w:ascii="Times New Roman" w:eastAsia="SimSun" w:hAnsi="Times New Roman" w:cs="Times New Roman"/>
      <w:sz w:val="24"/>
      <w:szCs w:val="24"/>
      <w:lang w:val="en-AU" w:eastAsia="zh-CN"/>
    </w:rPr>
  </w:style>
  <w:style w:type="paragraph" w:customStyle="1" w:styleId="IEEEReferenceItem">
    <w:name w:val="IEEE Reference Item"/>
    <w:basedOn w:val="Normal"/>
    <w:uiPriority w:val="99"/>
    <w:rsid w:val="004C090F"/>
    <w:pPr>
      <w:numPr>
        <w:numId w:val="7"/>
      </w:numPr>
      <w:adjustRightInd w:val="0"/>
      <w:snapToGrid w:val="0"/>
      <w:spacing w:after="0" w:line="240" w:lineRule="auto"/>
      <w:jc w:val="both"/>
    </w:pPr>
    <w:rPr>
      <w:rFonts w:ascii="Times New Roman" w:eastAsia="SimSun" w:hAnsi="Times New Roman" w:cs="Times New Roman"/>
      <w:sz w:val="16"/>
      <w:szCs w:val="24"/>
      <w:lang w:val="en-US" w:eastAsia="zh-CN"/>
    </w:rPr>
  </w:style>
  <w:style w:type="paragraph" w:customStyle="1" w:styleId="IEEEFigureCaptionMulti-Lines">
    <w:name w:val="IEEE Figure Caption Multi-Lines"/>
    <w:basedOn w:val="IEEEFigureCaptionSingle-Line"/>
    <w:next w:val="IEEEParagraph"/>
    <w:uiPriority w:val="99"/>
    <w:rsid w:val="004C090F"/>
    <w:pPr>
      <w:jc w:val="both"/>
    </w:pPr>
  </w:style>
  <w:style w:type="table" w:styleId="TabloKlavuzu">
    <w:name w:val="Table Grid"/>
    <w:basedOn w:val="NormalTablo"/>
    <w:uiPriority w:val="59"/>
    <w:rsid w:val="009509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onMetni">
    <w:name w:val="Balloon Text"/>
    <w:basedOn w:val="Normal"/>
    <w:link w:val="BalonMetniChar"/>
    <w:uiPriority w:val="99"/>
    <w:semiHidden/>
    <w:unhideWhenUsed/>
    <w:rsid w:val="001450D1"/>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1450D1"/>
    <w:rPr>
      <w:rFonts w:ascii="Tahoma" w:hAnsi="Tahoma" w:cs="Tahoma"/>
      <w:sz w:val="16"/>
      <w:szCs w:val="16"/>
    </w:rPr>
  </w:style>
  <w:style w:type="table" w:customStyle="1" w:styleId="TableNormal">
    <w:name w:val="Table Normal"/>
    <w:uiPriority w:val="2"/>
    <w:semiHidden/>
    <w:unhideWhenUsed/>
    <w:qFormat/>
    <w:rsid w:val="001450D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450D1"/>
    <w:pPr>
      <w:widowControl w:val="0"/>
      <w:autoSpaceDE w:val="0"/>
      <w:autoSpaceDN w:val="0"/>
      <w:spacing w:before="2" w:after="0" w:line="240" w:lineRule="auto"/>
      <w:ind w:left="173" w:hanging="142"/>
    </w:pPr>
    <w:rPr>
      <w:rFonts w:ascii="Verdana" w:eastAsia="Verdana" w:hAnsi="Verdana" w:cs="Verdana"/>
      <w:lang w:eastAsia="tr-TR" w:bidi="tr-TR"/>
    </w:rPr>
  </w:style>
  <w:style w:type="character" w:customStyle="1" w:styleId="ListeParagrafChar">
    <w:name w:val="Liste Paragraf Char"/>
    <w:basedOn w:val="VarsaylanParagrafYazTipi"/>
    <w:link w:val="ListeParagraf"/>
    <w:uiPriority w:val="34"/>
    <w:rsid w:val="00CC2C38"/>
  </w:style>
  <w:style w:type="paragraph" w:customStyle="1" w:styleId="font8">
    <w:name w:val="font_8"/>
    <w:basedOn w:val="Normal"/>
    <w:rsid w:val="002338E6"/>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ResimYazs">
    <w:name w:val="caption"/>
    <w:basedOn w:val="Normal"/>
    <w:next w:val="Normal"/>
    <w:uiPriority w:val="35"/>
    <w:unhideWhenUsed/>
    <w:qFormat/>
    <w:rsid w:val="002808BA"/>
    <w:pPr>
      <w:spacing w:after="200" w:line="240" w:lineRule="auto"/>
    </w:pPr>
    <w:rPr>
      <w:rFonts w:ascii="Times New Roman" w:eastAsia="Times New Roman" w:hAnsi="Times New Roman" w:cs="Times New Roman"/>
      <w:i/>
      <w:iCs/>
      <w:color w:val="44546A" w:themeColor="text2"/>
      <w:sz w:val="18"/>
      <w:szCs w:val="18"/>
      <w:lang w:val="en"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1686843">
      <w:bodyDiv w:val="1"/>
      <w:marLeft w:val="0"/>
      <w:marRight w:val="0"/>
      <w:marTop w:val="0"/>
      <w:marBottom w:val="0"/>
      <w:divBdr>
        <w:top w:val="none" w:sz="0" w:space="0" w:color="auto"/>
        <w:left w:val="none" w:sz="0" w:space="0" w:color="auto"/>
        <w:bottom w:val="none" w:sz="0" w:space="0" w:color="auto"/>
        <w:right w:val="none" w:sz="0" w:space="0" w:color="auto"/>
      </w:divBdr>
    </w:div>
    <w:div w:id="1397976887">
      <w:bodyDiv w:val="1"/>
      <w:marLeft w:val="0"/>
      <w:marRight w:val="0"/>
      <w:marTop w:val="0"/>
      <w:marBottom w:val="0"/>
      <w:divBdr>
        <w:top w:val="none" w:sz="0" w:space="0" w:color="auto"/>
        <w:left w:val="none" w:sz="0" w:space="0" w:color="auto"/>
        <w:bottom w:val="none" w:sz="0" w:space="0" w:color="auto"/>
        <w:right w:val="none" w:sz="0" w:space="0" w:color="auto"/>
      </w:divBdr>
    </w:div>
    <w:div w:id="1529954219">
      <w:bodyDiv w:val="1"/>
      <w:marLeft w:val="0"/>
      <w:marRight w:val="0"/>
      <w:marTop w:val="0"/>
      <w:marBottom w:val="0"/>
      <w:divBdr>
        <w:top w:val="none" w:sz="0" w:space="0" w:color="auto"/>
        <w:left w:val="none" w:sz="0" w:space="0" w:color="auto"/>
        <w:bottom w:val="none" w:sz="0" w:space="0" w:color="auto"/>
        <w:right w:val="none" w:sz="0" w:space="0" w:color="auto"/>
      </w:divBdr>
    </w:div>
    <w:div w:id="1979602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hyperlink" Target="https://www.icaens.org/" TargetMode="External"/><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7</Pages>
  <Words>2160</Words>
  <Characters>12312</Characters>
  <Application>Microsoft Office Word</Application>
  <DocSecurity>0</DocSecurity>
  <Lines>102</Lines>
  <Paragraphs>28</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TuRGuT</dc:creator>
  <cp:lastModifiedBy>Hüseyin KURT</cp:lastModifiedBy>
  <cp:revision>123</cp:revision>
  <dcterms:created xsi:type="dcterms:W3CDTF">2020-02-20T11:01:00Z</dcterms:created>
  <dcterms:modified xsi:type="dcterms:W3CDTF">2025-08-13T10:13:00Z</dcterms:modified>
</cp:coreProperties>
</file>