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1F4E79"/>
          <w:sz w:val="52"/>
          <w:szCs w:val="52"/>
        </w:rPr>
        <w:t xml:space="preserve">Personal Finance Manager</w:t>
      </w:r>
    </w:p>
    <w:p>
      <w:pPr>
        <w:spacing w:after="80"/>
        <w:jc w:val="center"/>
      </w:pPr>
      <w:r>
        <w:rPr>
          <w:color w:val="000000"/>
          <w:sz w:val="32"/>
          <w:szCs w:val="32"/>
        </w:rPr>
        <w:t xml:space="preserve">Discovery Brief</w:t>
      </w:r>
    </w:p>
    <w:p>
      <w:pPr>
        <w:spacing w:after="40"/>
        <w:jc w:val="center"/>
      </w:pPr>
      <w:r>
        <w:rPr>
          <w:i/>
          <w:iCs/>
          <w:color w:val="666666"/>
          <w:sz w:val="24"/>
          <w:szCs w:val="24"/>
        </w:rPr>
        <w:t xml:space="preserve">A 360° financial picture for households and families</w:t>
      </w:r>
    </w:p>
    <w:p>
      <w:pPr>
        <w:spacing w:before="240"/>
        <w:jc w:val="center"/>
      </w:pPr>
      <w:r>
        <w:rPr>
          <w:color w:val="666666"/>
          <w:sz w:val="20"/>
          <w:szCs w:val="20"/>
        </w:rPr>
        <w:t xml:space="preserve">Prepared for Harsh  •  June 4, 2026  •  v0.1</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This brief frames the problem space for a personal finance manager aimed at households and families, and recommends an approach for the first phase of work. The goal of the product is a single, trustworthy place where a household can see its complete financial picture — income, expenses, accounts, and net worth — and act on it together.</w:t>
      </w:r>
    </w:p>
    <w:p>
      <w:pPr>
        <w:spacing w:after="160"/>
      </w:pPr>
      <w:r>
        <w:t xml:space="preserve">The market shifted meaningfully after Intuit shut down Mint in early 2024, displacing millions of users and leaving a gap that Monarch Money, Copilot, Simplifi, and YNAB are competing to fill. None of these were built household-first; most treat collaboration as an add-on. That is the opening this product targets.</w:t>
      </w:r>
    </w:p>
    <w:p>
      <w:pPr>
        <w:spacing w:after="160"/>
      </w:pPr>
      <w:r>
        <w:t xml:space="preserve">For the first release we recommend leading with budgeting and spending — the daily-use feature that builds habit and retention — layered on top of account aggregation. We recommend using a third-party aggregator (Plaid, MX, or Finicity) rather than building direct bank integrations, which keeps the team out of the hardest parts of data access and security while still delivering a live, holistic view.</w:t>
      </w:r>
    </w:p>
    <w:p>
      <w:pPr>
        <w:pBdr>
          <w:bottom w:val="single" w:color="1F4E79" w:sz="6" w:space="1"/>
        </w:pBdr>
        <w:spacing w:after="120"/>
      </w:pPr>
    </w:p>
    <w:p>
      <w:pPr>
        <w:pStyle w:val="Heading1"/>
      </w:pPr>
      <w:r>
        <w:t xml:space="preserve">2. The Problem Space</w:t>
      </w:r>
    </w:p>
    <w:p>
      <w:pPr>
        <w:spacing w:after="160"/>
      </w:pPr>
      <w:r>
        <w:t xml:space="preserve">Most households do not lack financial data — they lack a single, current, shared view of it. Money is spread across checking and savings accounts, multiple credit cards, loans, retirement and brokerage accounts, and increasingly across two or more people who each hold some of those accounts. The result is fragmentation.</w:t>
      </w:r>
    </w:p>
    <w:p>
      <w:pPr>
        <w:pStyle w:val="Heading2"/>
      </w:pPr>
      <w:r>
        <w:t xml:space="preserve">2.1 Core pain points</w:t>
      </w:r>
    </w:p>
    <w:p>
      <w:pPr>
        <w:pStyle w:val="ListParagraph"/>
        <w:numPr>
          <w:ilvl w:val="0"/>
          <w:numId w:val="2"/>
        </w:numPr>
        <w:spacing w:after="60"/>
      </w:pPr>
      <w:r>
        <w:t xml:space="preserve">Fragmentation: balances and transactions live in many apps and logins, so no one sees the whole picture at once.</w:t>
      </w:r>
    </w:p>
    <w:p>
      <w:pPr>
        <w:pStyle w:val="ListParagraph"/>
        <w:numPr>
          <w:ilvl w:val="0"/>
          <w:numId w:val="2"/>
        </w:numPr>
        <w:spacing w:after="60"/>
      </w:pPr>
      <w:r>
        <w:t xml:space="preserve">Manual effort: spreadsheets and manual entry are accurate but tedious, and they fall out of date quickly.</w:t>
      </w:r>
    </w:p>
    <w:p>
      <w:pPr>
        <w:pStyle w:val="ListParagraph"/>
        <w:numPr>
          <w:ilvl w:val="0"/>
          <w:numId w:val="2"/>
        </w:numPr>
        <w:spacing w:after="60"/>
      </w:pPr>
      <w:r>
        <w:t xml:space="preserve">Lack of shared visibility: partners often manage money separately, leading to surprises, duplicated effort, and friction.</w:t>
      </w:r>
    </w:p>
    <w:p>
      <w:pPr>
        <w:pStyle w:val="ListParagraph"/>
        <w:numPr>
          <w:ilvl w:val="0"/>
          <w:numId w:val="2"/>
        </w:numPr>
        <w:spacing w:after="60"/>
      </w:pPr>
      <w:r>
        <w:t xml:space="preserve">Reactive rather than proactive: people discover overspending after it happens, not before.</w:t>
      </w:r>
    </w:p>
    <w:p>
      <w:pPr>
        <w:pStyle w:val="ListParagraph"/>
        <w:numPr>
          <w:ilvl w:val="0"/>
          <w:numId w:val="2"/>
        </w:numPr>
        <w:spacing w:after="60"/>
      </w:pPr>
      <w:r>
        <w:t xml:space="preserve">Trust and churn: the Mint shutdown taught users their data and habits can vanish; they now weigh longevity and privacy heavily.</w:t>
      </w:r>
    </w:p>
    <w:p>
      <w:pPr>
        <w:pStyle w:val="Heading2"/>
      </w:pPr>
      <w:r>
        <w:t xml:space="preserve">2.2 Who we are building for first</w:t>
      </w:r>
    </w:p>
    <w:p>
      <w:pPr>
        <w:spacing w:after="160"/>
      </w:pPr>
      <w:r>
        <w:t xml:space="preserve">The primary user is the household — typically two adults sharing some finances while keeping some individual. This audience has the most acute fragmentation problem (more accounts, more people) and the weakest incumbent offering, since most tools were designed for a single user. Designing for collaboration from day one is the central strategic bet.</w:t>
      </w:r>
    </w:p>
    <w:p>
      <w:pPr>
        <w:pStyle w:val="Heading2"/>
      </w:pPr>
      <w:r>
        <w:t xml:space="preserve">2.3 Jobs to be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When the household...</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They want to...</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So that...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Wakes up to a new month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See all balances and spending in one place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They start the month informed, together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Is about to make a large purchase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Know what they can afford right now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They avoid overdraft or debt surprises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Reviews the week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Categorize and sanity-check spending fast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Budgets stay accurate without busywork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Plans ahead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Track progress toward shared goals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They feel in control of the future</w:t>
            </w:r>
          </w:p>
        </w:tc>
      </w:tr>
    </w:tbl>
    <w:p>
      <w:pPr>
        <w:pBdr>
          <w:bottom w:val="single" w:color="1F4E79" w:sz="6" w:space="1"/>
        </w:pBdr>
        <w:spacing w:after="120"/>
      </w:pPr>
    </w:p>
    <w:p>
      <w:pPr>
        <w:pStyle w:val="Heading1"/>
      </w:pPr>
      <w:r>
        <w:t xml:space="preserve">3. Competitive Landscape</w:t>
      </w:r>
    </w:p>
    <w:p>
      <w:pPr>
        <w:spacing w:after="160"/>
      </w:pPr>
      <w:r>
        <w:t xml:space="preserve">The post-Mint market is crowded but differentiated. The table below summarizes the main players as of mid-2026.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700"/>
        <w:gridCol w:w="2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Product</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Approx. price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Strength</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Household fit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Monarch Money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~$15/mo or $100/yr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Net worth, aggregation, collaboration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Strong — built collaborative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Copilot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~$8–13/mo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AI categorization, polished UX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Limited — Apple-only, single-user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Simplifi (Quicken)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~$3–6/mo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Low cost, spending plan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Moderate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YNAB</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~$15/mo or $109/yr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Zero-based budgeting discipline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Moderate — shareable, not collaborative</w:t>
            </w:r>
          </w:p>
        </w:tc>
      </w:tr>
    </w:tbl>
    <w:p>
      <w:pPr>
        <w:spacing w:after="120"/>
      </w:pPr>
    </w:p>
    <w:p>
      <w:pPr>
        <w:pStyle w:val="Heading2"/>
      </w:pPr>
      <w:r>
        <w:t xml:space="preserve">3.1 What this tells us</w:t>
      </w:r>
    </w:p>
    <w:p>
      <w:pPr>
        <w:pStyle w:val="ListParagraph"/>
        <w:numPr>
          <w:ilvl w:val="0"/>
          <w:numId w:val="2"/>
        </w:numPr>
        <w:spacing w:after="60"/>
      </w:pPr>
      <w:r>
        <w:t xml:space="preserve">Monarch is the benchmark for collaboration and aggregation; it sets the bar to match or exceed on the household experience.</w:t>
      </w:r>
    </w:p>
    <w:p>
      <w:pPr>
        <w:pStyle w:val="ListParagraph"/>
        <w:numPr>
          <w:ilvl w:val="0"/>
          <w:numId w:val="2"/>
        </w:numPr>
        <w:spacing w:after="60"/>
      </w:pPr>
      <w:r>
        <w:t xml:space="preserve">Copilot shows AI-driven categorization and design quality are now table stakes, but its Apple-only reach leaves cross-platform households underserved.</w:t>
      </w:r>
    </w:p>
    <w:p>
      <w:pPr>
        <w:pStyle w:val="ListParagraph"/>
        <w:numPr>
          <w:ilvl w:val="0"/>
          <w:numId w:val="2"/>
        </w:numPr>
        <w:spacing w:after="60"/>
      </w:pPr>
      <w:r>
        <w:t xml:space="preserve">YNAB proves users will pay for a strong budgeting methodology and habit loop — validating our budgeting-first wedge.</w:t>
      </w:r>
    </w:p>
    <w:p>
      <w:pPr>
        <w:pStyle w:val="ListParagraph"/>
        <w:numPr>
          <w:ilvl w:val="0"/>
          <w:numId w:val="2"/>
        </w:numPr>
        <w:spacing w:after="60"/>
      </w:pPr>
      <w:r>
        <w:t xml:space="preserve">Price tolerance sits roughly at $8–15/month for a polished product; a clear household value story justifies the upper end.</w:t>
      </w:r>
    </w:p>
    <w:p>
      <w:pPr>
        <w:pBdr>
          <w:bottom w:val="single" w:color="1F4E79" w:sz="6" w:space="1"/>
        </w:pBdr>
        <w:spacing w:after="120"/>
      </w:pPr>
    </w:p>
    <w:p>
      <w:pPr>
        <w:pStyle w:val="Heading1"/>
      </w:pPr>
      <w:r>
        <w:t xml:space="preserve">4. Recommended Approach</w:t>
      </w:r>
    </w:p>
    <w:p>
      <w:pPr>
        <w:pStyle w:val="Heading2"/>
      </w:pPr>
      <w:r>
        <w:t xml:space="preserve">4.1 Wedge: budgeting and spending first</w:t>
      </w:r>
    </w:p>
    <w:p>
      <w:pPr>
        <w:spacing w:after="160"/>
      </w:pPr>
      <w:r>
        <w:t xml:space="preserve">Aggregation gives the 360° view, but budgeting and spending is the feature people open daily. Daily use builds habit, habit builds retention, and retention is what makes a subscription viable. We therefore lead with a fast, shared budgeting and spending experience sitting on top of aggregated accounts, and expand toward net worth, investments, and planning in later phases.</w:t>
      </w:r>
    </w:p>
    <w:p>
      <w:pPr>
        <w:pStyle w:val="Heading2"/>
      </w:pPr>
      <w:r>
        <w:t xml:space="preserve">4.2 Household-first foundation, AI-insights differentiator</w:t>
      </w:r>
    </w:p>
    <w:p>
      <w:pPr>
        <w:spacing w:after="160"/>
      </w:pPr>
      <w:r>
        <w:t xml:space="preserve">The household is the structural foundation: from the first release the data model treats a household as the top-level entity, with multiple members, shared and individual accounts, and per-member visibility controls. Retrofitting that later is expensive, so we build it in now even though deep collaboration features come later.</w:t>
      </w:r>
    </w:p>
    <w:p>
      <w:pPr>
        <w:spacing w:after="160"/>
      </w:pPr>
      <w:r>
        <w:t xml:space="preserve">The competitive differentiator we invest in first, however, is AI-driven insight — turning enriched transaction data into proactive, plain-language guidance (spending anomalies, forecasts, budget coaching). This favors an aggregator with strong data enrichment and keeps the launch collaboration model deliberately light (a clean per-account toggle and simple roles) so engineering effort goes into the insights engine.</w:t>
      </w:r>
    </w:p>
    <w:p>
      <w:pPr>
        <w:pStyle w:val="Heading2"/>
      </w:pPr>
      <w:r>
        <w:t xml:space="preserve">4.3 Platform sequencing</w:t>
      </w:r>
    </w:p>
    <w:p>
      <w:pPr>
        <w:spacing w:after="160"/>
      </w:pPr>
      <w:r>
        <w:t xml:space="preserve">Start as a responsive web application so both partners can use it regardless of device, then follow with native mobile where the daily check-in habit lives. Building web-first keeps the team on one codebase while validating the core experience.</w:t>
      </w:r>
    </w:p>
    <w:p>
      <w:pPr>
        <w:pBdr>
          <w:bottom w:val="single" w:color="1F4E79" w:sz="6" w:space="1"/>
        </w:pBdr>
        <w:spacing w:after="120"/>
      </w:pPr>
    </w:p>
    <w:p>
      <w:pPr>
        <w:pStyle w:val="Heading1"/>
      </w:pPr>
      <w:r>
        <w:t xml:space="preserve">5. Connectivity &amp; Compliance Options</w:t>
      </w:r>
    </w:p>
    <w:p>
      <w:pPr>
        <w:spacing w:after="160"/>
      </w:pPr>
      <w:r>
        <w:t xml:space="preserve">Connecting to banks and credit cards is the hardest and most sensitive part of the product. There are three broad paths, and they are not mutually exclusive — most products combine them.</w:t>
      </w:r>
    </w:p>
    <w:p>
      <w:pPr>
        <w:pStyle w:val="Heading2"/>
      </w:pPr>
      <w:r>
        <w:t xml:space="preserve">5.1 The three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Option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What it is</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Pros</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Use an aggregator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Integrate Plaid / MX / Finicity for connections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Fast to launch; broad coverage; they handle credentials &amp; security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Per-connection cost; dependency on a vendor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Manual + CSV import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Users add accounts and import statements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 vendor cost; full control; simplest compliance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Tedious; data goes stale; weak 'live'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Direct integrations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Build connections to each institution yourself</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 middleman fees at scale; full control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Very high effort; ongoing maintenance; heavy security &amp; regulatory burden</w:t>
            </w:r>
          </w:p>
        </w:tc>
      </w:tr>
    </w:tbl>
    <w:p>
      <w:pPr>
        <w:spacing w:after="120"/>
      </w:pPr>
    </w:p>
    <w:p>
      <w:pPr>
        <w:pStyle w:val="Heading2"/>
      </w:pPr>
      <w:r>
        <w:t xml:space="preserve">5.2 Comparing the aggregators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Aggregator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Best at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Plaid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Coverage &amp; developer experience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Most widely adopted US aggregator; smooth connect 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 cleanliness &amp; categorization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Best enrichment — ideal for budgeting/insights products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Finicity (Mastercard)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Lending, income &amp; cash-flow verification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Strong for underwriting; less central to budgeting</w:t>
            </w:r>
          </w:p>
        </w:tc>
      </w:tr>
    </w:tbl>
    <w:p>
      <w:pPr>
        <w:spacing w:after="120"/>
      </w:pPr>
    </w:p>
    <w:p>
      <w:pPr>
        <w:pStyle w:val="Heading2"/>
      </w:pPr>
      <w:r>
        <w:t xml:space="preserve">5.3 Recommendation</w:t>
      </w:r>
    </w:p>
    <w:p>
      <w:pPr>
        <w:spacing w:after="160"/>
      </w:pPr>
      <w:r>
        <w:t xml:space="preserve">Launch with an aggregator. For a budgeting-and-insights product, MX’s superior transaction enrichment is attractive, while Plaid offers the broadest coverage and the smoothest user connect experience. A common pattern is to start with one and evaluate a second for coverage gaps. We recommend prototyping with Plaid for breadth, and benchmarking MX on categorization quality before committing.</w:t>
      </w:r>
    </w:p>
    <w:p>
      <w:pPr>
        <w:spacing w:after="160"/>
      </w:pPr>
      <w:r>
        <w:t xml:space="preserve">Crucially, aggregators do not require the product to store users’ bank login credentials, which removes the single largest security liability. The product still must handle sensitive financial data responsibly.</w:t>
      </w:r>
    </w:p>
    <w:p>
      <w:pPr>
        <w:pStyle w:val="Heading2"/>
      </w:pPr>
      <w:r>
        <w:t xml:space="preserve">5.4 Compliance considerations to plan for</w:t>
      </w:r>
    </w:p>
    <w:p>
      <w:pPr>
        <w:pStyle w:val="ListParagraph"/>
        <w:numPr>
          <w:ilvl w:val="0"/>
          <w:numId w:val="2"/>
        </w:numPr>
        <w:spacing w:after="60"/>
      </w:pPr>
      <w:r>
        <w:t xml:space="preserve">Explicit, revocable user consent for every account connection (the open-banking standard).</w:t>
      </w:r>
    </w:p>
    <w:p>
      <w:pPr>
        <w:pStyle w:val="ListParagraph"/>
        <w:numPr>
          <w:ilvl w:val="0"/>
          <w:numId w:val="2"/>
        </w:numPr>
        <w:spacing w:after="60"/>
      </w:pPr>
      <w:r>
        <w:t xml:space="preserve">Encryption of financial data in transit and at rest, and tight access controls.</w:t>
      </w:r>
    </w:p>
    <w:p>
      <w:pPr>
        <w:pStyle w:val="ListParagraph"/>
        <w:numPr>
          <w:ilvl w:val="0"/>
          <w:numId w:val="2"/>
        </w:numPr>
        <w:spacing w:after="60"/>
      </w:pPr>
      <w:r>
        <w:t xml:space="preserve">Privacy regulation alignment (e.g. GDPR/CCPA) covering data use, retention, and deletion.</w:t>
      </w:r>
    </w:p>
    <w:p>
      <w:pPr>
        <w:pStyle w:val="ListParagraph"/>
        <w:numPr>
          <w:ilvl w:val="0"/>
          <w:numId w:val="2"/>
        </w:numPr>
        <w:spacing w:after="60"/>
      </w:pPr>
      <w:r>
        <w:t xml:space="preserve">If finances are ever shared across household members, clear per-member permission and audit controls.</w:t>
      </w:r>
    </w:p>
    <w:p>
      <w:pPr>
        <w:pStyle w:val="ListParagraph"/>
        <w:numPr>
          <w:ilvl w:val="0"/>
          <w:numId w:val="2"/>
        </w:numPr>
        <w:spacing w:after="60"/>
      </w:pPr>
      <w:r>
        <w:t xml:space="preserve">A path toward a formal security posture (e.g. SOC 2) as the user base and institutional partnerships grow.</w:t>
      </w:r>
    </w:p>
    <w:p>
      <w:pPr>
        <w:spacing w:after="160" w:before="80"/>
      </w:pPr>
      <w:r>
        <w:rPr>
          <w:i/>
          <w:iCs/>
          <w:color w:val="666666"/>
        </w:rPr>
        <w:t xml:space="preserve">Note: this is a product-planning overview, not legal advice. Engage qualified counsel and security specialists before handling real financial data.</w:t>
      </w:r>
    </w:p>
    <w:p>
      <w:pPr>
        <w:pBdr>
          <w:bottom w:val="single" w:color="1F4E79" w:sz="6" w:space="1"/>
        </w:pBdr>
        <w:spacing w:after="120"/>
      </w:pPr>
    </w:p>
    <w:p>
      <w:pPr>
        <w:pStyle w:val="Heading1"/>
      </w:pPr>
      <w:r>
        <w:t xml:space="preserve">6. Household &amp; Membership Model</w:t>
      </w:r>
    </w:p>
    <w:p>
      <w:pPr>
        <w:spacing w:after="160"/>
      </w:pPr>
      <w:r>
        <w:t xml:space="preserve">The product separates three concepts that are easy to conflate: the household, the people in it, and the financial accounts. Keeping them distinct is what makes shared visibility and privacy work together.</w:t>
      </w:r>
    </w:p>
    <w:p>
      <w:pPr>
        <w:pStyle w:val="Heading2"/>
      </w:pPr>
      <w:r>
        <w:t xml:space="preserve">6.1 Structure</w:t>
      </w:r>
    </w:p>
    <w:p>
      <w:pPr>
        <w:pStyle w:val="ListParagraph"/>
        <w:numPr>
          <w:ilvl w:val="0"/>
          <w:numId w:val="2"/>
        </w:numPr>
        <w:spacing w:after="60"/>
      </w:pPr>
      <w:r>
        <w:rPr>
          <w:b/>
          <w:bCs/>
        </w:rPr>
        <w:t xml:space="preserve">Household — </w:t>
      </w:r>
      <w:r>
        <w:t xml:space="preserve">the top-level container. The first person to sign up creates it. The household (not any individual) owns the shared view, budgets, and goals.</w:t>
      </w:r>
    </w:p>
    <w:p>
      <w:pPr>
        <w:pStyle w:val="ListParagraph"/>
        <w:numPr>
          <w:ilvl w:val="0"/>
          <w:numId w:val="2"/>
        </w:numPr>
        <w:spacing w:after="60"/>
      </w:pPr>
      <w:r>
        <w:rPr>
          <w:b/>
          <w:bCs/>
        </w:rPr>
        <w:t xml:space="preserve">People — </w:t>
      </w:r>
      <w:r>
        <w:t xml:space="preserve">join the household by invitation. Each person keeps their own login and private space; nobody shares a single login. Joining the household means joining the shared view, not handing over accounts.</w:t>
      </w:r>
    </w:p>
    <w:p>
      <w:pPr>
        <w:pStyle w:val="ListParagraph"/>
        <w:numPr>
          <w:ilvl w:val="0"/>
          <w:numId w:val="2"/>
        </w:numPr>
        <w:spacing w:after="60"/>
      </w:pPr>
      <w:r>
        <w:rPr>
          <w:b/>
          <w:bCs/>
        </w:rPr>
        <w:t xml:space="preserve">Accounts — </w:t>
      </w:r>
      <w:r>
        <w:t xml:space="preserve">are connected by whoever owns them, using that owner’s own banking credentials via the aggregator. A member can only ever expose their own accounts, never reach into someone else’s.</w:t>
      </w:r>
    </w:p>
    <w:p>
      <w:pPr>
        <w:pStyle w:val="Heading2"/>
      </w:pPr>
      <w:r>
        <w:t xml:space="preserve">6.2 Connecting and sharing accounts</w:t>
      </w:r>
    </w:p>
    <w:p>
      <w:pPr>
        <w:spacing w:after="160"/>
      </w:pPr>
      <w:r>
        <w:t xml:space="preserve">When a person connects a bank or card, they set its visibility. Joint accounts (shared checking, the mortgage) are connected from one side and marked shared; if both partners connect the same joint account it is de-duplicated so it is never double-counted. Individual accounts default to private, and the owner can keep them fully private, share them, or use a balance-only state where the balance counts toward the shared household total but the line items stay hidden.</w:t>
      </w:r>
    </w:p>
    <w:p>
      <w:pPr>
        <w:pStyle w:val="Heading2"/>
      </w:pPr>
      <w:r>
        <w:t xml:space="preserve">6.3 Roles (configurable)</w:t>
      </w:r>
    </w:p>
    <w:p>
      <w:pPr>
        <w:spacing w:after="160"/>
      </w:pPr>
      <w:r>
        <w:t xml:space="preserve">The inviter chooses the invitee’s role, and the owner can change it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Role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Can do</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Typical 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Co-owner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Edit shared budgets &amp; goals, rename categories, invite/remove members, change household settings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Second adult partner (default)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See the shared view; fully manage own accounts &amp; visibility; cannot change household settings or manage others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Older child, accountant</w:t>
            </w:r>
          </w:p>
        </w:tc>
      </w:tr>
    </w:tbl>
    <w:p>
      <w:pPr>
        <w:spacing w:after="160"/>
      </w:pPr>
      <w:r>
        <w:t xml:space="preserve">This keeps the common two-adult case a one-click invite while supporting other arrangements without a heavy permissions system.</w:t>
      </w:r>
    </w:p>
    <w:p>
      <w:pPr>
        <w:pBdr>
          <w:bottom w:val="single" w:color="1F4E79" w:sz="6" w:space="1"/>
        </w:pBdr>
        <w:spacing w:after="120"/>
      </w:pPr>
    </w:p>
    <w:p>
      <w:pPr>
        <w:pStyle w:val="Heading1"/>
      </w:pPr>
      <w:r>
        <w:t xml:space="preserve">7. Decisions Log</w:t>
      </w:r>
    </w:p>
    <w:p>
      <w:pPr>
        <w:spacing w:after="160"/>
      </w:pPr>
      <w:r>
        <w:t xml:space="preserve">Decisions confirmed during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Decision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First-release wedge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Budgeting &amp; spending on top of account aggregation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Differentiator priority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AI insights take priority over collaboration depth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Sharing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Per-account toggle: joint shared by default, individual private by default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Household totals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Configurable per account, including a balance-only contribution option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Membership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Invite-to-household; each person keeps own login and connects only own accounts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Roles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Configurable co-owner vs. member; partner defaults to co-owner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Web-first (responsive), native mobile to follow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Connectivity (Phase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Document/statement upload + manual entry only (limited-user test); no live aggregation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Connectivity (Phase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Plaid live aggregation (no stored bank credentials)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Charts &amp;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Tiered: curated default dashboards + constrained custom builder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Charting tech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Standard charting library (simple), not a heavy BI tool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Mandatory MFA for all users; Google Authenticator (TOTP) + email at launch; passkeys later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Annual expenses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Amortized (sinking fund) budgets — virtual reserves only at launch; no real-account mapping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AI architecture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Backend agent + read-only, visibility-aware tools; provider-abstraction layer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AI privacy posture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Hosted frontier API + no-retention at launch; deliberate path to hybrid then self-hosted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AI channels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In-app chat (mobile + web) at launch; Telegram/WhatsApp as follow-on adapters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Rental properties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Property tags + rental cash-flow report in Reports; Phase 2 with net worth</w:t>
            </w:r>
          </w:p>
        </w:tc>
      </w:tr>
    </w:tbl>
    <w:p>
      <w:pPr>
        <w:pBdr>
          <w:bottom w:val="single" w:color="1F4E79" w:sz="6" w:space="1"/>
        </w:pBdr>
        <w:spacing w:after="120"/>
      </w:pPr>
    </w:p>
    <w:p>
      <w:pPr>
        <w:pStyle w:val="Heading1"/>
      </w:pPr>
      <w:r>
        <w:t xml:space="preserve">8. Open Questions &amp; Next Steps</w:t>
      </w:r>
    </w:p>
    <w:p>
      <w:pPr>
        <w:spacing w:after="160"/>
      </w:pPr>
      <w:r>
        <w:t xml:space="preserve">These remain open but do not block the next deliverables:</w:t>
      </w:r>
    </w:p>
    <w:p>
      <w:pPr>
        <w:pStyle w:val="ListParagraph"/>
        <w:numPr>
          <w:ilvl w:val="0"/>
          <w:numId w:val="2"/>
        </w:numPr>
        <w:spacing w:after="60"/>
      </w:pPr>
      <w:r>
        <w:t xml:space="preserve">Monetization: subscription tier(s) and price point relative to the $8–15/month market band.</w:t>
      </w:r>
    </w:p>
    <w:p>
      <w:pPr>
        <w:pStyle w:val="ListParagraph"/>
        <w:numPr>
          <w:ilvl w:val="0"/>
          <w:numId w:val="2"/>
        </w:numPr>
        <w:spacing w:after="60"/>
      </w:pPr>
      <w:r>
        <w:t xml:space="preserve">Aggregator choice: confirm Plaid vs. MX after a short categorization benchmark (architecture assumes ‘an aggregator’ until then).</w:t>
      </w:r>
    </w:p>
    <w:p>
      <w:pPr>
        <w:pStyle w:val="ListParagraph"/>
        <w:numPr>
          <w:ilvl w:val="0"/>
          <w:numId w:val="2"/>
        </w:numPr>
        <w:spacing w:after="60"/>
      </w:pPr>
      <w:r>
        <w:t xml:space="preserve">Geography: US-first at launch, while avoiding choices that would block open-banking regions later.</w:t>
      </w:r>
    </w:p>
    <w:p>
      <w:pPr>
        <w:pStyle w:val="ListParagraph"/>
        <w:numPr>
          <w:ilvl w:val="0"/>
          <w:numId w:val="2"/>
        </w:numPr>
        <w:spacing w:after="60"/>
      </w:pPr>
      <w:r>
        <w:t xml:space="preserve">Depth of AI insights for Phase 1: which insight types to ship first (see feature breakdown).</w:t>
      </w:r>
    </w:p>
    <w:p>
      <w:pPr>
        <w:spacing w:after="120"/>
      </w:pPr>
    </w:p>
    <w:p>
      <w:pPr>
        <w:spacing w:after="160"/>
      </w:pPr>
      <w:r>
        <w:t xml:space="preserve">Recommended next deliverables, in order: (1) a prioritized feature breakdown, (2) core user flows and UX wireframes, (3) a phased roadmap, and (4) a product spec for Phase 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Personal Finance Manager — Discovery Brief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2026-06-05T16:14:05.853Z</dcterms:created>
  <dcterms:modified xsi:type="dcterms:W3CDTF">2026-06-05T16:14:05.853Z</dcterms:modified>
</cp:coreProperties>
</file>

<file path=docProps/custom.xml><?xml version="1.0" encoding="utf-8"?>
<Properties xmlns="http://schemas.openxmlformats.org/officeDocument/2006/custom-properties" xmlns:vt="http://schemas.openxmlformats.org/officeDocument/2006/docPropsVTypes"/>
</file>